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盂县</w:t>
      </w:r>
      <w:r>
        <w:rPr>
          <w:rFonts w:hint="eastAsia" w:ascii="方正小标宋简体" w:hAnsi="方正小标宋简体" w:eastAsia="方正小标宋简体" w:cs="方正小标宋简体"/>
          <w:b w:val="0"/>
          <w:bCs w:val="0"/>
          <w:color w:val="auto"/>
          <w:sz w:val="44"/>
          <w:szCs w:val="44"/>
        </w:rPr>
        <w:t>社会信用体系建设2023年行动计划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华文仿宋" w:hAnsi="华文仿宋" w:eastAsia="华文仿宋" w:cs="华文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华文仿宋" w:hAnsi="华文仿宋" w:eastAsia="华文仿宋" w:cs="华文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为贯彻落实《中共中央办公厅、国务院办公厅关于印发&lt;建设高标准市场体系行动方案&gt;的通知》（中办发〔2021〕2号）、《山西省社会信用体系建设2023年行动计划》（晋发改信用发〔2023〕53号）和</w:t>
      </w:r>
      <w:r>
        <w:rPr>
          <w:rFonts w:hint="eastAsia" w:ascii="仿宋" w:hAnsi="仿宋" w:eastAsia="仿宋" w:cs="仿宋"/>
          <w:b w:val="0"/>
          <w:bCs w:val="0"/>
          <w:sz w:val="32"/>
          <w:szCs w:val="32"/>
          <w:lang w:eastAsia="zh-CN"/>
        </w:rPr>
        <w:t>《阳泉市社会信用体系建设</w:t>
      </w:r>
      <w:r>
        <w:rPr>
          <w:rFonts w:hint="eastAsia" w:ascii="仿宋" w:hAnsi="仿宋" w:eastAsia="仿宋" w:cs="仿宋"/>
          <w:b w:val="0"/>
          <w:bCs w:val="0"/>
          <w:sz w:val="32"/>
          <w:szCs w:val="32"/>
          <w:lang w:val="en-US" w:eastAsia="zh-CN"/>
        </w:rPr>
        <w:t>2023年行动计划》（阳发改价管</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2023</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128号）</w:t>
      </w:r>
      <w:r>
        <w:rPr>
          <w:rFonts w:hint="eastAsia" w:ascii="仿宋" w:hAnsi="仿宋" w:eastAsia="仿宋" w:cs="仿宋"/>
          <w:b w:val="0"/>
          <w:bCs w:val="0"/>
          <w:sz w:val="32"/>
          <w:szCs w:val="32"/>
          <w:lang w:eastAsia="zh-CN"/>
        </w:rPr>
        <w:t>精神</w:t>
      </w:r>
      <w:r>
        <w:rPr>
          <w:rFonts w:hint="eastAsia" w:ascii="仿宋" w:hAnsi="仿宋" w:eastAsia="仿宋" w:cs="仿宋"/>
          <w:b w:val="0"/>
          <w:bCs w:val="0"/>
          <w:color w:val="auto"/>
          <w:sz w:val="32"/>
          <w:szCs w:val="32"/>
          <w:lang w:val="en-US" w:eastAsia="zh-CN"/>
        </w:rPr>
        <w:t>，发挥社会信用体系对高标准市场体系建设的支撑保障作用，结合我县实际，制定以下行动计划。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黑体-GB2312" w:hAnsi="CESI黑体-GB2312" w:eastAsia="CESI黑体-GB2312" w:cs="CESI黑体-GB2312"/>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华文楷体" w:hAnsi="华文楷体" w:eastAsia="华文楷体" w:cs="华文楷体"/>
          <w:b w:val="0"/>
          <w:bCs w:val="0"/>
          <w:color w:val="auto"/>
          <w:sz w:val="32"/>
          <w:szCs w:val="32"/>
          <w:lang w:val="en-US" w:eastAsia="zh-CN"/>
        </w:rPr>
      </w:pPr>
      <w:r>
        <w:rPr>
          <w:rFonts w:hint="eastAsia" w:ascii="华文楷体" w:hAnsi="华文楷体" w:eastAsia="华文楷体" w:cs="华文楷体"/>
          <w:b w:val="0"/>
          <w:bCs w:val="0"/>
          <w:color w:val="auto"/>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华文仿宋" w:hAnsi="华文仿宋" w:eastAsia="华文仿宋" w:cs="华文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以习近平新时代中国特色社会主义思想为指导，全面贯彻党的二十大精神，深入落实习近平总书记考察调研山西重要讲话重要指示精神，贯彻落实省市关于推进社会信用体系建设高质量发展的决策部署，按照县委、县政府关于社会信用体系建设的部署要求，以建设高标准市场体系为目标，在规范公共信用信息归集与应用、平台建设与共享交换、守信激励与失信惩戒、信用分级分类监管上取得进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华文楷体" w:hAnsi="华文楷体" w:eastAsia="华文楷体" w:cs="华文楷体"/>
          <w:b w:val="0"/>
          <w:bCs w:val="0"/>
          <w:color w:val="auto"/>
          <w:sz w:val="32"/>
          <w:szCs w:val="32"/>
          <w:lang w:val="en-US" w:eastAsia="zh-CN"/>
        </w:rPr>
      </w:pPr>
      <w:r>
        <w:rPr>
          <w:rFonts w:hint="eastAsia" w:ascii="华文楷体" w:hAnsi="华文楷体" w:eastAsia="华文楷体" w:cs="华文楷体"/>
          <w:b w:val="0"/>
          <w:bCs w:val="0"/>
          <w:color w:val="auto"/>
          <w:sz w:val="32"/>
          <w:szCs w:val="32"/>
          <w:lang w:val="en-US" w:eastAsia="zh-CN"/>
        </w:rPr>
        <w:t>（二）主要目标</w:t>
      </w:r>
    </w:p>
    <w:p>
      <w:pPr>
        <w:pStyle w:val="8"/>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以《全国城市信用状况监测预警指标（2022年版）》为指挥棒，开展攻坚行动，加快夯基础、补短板、强弱项，全面提高社会信用体系建设工作水平。到2023年底，信用承诺制度不断完善，信用监管和服务水平不断提高，信用信息归集共享力度持续增强，公共信用信息基础设施智能化水平大幅提升，市场主体发展活力和动力得到更好激发，创新生态和营商环境进一步优化。</w:t>
      </w:r>
    </w:p>
    <w:p>
      <w:pPr>
        <w:pStyle w:val="8"/>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eastAsia="zh-CN"/>
        </w:rPr>
        <w:t>二、重点任务</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outlineLvl w:val="2"/>
        <w:rPr>
          <w:rFonts w:hint="eastAsia" w:ascii="华文楷体" w:hAnsi="华文楷体" w:eastAsia="华文楷体" w:cs="华文楷体"/>
          <w:b w:val="0"/>
          <w:bCs w:val="0"/>
          <w:color w:val="auto"/>
          <w:sz w:val="32"/>
          <w:szCs w:val="32"/>
          <w:lang w:eastAsia="zh-CN"/>
        </w:rPr>
      </w:pPr>
      <w:r>
        <w:rPr>
          <w:rFonts w:hint="eastAsia" w:ascii="华文楷体" w:hAnsi="华文楷体" w:eastAsia="华文楷体" w:cs="华文楷体"/>
          <w:b w:val="0"/>
          <w:bCs w:val="0"/>
          <w:color w:val="auto"/>
          <w:sz w:val="32"/>
          <w:szCs w:val="32"/>
          <w:lang w:eastAsia="zh-CN"/>
        </w:rPr>
        <w:t>（一）强化政务诚信建设，发挥表率作用</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3" w:firstLineChars="200"/>
        <w:textAlignment w:val="auto"/>
        <w:outlineLvl w:val="2"/>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1.着力强化政务诚信建设。</w:t>
      </w:r>
      <w:r>
        <w:rPr>
          <w:rFonts w:hint="eastAsia" w:ascii="仿宋" w:hAnsi="仿宋" w:eastAsia="仿宋" w:cs="仿宋"/>
          <w:b w:val="0"/>
          <w:bCs w:val="0"/>
          <w:sz w:val="32"/>
          <w:szCs w:val="32"/>
          <w:lang w:val="en-US" w:eastAsia="zh-CN"/>
        </w:rPr>
        <w:t>健全“政府承诺+社会监督+失信问责”政务守信践诺机制，对依法依规作出但未履行到位的承诺列明清单，明确整改措施和完成期限，强化政务诚信建设，不断提升政府行政效率和公信力。（</w:t>
      </w:r>
      <w:r>
        <w:rPr>
          <w:rFonts w:hint="eastAsia" w:ascii="华文楷体" w:hAnsi="华文楷体" w:eastAsia="华文楷体" w:cs="华文楷体"/>
          <w:b w:val="0"/>
          <w:bCs w:val="0"/>
          <w:color w:val="000000"/>
          <w:kern w:val="2"/>
          <w:sz w:val="32"/>
          <w:szCs w:val="32"/>
          <w:highlight w:val="none"/>
          <w:lang w:val="en-US" w:eastAsia="zh-CN" w:bidi="ar-SA"/>
        </w:rPr>
        <w:t>责任单位</w:t>
      </w:r>
      <w:r>
        <w:rPr>
          <w:rFonts w:hint="eastAsia" w:ascii="华文仿宋" w:hAnsi="华文仿宋" w:eastAsia="华文仿宋" w:cs="华文仿宋"/>
          <w:b w:val="0"/>
          <w:bCs w:val="0"/>
          <w:color w:val="auto"/>
          <w:kern w:val="2"/>
          <w:sz w:val="32"/>
          <w:szCs w:val="32"/>
          <w:highlight w:val="none"/>
          <w:lang w:val="en-US" w:eastAsia="zh-CN" w:bidi="ar-SA"/>
        </w:rPr>
        <w:t>：</w:t>
      </w:r>
      <w:r>
        <w:rPr>
          <w:rFonts w:hint="eastAsia" w:ascii="仿宋" w:hAnsi="仿宋" w:eastAsia="仿宋" w:cs="仿宋"/>
          <w:b w:val="0"/>
          <w:bCs w:val="0"/>
          <w:sz w:val="32"/>
          <w:szCs w:val="32"/>
          <w:lang w:val="en-US" w:eastAsia="zh-CN"/>
        </w:rPr>
        <w:t>县社会信用体系建设各成员单位）</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3" w:firstLineChars="200"/>
        <w:textAlignment w:val="auto"/>
        <w:outlineLvl w:val="2"/>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2.持续深化公务员诚信建设。</w:t>
      </w:r>
      <w:r>
        <w:rPr>
          <w:rFonts w:hint="eastAsia" w:ascii="仿宋" w:hAnsi="仿宋" w:eastAsia="仿宋" w:cs="仿宋"/>
          <w:b w:val="0"/>
          <w:bCs w:val="0"/>
          <w:sz w:val="32"/>
          <w:szCs w:val="32"/>
          <w:lang w:val="en-US" w:eastAsia="zh-CN"/>
        </w:rPr>
        <w:t>落实《关于加强行政机关公务员诚信体系建设的工作方案》，全面建立公务员诚信档案，健全守信激励、失信惩戒机制，将守信情况作为考核、使用和奖惩的重要依据。建立信息通报机制，及时反馈通报并记入公务员诚信档案，对严重失信公务员实行追踪监督，不断夯实公务员诚信建设基础。加强教育培训，提升诚信意识。开展公务员诚信教育培训，实施公务员能力提升计划，强化学法用法守法意识，提升依法行政能力。充分发挥先进典型的示范带头作用，教育引导广大公务员牢记职责宗旨、转变工作作风、提升服务质量。（</w:t>
      </w:r>
      <w:r>
        <w:rPr>
          <w:rFonts w:hint="eastAsia" w:ascii="华文楷体" w:hAnsi="华文楷体" w:eastAsia="华文楷体" w:cs="华文楷体"/>
          <w:b w:val="0"/>
          <w:bCs w:val="0"/>
          <w:color w:val="000000"/>
          <w:kern w:val="2"/>
          <w:sz w:val="32"/>
          <w:szCs w:val="32"/>
          <w:highlight w:val="none"/>
          <w:lang w:val="en-US" w:eastAsia="zh-CN" w:bidi="ar-SA"/>
        </w:rPr>
        <w:t>责任单位</w:t>
      </w:r>
      <w:r>
        <w:rPr>
          <w:rFonts w:hint="eastAsia" w:ascii="华文仿宋" w:hAnsi="华文仿宋" w:eastAsia="华文仿宋" w:cs="华文仿宋"/>
          <w:b w:val="0"/>
          <w:bCs w:val="0"/>
          <w:color w:val="auto"/>
          <w:kern w:val="2"/>
          <w:sz w:val="32"/>
          <w:szCs w:val="32"/>
          <w:highlight w:val="none"/>
          <w:lang w:val="en-US" w:eastAsia="zh-CN" w:bidi="ar-SA"/>
        </w:rPr>
        <w:t>：县委组织部</w:t>
      </w:r>
      <w:r>
        <w:rPr>
          <w:rFonts w:hint="eastAsia" w:ascii="仿宋" w:hAnsi="仿宋" w:eastAsia="仿宋" w:cs="仿宋"/>
          <w:b w:val="0"/>
          <w:bCs w:val="0"/>
          <w:color w:val="000000" w:themeColor="text1"/>
          <w:kern w:val="2"/>
          <w:sz w:val="32"/>
          <w:szCs w:val="32"/>
          <w:highlight w:val="none"/>
          <w:lang w:val="en-US" w:eastAsia="zh-CN" w:bidi="ar-SA"/>
          <w14:textFill>
            <w14:solidFill>
              <w14:schemeClr w14:val="tx1"/>
            </w14:solidFill>
          </w14:textFill>
        </w:rPr>
        <w:t>、</w:t>
      </w:r>
      <w:r>
        <w:rPr>
          <w:rFonts w:hint="eastAsia" w:ascii="仿宋" w:hAnsi="仿宋" w:eastAsia="仿宋" w:cs="仿宋"/>
          <w:b w:val="0"/>
          <w:bCs w:val="0"/>
          <w:sz w:val="32"/>
          <w:szCs w:val="32"/>
          <w:lang w:val="en-US" w:eastAsia="zh-CN"/>
        </w:rPr>
        <w:t>县社会信用体系建设各成员单位）</w:t>
      </w:r>
    </w:p>
    <w:p>
      <w:pPr>
        <w:pStyle w:val="8"/>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华文楷体" w:hAnsi="华文楷体" w:eastAsia="华文楷体" w:cs="华文楷体"/>
          <w:b w:val="0"/>
          <w:bCs w:val="0"/>
          <w:color w:val="auto"/>
          <w:sz w:val="32"/>
          <w:szCs w:val="32"/>
          <w:lang w:val="en-US" w:eastAsia="zh-CN"/>
        </w:rPr>
      </w:pPr>
      <w:r>
        <w:rPr>
          <w:rFonts w:hint="eastAsia" w:ascii="华文楷体" w:hAnsi="华文楷体" w:eastAsia="华文楷体" w:cs="华文楷体"/>
          <w:b w:val="0"/>
          <w:bCs w:val="0"/>
          <w:color w:val="auto"/>
          <w:sz w:val="32"/>
          <w:szCs w:val="32"/>
          <w:lang w:val="en-US" w:eastAsia="zh-CN"/>
        </w:rPr>
        <w:t>（二）建立健全信用承诺制度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320" w:firstLineChars="100"/>
        <w:jc w:val="both"/>
        <w:textAlignment w:val="auto"/>
        <w:outlineLvl w:val="2"/>
        <w:rPr>
          <w:rFonts w:hint="eastAsia" w:ascii="华文仿宋" w:hAnsi="华文仿宋" w:eastAsia="华文仿宋" w:cs="华文仿宋"/>
          <w:b/>
          <w:bCs/>
          <w:color w:val="auto"/>
          <w:sz w:val="32"/>
          <w:szCs w:val="32"/>
          <w:highlight w:val="none"/>
          <w:lang w:val="en-US" w:eastAsia="zh-CN"/>
        </w:rPr>
      </w:pPr>
      <w:r>
        <w:rPr>
          <w:rFonts w:hint="eastAsia" w:ascii="华文仿宋" w:hAnsi="华文仿宋" w:eastAsia="华文仿宋" w:cs="华文仿宋"/>
          <w:b/>
          <w:bCs/>
          <w:color w:val="auto"/>
          <w:sz w:val="32"/>
          <w:szCs w:val="32"/>
          <w:highlight w:val="none"/>
          <w:lang w:val="en-US" w:eastAsia="zh-CN"/>
        </w:rPr>
        <w:t>　</w:t>
      </w:r>
      <w:r>
        <w:rPr>
          <w:rFonts w:hint="eastAsia" w:ascii="仿宋" w:hAnsi="仿宋" w:eastAsia="仿宋" w:cs="仿宋"/>
          <w:b/>
          <w:bCs/>
          <w:color w:val="auto"/>
          <w:sz w:val="32"/>
          <w:szCs w:val="32"/>
          <w:highlight w:val="none"/>
          <w:lang w:val="en-US" w:eastAsia="zh-CN"/>
        </w:rPr>
        <w:t>3.全面推行证明事项和涉企经营许可事项告知承诺制。</w:t>
      </w:r>
      <w:r>
        <w:rPr>
          <w:rFonts w:hint="eastAsia" w:ascii="仿宋" w:hAnsi="仿宋" w:eastAsia="仿宋" w:cs="仿宋"/>
          <w:b w:val="0"/>
          <w:bCs w:val="0"/>
          <w:color w:val="auto"/>
          <w:sz w:val="32"/>
          <w:szCs w:val="32"/>
          <w:highlight w:val="none"/>
          <w:lang w:val="en-US" w:eastAsia="zh-CN"/>
        </w:rPr>
        <w:t>简化审批流程，推动企业开办线上“一表填报”、一次实名验证，线下“一窗”领取全部材料。县行政审批局要制定实行告知承诺制的涉企经营许可事项清单，逐项编制信用承诺制实施细则和规范文本，及时在办公场所、政务服务中心政务服务大厅、部门门户网站等场所或平台向社会公布，方便企业获取、下载，为企业和群众提供更多更便利的“极简审批”服务。信用承诺信息要及时全量归集，并共享至信用信息共享平台。</w:t>
      </w:r>
      <w:r>
        <w:rPr>
          <w:rFonts w:hint="eastAsia" w:ascii="华文仿宋" w:hAnsi="华文仿宋" w:eastAsia="华文仿宋" w:cs="华文仿宋"/>
          <w:b w:val="0"/>
          <w:bCs w:val="0"/>
          <w:color w:val="auto"/>
          <w:sz w:val="32"/>
          <w:szCs w:val="32"/>
          <w:highlight w:val="none"/>
          <w:lang w:val="en-US" w:eastAsia="zh-CN"/>
        </w:rPr>
        <w:t>（</w:t>
      </w:r>
      <w:r>
        <w:rPr>
          <w:rFonts w:hint="eastAsia" w:ascii="华文楷体" w:hAnsi="华文楷体" w:eastAsia="华文楷体" w:cs="华文楷体"/>
          <w:b w:val="0"/>
          <w:bCs w:val="0"/>
          <w:color w:val="000000"/>
          <w:kern w:val="2"/>
          <w:sz w:val="32"/>
          <w:szCs w:val="32"/>
          <w:highlight w:val="none"/>
          <w:lang w:val="en-US" w:eastAsia="zh-CN" w:bidi="ar-SA"/>
        </w:rPr>
        <w:t>责任单位</w:t>
      </w:r>
      <w:r>
        <w:rPr>
          <w:rFonts w:hint="eastAsia" w:ascii="华文仿宋" w:hAnsi="华文仿宋" w:eastAsia="华文仿宋" w:cs="华文仿宋"/>
          <w:b w:val="0"/>
          <w:bCs w:val="0"/>
          <w:color w:val="auto"/>
          <w:kern w:val="2"/>
          <w:sz w:val="32"/>
          <w:szCs w:val="32"/>
          <w:highlight w:val="none"/>
          <w:lang w:val="en-US" w:eastAsia="zh-CN" w:bidi="ar-SA"/>
        </w:rPr>
        <w:t>：</w:t>
      </w:r>
      <w:r>
        <w:rPr>
          <w:rFonts w:hint="eastAsia" w:ascii="仿宋" w:hAnsi="仿宋" w:eastAsia="仿宋" w:cs="仿宋"/>
          <w:b w:val="0"/>
          <w:bCs w:val="0"/>
          <w:color w:val="auto"/>
          <w:sz w:val="32"/>
          <w:szCs w:val="32"/>
          <w:highlight w:val="none"/>
          <w:lang w:val="en-US" w:eastAsia="zh-CN"/>
        </w:rPr>
        <w:t>县行政审批局、县市场监管局</w:t>
      </w:r>
      <w:r>
        <w:rPr>
          <w:rFonts w:hint="eastAsia" w:ascii="华文仿宋" w:hAnsi="华文仿宋" w:eastAsia="华文仿宋" w:cs="华文仿宋"/>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320" w:firstLineChars="100"/>
        <w:jc w:val="both"/>
        <w:textAlignment w:val="auto"/>
        <w:outlineLvl w:val="2"/>
        <w:rPr>
          <w:rFonts w:hint="eastAsia" w:ascii="华文仿宋" w:hAnsi="华文仿宋" w:eastAsia="华文仿宋" w:cs="华文仿宋"/>
          <w:b w:val="0"/>
          <w:bCs w:val="0"/>
          <w:color w:val="auto"/>
          <w:sz w:val="32"/>
          <w:szCs w:val="32"/>
          <w:highlight w:val="none"/>
          <w:lang w:val="en-US" w:eastAsia="zh-CN"/>
        </w:rPr>
      </w:pPr>
      <w:r>
        <w:rPr>
          <w:rFonts w:hint="eastAsia" w:ascii="华文仿宋" w:hAnsi="华文仿宋" w:eastAsia="华文仿宋" w:cs="华文仿宋"/>
          <w:b/>
          <w:bCs/>
          <w:color w:val="auto"/>
          <w:sz w:val="32"/>
          <w:szCs w:val="32"/>
          <w:highlight w:val="none"/>
          <w:lang w:val="en-US" w:eastAsia="zh-CN"/>
        </w:rPr>
        <w:t>　</w:t>
      </w:r>
      <w:r>
        <w:rPr>
          <w:rFonts w:hint="eastAsia" w:ascii="仿宋" w:hAnsi="仿宋" w:eastAsia="仿宋" w:cs="仿宋"/>
          <w:b/>
          <w:bCs/>
          <w:color w:val="auto"/>
          <w:sz w:val="32"/>
          <w:szCs w:val="32"/>
          <w:highlight w:val="none"/>
          <w:lang w:val="en-US" w:eastAsia="zh-CN"/>
        </w:rPr>
        <w:t>4.全面推行科研</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诚信承诺制</w:t>
      </w:r>
      <w:r>
        <w:rPr>
          <w:rFonts w:hint="eastAsia" w:ascii="仿宋" w:hAnsi="仿宋" w:eastAsia="仿宋" w:cs="仿宋"/>
          <w:b/>
          <w:bCs/>
          <w:color w:val="auto"/>
          <w:sz w:val="32"/>
          <w:szCs w:val="32"/>
          <w:highlight w:val="none"/>
          <w:lang w:val="en-US" w:eastAsia="zh-CN"/>
        </w:rPr>
        <w:t>。</w:t>
      </w:r>
      <w:r>
        <w:rPr>
          <w:rFonts w:hint="eastAsia" w:ascii="仿宋" w:hAnsi="仿宋" w:eastAsia="仿宋" w:cs="仿宋"/>
          <w:b w:val="0"/>
          <w:bCs w:val="0"/>
          <w:color w:val="auto"/>
          <w:sz w:val="32"/>
          <w:szCs w:val="32"/>
          <w:highlight w:val="none"/>
          <w:lang w:val="en-US" w:eastAsia="zh-CN"/>
        </w:rPr>
        <w:t>明确承诺事项和承诺管理具体要求，</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加强对科研活动全过程诚信审核</w:t>
      </w:r>
      <w:r>
        <w:rPr>
          <w:rFonts w:hint="eastAsia" w:ascii="仿宋" w:hAnsi="仿宋" w:eastAsia="仿宋" w:cs="仿宋"/>
          <w:b w:val="0"/>
          <w:bCs w:val="0"/>
          <w:color w:val="auto"/>
          <w:sz w:val="32"/>
          <w:szCs w:val="32"/>
          <w:highlight w:val="none"/>
          <w:lang w:val="en-US" w:eastAsia="zh-CN"/>
        </w:rPr>
        <w:t>，推动将科研诚信信息共享应用到评审专家选择、科技计划执行的各重点环节，并签订信用承诺书。加强科研信用信息共享，完善信用记录。</w:t>
      </w:r>
      <w:r>
        <w:rPr>
          <w:rFonts w:hint="eastAsia" w:ascii="华文仿宋" w:hAnsi="华文仿宋" w:eastAsia="华文仿宋" w:cs="华文仿宋"/>
          <w:b w:val="0"/>
          <w:bCs w:val="0"/>
          <w:color w:val="auto"/>
          <w:sz w:val="32"/>
          <w:szCs w:val="32"/>
          <w:highlight w:val="none"/>
          <w:lang w:val="en-US" w:eastAsia="zh-CN"/>
        </w:rPr>
        <w:t>（</w:t>
      </w:r>
      <w:r>
        <w:rPr>
          <w:rFonts w:hint="eastAsia" w:ascii="华文楷体" w:hAnsi="华文楷体" w:eastAsia="华文楷体" w:cs="华文楷体"/>
          <w:b w:val="0"/>
          <w:bCs w:val="0"/>
          <w:color w:val="000000"/>
          <w:kern w:val="2"/>
          <w:sz w:val="32"/>
          <w:szCs w:val="32"/>
          <w:highlight w:val="none"/>
          <w:lang w:val="en-US" w:eastAsia="zh-CN" w:bidi="ar-SA"/>
        </w:rPr>
        <w:t>责任单位</w:t>
      </w:r>
      <w:r>
        <w:rPr>
          <w:rFonts w:hint="eastAsia" w:ascii="华文仿宋" w:hAnsi="华文仿宋" w:eastAsia="华文仿宋" w:cs="华文仿宋"/>
          <w:b w:val="0"/>
          <w:bCs w:val="0"/>
          <w:color w:val="auto"/>
          <w:kern w:val="2"/>
          <w:sz w:val="32"/>
          <w:szCs w:val="32"/>
          <w:highlight w:val="none"/>
          <w:lang w:val="en-US" w:eastAsia="zh-CN" w:bidi="ar-SA"/>
        </w:rPr>
        <w:t>：</w:t>
      </w:r>
      <w:r>
        <w:rPr>
          <w:rFonts w:hint="eastAsia" w:ascii="仿宋" w:hAnsi="仿宋" w:eastAsia="仿宋" w:cs="仿宋"/>
          <w:b w:val="0"/>
          <w:bCs w:val="0"/>
          <w:color w:val="auto"/>
          <w:sz w:val="32"/>
          <w:szCs w:val="32"/>
          <w:highlight w:val="none"/>
          <w:lang w:val="en-US" w:eastAsia="zh-CN"/>
        </w:rPr>
        <w:t>县教科局</w:t>
      </w:r>
      <w:r>
        <w:rPr>
          <w:rFonts w:hint="eastAsia" w:ascii="华文仿宋" w:hAnsi="华文仿宋" w:eastAsia="华文仿宋" w:cs="华文仿宋"/>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2"/>
        <w:rPr>
          <w:rFonts w:hint="eastAsia" w:ascii="华文仿宋" w:hAnsi="华文仿宋" w:eastAsia="华文仿宋" w:cs="华文仿宋"/>
          <w:b w:val="0"/>
          <w:bCs w:val="0"/>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5.全面实行纳税申报信用承诺制。</w:t>
      </w:r>
      <w:r>
        <w:rPr>
          <w:rFonts w:hint="eastAsia" w:ascii="仿宋" w:hAnsi="仿宋" w:eastAsia="仿宋" w:cs="仿宋"/>
          <w:b w:val="0"/>
          <w:bCs w:val="0"/>
          <w:color w:val="auto"/>
          <w:sz w:val="32"/>
          <w:szCs w:val="32"/>
          <w:highlight w:val="none"/>
          <w:lang w:val="en-US" w:eastAsia="zh-CN"/>
        </w:rPr>
        <w:t>将信用承诺作为纳税人填报纳税申报表的一项重要事项，记入信用记录，对于签署承诺书后出现失信行为的，依法依规进行处理，并将失信信息通过“信用中国（山西阳泉）”网站向社会公示。</w:t>
      </w:r>
      <w:r>
        <w:rPr>
          <w:rFonts w:hint="eastAsia" w:ascii="华文仿宋" w:hAnsi="华文仿宋" w:eastAsia="华文仿宋" w:cs="华文仿宋"/>
          <w:b w:val="0"/>
          <w:bCs w:val="0"/>
          <w:color w:val="auto"/>
          <w:sz w:val="32"/>
          <w:szCs w:val="32"/>
          <w:highlight w:val="none"/>
          <w:lang w:val="en-US" w:eastAsia="zh-CN"/>
        </w:rPr>
        <w:t>（</w:t>
      </w:r>
      <w:r>
        <w:rPr>
          <w:rFonts w:hint="eastAsia" w:ascii="华文楷体" w:hAnsi="华文楷体" w:eastAsia="华文楷体" w:cs="华文楷体"/>
          <w:b w:val="0"/>
          <w:bCs w:val="0"/>
          <w:color w:val="000000"/>
          <w:kern w:val="2"/>
          <w:sz w:val="32"/>
          <w:szCs w:val="32"/>
          <w:highlight w:val="none"/>
          <w:lang w:val="en-US" w:eastAsia="zh-CN" w:bidi="ar-SA"/>
        </w:rPr>
        <w:t>责任单位</w:t>
      </w:r>
      <w:r>
        <w:rPr>
          <w:rFonts w:hint="eastAsia" w:ascii="华文仿宋" w:hAnsi="华文仿宋" w:eastAsia="华文仿宋" w:cs="华文仿宋"/>
          <w:b w:val="0"/>
          <w:bCs w:val="0"/>
          <w:color w:val="auto"/>
          <w:kern w:val="2"/>
          <w:sz w:val="32"/>
          <w:szCs w:val="32"/>
          <w:highlight w:val="none"/>
          <w:lang w:val="en-US" w:eastAsia="zh-CN" w:bidi="ar-SA"/>
        </w:rPr>
        <w:t>：</w:t>
      </w:r>
      <w:r>
        <w:rPr>
          <w:rFonts w:hint="eastAsia" w:ascii="仿宋" w:hAnsi="仿宋" w:eastAsia="仿宋" w:cs="仿宋"/>
          <w:b w:val="0"/>
          <w:bCs w:val="0"/>
          <w:color w:val="auto"/>
          <w:sz w:val="32"/>
          <w:szCs w:val="32"/>
          <w:highlight w:val="none"/>
          <w:lang w:val="en-US" w:eastAsia="zh-CN"/>
        </w:rPr>
        <w:t>县税务局</w:t>
      </w:r>
      <w:r>
        <w:rPr>
          <w:rFonts w:hint="eastAsia" w:ascii="华文仿宋" w:hAnsi="华文仿宋" w:eastAsia="华文仿宋" w:cs="华文仿宋"/>
          <w:b w:val="0"/>
          <w:bCs w:val="0"/>
          <w:color w:val="auto"/>
          <w:sz w:val="32"/>
          <w:szCs w:val="32"/>
          <w:highlight w:val="none"/>
          <w:lang w:val="en-US"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outlineLvl w:val="1"/>
        <w:rPr>
          <w:rFonts w:hint="eastAsia" w:ascii="华文楷体" w:hAnsi="华文楷体" w:eastAsia="华文楷体" w:cs="华文楷体"/>
          <w:b w:val="0"/>
          <w:bCs w:val="0"/>
          <w:color w:val="auto"/>
          <w:kern w:val="2"/>
          <w:sz w:val="32"/>
          <w:szCs w:val="32"/>
          <w:lang w:val="en-US" w:eastAsia="zh-CN" w:bidi="ar-SA"/>
        </w:rPr>
      </w:pPr>
      <w:r>
        <w:rPr>
          <w:rFonts w:hint="eastAsia" w:ascii="华文楷体" w:hAnsi="华文楷体" w:eastAsia="华文楷体" w:cs="华文楷体"/>
          <w:b w:val="0"/>
          <w:bCs w:val="0"/>
          <w:color w:val="auto"/>
          <w:kern w:val="2"/>
          <w:sz w:val="32"/>
          <w:szCs w:val="32"/>
          <w:lang w:val="en-US" w:eastAsia="zh-CN" w:bidi="ar-SA"/>
        </w:rPr>
        <w:t>（三）加大信用促进金融服务实体经济力度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2"/>
        <w:rPr>
          <w:rFonts w:hint="eastAsia" w:ascii="华文仿宋" w:hAnsi="华文仿宋" w:eastAsia="华文仿宋" w:cs="华文仿宋"/>
          <w:b w:val="0"/>
          <w:bCs w:val="0"/>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6.加强信用信息共享应用，促进实体经济融资。</w:t>
      </w:r>
      <w:r>
        <w:rPr>
          <w:rFonts w:hint="eastAsia" w:ascii="仿宋" w:hAnsi="仿宋" w:eastAsia="仿宋" w:cs="仿宋"/>
          <w:b w:val="0"/>
          <w:bCs w:val="0"/>
          <w:color w:val="auto"/>
          <w:sz w:val="32"/>
          <w:szCs w:val="32"/>
          <w:highlight w:val="none"/>
          <w:lang w:val="en-US" w:eastAsia="zh-CN"/>
        </w:rPr>
        <w:t>加强信用信息共享应用，促进中小微企业融资。积极引导中小微企业和金融机构入驻市级融资信用综合服务平台，全量归集共享企业纳税、不动产、水电气费缴纳、科技研发、知识产权、新型农业经营主体等信用信息，加强公共信用信息同金融信息共享整合。</w:t>
      </w:r>
      <w:r>
        <w:rPr>
          <w:rFonts w:hint="eastAsia" w:ascii="华文仿宋" w:hAnsi="华文仿宋" w:eastAsia="华文仿宋" w:cs="华文仿宋"/>
          <w:b w:val="0"/>
          <w:bCs w:val="0"/>
          <w:color w:val="auto"/>
          <w:sz w:val="32"/>
          <w:szCs w:val="32"/>
          <w:highlight w:val="none"/>
          <w:lang w:val="en-US" w:eastAsia="zh-CN"/>
        </w:rPr>
        <w:t>（</w:t>
      </w:r>
      <w:r>
        <w:rPr>
          <w:rFonts w:hint="eastAsia" w:ascii="华文楷体" w:hAnsi="华文楷体" w:eastAsia="华文楷体" w:cs="华文楷体"/>
          <w:b w:val="0"/>
          <w:bCs w:val="0"/>
          <w:color w:val="000000"/>
          <w:kern w:val="2"/>
          <w:sz w:val="32"/>
          <w:szCs w:val="32"/>
          <w:highlight w:val="none"/>
          <w:lang w:val="en-US" w:eastAsia="zh-CN" w:bidi="ar-SA"/>
        </w:rPr>
        <w:t>责任单位</w:t>
      </w:r>
      <w:r>
        <w:rPr>
          <w:rFonts w:hint="eastAsia" w:ascii="华文仿宋" w:hAnsi="华文仿宋" w:eastAsia="华文仿宋" w:cs="华文仿宋"/>
          <w:b w:val="0"/>
          <w:bCs w:val="0"/>
          <w:color w:val="auto"/>
          <w:kern w:val="2"/>
          <w:sz w:val="32"/>
          <w:szCs w:val="32"/>
          <w:highlight w:val="none"/>
          <w:lang w:val="en-US" w:eastAsia="zh-CN" w:bidi="ar-SA"/>
        </w:rPr>
        <w:t>：</w:t>
      </w:r>
      <w:r>
        <w:rPr>
          <w:rFonts w:hint="eastAsia" w:ascii="仿宋" w:hAnsi="仿宋" w:eastAsia="仿宋" w:cs="仿宋"/>
          <w:b w:val="0"/>
          <w:bCs w:val="0"/>
          <w:color w:val="auto"/>
          <w:sz w:val="32"/>
          <w:szCs w:val="32"/>
          <w:highlight w:val="none"/>
          <w:lang w:val="en-US" w:eastAsia="zh-CN"/>
        </w:rPr>
        <w:t>县发展和改革局、阳泉银保监分局盂县监管组、县金融办、县财政局、县中小企业发展中心</w:t>
      </w:r>
      <w:r>
        <w:rPr>
          <w:rFonts w:hint="eastAsia" w:ascii="华文仿宋" w:hAnsi="华文仿宋" w:eastAsia="华文仿宋" w:cs="华文仿宋"/>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2"/>
        <w:rPr>
          <w:rFonts w:hint="eastAsia" w:ascii="华文仿宋" w:hAnsi="华文仿宋" w:eastAsia="华文仿宋" w:cs="华文仿宋"/>
          <w:b w:val="0"/>
          <w:bCs w:val="0"/>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7.建立中小微企业贷款补偿机制。</w:t>
      </w:r>
      <w:r>
        <w:rPr>
          <w:rFonts w:hint="eastAsia" w:ascii="仿宋" w:hAnsi="仿宋" w:eastAsia="仿宋" w:cs="仿宋"/>
          <w:b w:val="0"/>
          <w:bCs w:val="0"/>
          <w:color w:val="auto"/>
          <w:sz w:val="32"/>
          <w:szCs w:val="32"/>
          <w:highlight w:val="none"/>
          <w:lang w:val="en-US" w:eastAsia="zh-CN"/>
        </w:rPr>
        <w:t>充分发挥财政专项资金、担保机构资金引导作用，为小微、“三农”、战略性新兴产业提供信用贷款、创业担保贷款等增信支持，落实融资担保机构保费补偿补贴机制，对为中小微企业提供有效担保的政府性融资担保机构予以保费补贴。</w:t>
      </w:r>
      <w:r>
        <w:rPr>
          <w:rFonts w:hint="eastAsia" w:ascii="华文仿宋" w:hAnsi="华文仿宋" w:eastAsia="华文仿宋" w:cs="华文仿宋"/>
          <w:b w:val="0"/>
          <w:bCs w:val="0"/>
          <w:color w:val="auto"/>
          <w:sz w:val="32"/>
          <w:szCs w:val="32"/>
          <w:highlight w:val="none"/>
          <w:lang w:val="en-US" w:eastAsia="zh-CN"/>
        </w:rPr>
        <w:t>（</w:t>
      </w:r>
      <w:r>
        <w:rPr>
          <w:rFonts w:hint="eastAsia" w:ascii="华文楷体" w:hAnsi="华文楷体" w:eastAsia="华文楷体" w:cs="华文楷体"/>
          <w:b w:val="0"/>
          <w:bCs w:val="0"/>
          <w:color w:val="000000"/>
          <w:kern w:val="2"/>
          <w:sz w:val="32"/>
          <w:szCs w:val="32"/>
          <w:highlight w:val="none"/>
          <w:lang w:val="en-US" w:eastAsia="zh-CN" w:bidi="ar-SA"/>
        </w:rPr>
        <w:t>责任单位：</w:t>
      </w:r>
      <w:r>
        <w:rPr>
          <w:rFonts w:hint="eastAsia" w:ascii="仿宋" w:hAnsi="仿宋" w:eastAsia="仿宋" w:cs="仿宋"/>
          <w:b w:val="0"/>
          <w:bCs w:val="0"/>
          <w:color w:val="auto"/>
          <w:sz w:val="32"/>
          <w:szCs w:val="32"/>
          <w:highlight w:val="none"/>
          <w:lang w:val="en-US" w:eastAsia="zh-CN"/>
        </w:rPr>
        <w:t>县财政局、县金融办、阳泉银保监分局盂县监管组、县中小企业发展中心</w:t>
      </w:r>
      <w:r>
        <w:rPr>
          <w:rFonts w:hint="eastAsia" w:ascii="华文仿宋" w:hAnsi="华文仿宋" w:eastAsia="华文仿宋" w:cs="华文仿宋"/>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2"/>
        <w:rPr>
          <w:rFonts w:hint="eastAsia" w:ascii="华文楷体" w:hAnsi="华文楷体" w:eastAsia="华文楷体" w:cs="华文楷体"/>
          <w:b w:val="0"/>
          <w:bCs w:val="0"/>
          <w:color w:val="auto"/>
          <w:kern w:val="2"/>
          <w:sz w:val="32"/>
          <w:szCs w:val="32"/>
          <w:lang w:val="en-US" w:eastAsia="zh-CN" w:bidi="ar-SA"/>
        </w:rPr>
      </w:pPr>
      <w:r>
        <w:rPr>
          <w:rFonts w:hint="eastAsia" w:ascii="华文楷体" w:hAnsi="华文楷体" w:eastAsia="华文楷体" w:cs="华文楷体"/>
          <w:b w:val="0"/>
          <w:bCs w:val="0"/>
          <w:color w:val="auto"/>
          <w:kern w:val="2"/>
          <w:sz w:val="32"/>
          <w:szCs w:val="32"/>
          <w:lang w:val="en-US" w:eastAsia="zh-CN" w:bidi="ar-SA"/>
        </w:rPr>
        <w:t>（四）推进重点领域信用建设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50" w:afterAutospacing="0" w:line="450" w:lineRule="atLeast"/>
        <w:ind w:left="0" w:right="0" w:firstLine="643" w:firstLineChars="200"/>
        <w:jc w:val="both"/>
        <w:rPr>
          <w:rFonts w:hint="eastAsia" w:ascii="华文仿宋" w:hAnsi="华文仿宋" w:eastAsia="华文仿宋" w:cs="华文仿宋"/>
          <w:b w:val="0"/>
          <w:bCs w:val="0"/>
          <w:color w:val="auto"/>
          <w:kern w:val="2"/>
          <w:sz w:val="32"/>
          <w:szCs w:val="32"/>
          <w:highlight w:val="none"/>
          <w:lang w:val="en-US" w:eastAsia="zh-CN" w:bidi="ar-SA"/>
        </w:rPr>
      </w:pPr>
      <w:r>
        <w:rPr>
          <w:rFonts w:hint="eastAsia" w:ascii="仿宋" w:hAnsi="仿宋" w:eastAsia="仿宋" w:cs="仿宋"/>
          <w:b/>
          <w:bCs/>
          <w:color w:val="auto"/>
          <w:sz w:val="32"/>
          <w:szCs w:val="32"/>
          <w:highlight w:val="none"/>
          <w:lang w:val="en-US" w:eastAsia="zh-CN"/>
        </w:rPr>
        <w:t>8.加强重点领域信用监管。</w:t>
      </w:r>
      <w:r>
        <w:rPr>
          <w:rFonts w:hint="eastAsia" w:ascii="仿宋" w:hAnsi="仿宋" w:eastAsia="仿宋" w:cs="仿宋"/>
          <w:b w:val="0"/>
          <w:bCs w:val="0"/>
          <w:color w:val="auto"/>
          <w:sz w:val="32"/>
          <w:szCs w:val="32"/>
          <w:highlight w:val="none"/>
          <w:lang w:val="en-US" w:eastAsia="zh-CN"/>
        </w:rPr>
        <w:t>加强煤炭、电力、天然气、政府采购、工程建设等重点领域信用监管工作，加大信息归集共享和公示力度，依法依规对失信主体实施联合惩戒，形成跟踪、预警、处置、应用的履约信用管理机制。</w:t>
      </w:r>
      <w:r>
        <w:rPr>
          <w:rFonts w:hint="eastAsia" w:ascii="仿宋" w:hAnsi="仿宋" w:eastAsia="仿宋" w:cs="仿宋"/>
          <w:i w:val="0"/>
          <w:iCs w:val="0"/>
          <w:caps w:val="0"/>
          <w:color w:val="333333"/>
          <w:spacing w:val="0"/>
          <w:sz w:val="32"/>
          <w:szCs w:val="32"/>
          <w:shd w:val="clear" w:fill="FFFFFF"/>
        </w:rPr>
        <w:t>（</w:t>
      </w:r>
      <w:r>
        <w:rPr>
          <w:rFonts w:hint="eastAsia" w:ascii="华文楷体" w:hAnsi="华文楷体" w:eastAsia="华文楷体" w:cs="华文楷体"/>
          <w:b w:val="0"/>
          <w:bCs w:val="0"/>
          <w:color w:val="000000"/>
          <w:kern w:val="2"/>
          <w:sz w:val="32"/>
          <w:szCs w:val="32"/>
          <w:highlight w:val="none"/>
          <w:lang w:val="en-US" w:eastAsia="zh-CN" w:bidi="ar-SA"/>
        </w:rPr>
        <w:t>责任单位</w:t>
      </w:r>
      <w:r>
        <w:rPr>
          <w:rFonts w:hint="eastAsia" w:ascii="华文仿宋" w:hAnsi="华文仿宋" w:eastAsia="华文仿宋" w:cs="华文仿宋"/>
          <w:b w:val="0"/>
          <w:bCs w:val="0"/>
          <w:color w:val="auto"/>
          <w:kern w:val="2"/>
          <w:sz w:val="32"/>
          <w:szCs w:val="32"/>
          <w:highlight w:val="none"/>
          <w:lang w:val="en-US" w:eastAsia="zh-CN" w:bidi="ar-SA"/>
        </w:rPr>
        <w:t>：</w:t>
      </w:r>
      <w:r>
        <w:rPr>
          <w:rFonts w:hint="eastAsia" w:ascii="仿宋" w:hAnsi="仿宋" w:eastAsia="仿宋" w:cs="仿宋"/>
          <w:b w:val="0"/>
          <w:bCs w:val="0"/>
          <w:color w:val="auto"/>
          <w:kern w:val="2"/>
          <w:sz w:val="32"/>
          <w:szCs w:val="32"/>
          <w:highlight w:val="none"/>
          <w:lang w:val="en-US" w:eastAsia="zh-CN" w:bidi="ar-SA"/>
        </w:rPr>
        <w:t>县能源局、县财政局、县住建局</w:t>
      </w:r>
      <w:r>
        <w:rPr>
          <w:rFonts w:hint="eastAsia" w:ascii="华文仿宋" w:hAnsi="华文仿宋" w:eastAsia="华文仿宋" w:cs="华文仿宋"/>
          <w:b w:val="0"/>
          <w:bCs w:val="0"/>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2"/>
        <w:rPr>
          <w:rFonts w:hint="eastAsia" w:ascii="华文仿宋" w:hAnsi="华文仿宋" w:eastAsia="华文仿宋" w:cs="华文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9.加强市场主体诚信建设。</w:t>
      </w:r>
      <w:r>
        <w:rPr>
          <w:rFonts w:hint="eastAsia" w:ascii="仿宋" w:hAnsi="仿宋" w:eastAsia="仿宋" w:cs="仿宋"/>
          <w:b w:val="0"/>
          <w:bCs w:val="0"/>
          <w:color w:val="auto"/>
          <w:kern w:val="2"/>
          <w:sz w:val="32"/>
          <w:szCs w:val="32"/>
          <w:highlight w:val="none"/>
          <w:lang w:val="en-US" w:eastAsia="zh-CN" w:bidi="ar-SA"/>
        </w:rPr>
        <w:t>对参与市场活动的企业、个体工商户、社会组织、机关事业单位以及自然人等各类主体，依法完善信用记录。依托信用中国（山西阳泉）网站，将行政许可、行政处罚、抽查检查结果等信用信息全部记于各类市场主体名下，依法依规向社会公示，并为政府部门、企业及社会公众提供查询服务。大力推广信用报告应用，有关部门和单位应当依法查询应用公共信用报告，鼓励市场主体查询应用信用信息。</w:t>
      </w:r>
      <w:r>
        <w:rPr>
          <w:rFonts w:hint="eastAsia" w:ascii="华文仿宋" w:hAnsi="华文仿宋" w:eastAsia="华文仿宋" w:cs="华文仿宋"/>
          <w:b w:val="0"/>
          <w:bCs w:val="0"/>
          <w:color w:val="auto"/>
          <w:kern w:val="2"/>
          <w:sz w:val="32"/>
          <w:szCs w:val="32"/>
          <w:highlight w:val="none"/>
          <w:lang w:val="en-US" w:eastAsia="zh-CN" w:bidi="ar-SA"/>
        </w:rPr>
        <w:t>（</w:t>
      </w:r>
      <w:r>
        <w:rPr>
          <w:rFonts w:hint="eastAsia" w:ascii="华文楷体" w:hAnsi="华文楷体" w:eastAsia="华文楷体" w:cs="华文楷体"/>
          <w:b w:val="0"/>
          <w:bCs w:val="0"/>
          <w:color w:val="000000"/>
          <w:kern w:val="2"/>
          <w:sz w:val="32"/>
          <w:szCs w:val="32"/>
          <w:highlight w:val="none"/>
          <w:lang w:val="en-US" w:eastAsia="zh-CN" w:bidi="ar-SA"/>
        </w:rPr>
        <w:t>责任单位</w:t>
      </w:r>
      <w:r>
        <w:rPr>
          <w:rFonts w:hint="eastAsia" w:ascii="华文仿宋" w:hAnsi="华文仿宋" w:eastAsia="华文仿宋" w:cs="华文仿宋"/>
          <w:b w:val="0"/>
          <w:bCs w:val="0"/>
          <w:color w:val="auto"/>
          <w:kern w:val="2"/>
          <w:sz w:val="32"/>
          <w:szCs w:val="32"/>
          <w:highlight w:val="none"/>
          <w:lang w:val="en-US" w:eastAsia="zh-CN" w:bidi="ar-SA"/>
        </w:rPr>
        <w:t>：</w:t>
      </w:r>
      <w:r>
        <w:rPr>
          <w:rFonts w:hint="eastAsia" w:ascii="仿宋" w:hAnsi="仿宋" w:eastAsia="仿宋" w:cs="仿宋"/>
          <w:b w:val="0"/>
          <w:bCs w:val="0"/>
          <w:color w:val="auto"/>
          <w:kern w:val="2"/>
          <w:sz w:val="32"/>
          <w:szCs w:val="32"/>
          <w:highlight w:val="none"/>
          <w:lang w:val="en-US" w:eastAsia="zh-CN" w:bidi="ar-SA"/>
        </w:rPr>
        <w:t>县市场监管局、县发改局</w:t>
      </w:r>
      <w:r>
        <w:rPr>
          <w:rFonts w:hint="eastAsia" w:ascii="华文仿宋" w:hAnsi="华文仿宋" w:eastAsia="华文仿宋" w:cs="华文仿宋"/>
          <w:b w:val="0"/>
          <w:bCs w:val="0"/>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1"/>
        <w:rPr>
          <w:rFonts w:hint="eastAsia" w:ascii="华文楷体" w:hAnsi="华文楷体" w:eastAsia="华文楷体" w:cs="华文楷体"/>
          <w:b w:val="0"/>
          <w:bCs w:val="0"/>
          <w:color w:val="auto"/>
          <w:sz w:val="32"/>
          <w:szCs w:val="32"/>
          <w:lang w:val="en-US" w:eastAsia="zh-CN"/>
        </w:rPr>
      </w:pPr>
      <w:r>
        <w:rPr>
          <w:rFonts w:hint="eastAsia" w:ascii="华文楷体" w:hAnsi="华文楷体" w:eastAsia="华文楷体" w:cs="华文楷体"/>
          <w:b w:val="0"/>
          <w:bCs w:val="0"/>
          <w:color w:val="auto"/>
          <w:kern w:val="2"/>
          <w:sz w:val="32"/>
          <w:szCs w:val="32"/>
          <w:lang w:val="en-US" w:eastAsia="zh-CN" w:bidi="ar-SA"/>
        </w:rPr>
        <w:t>（五）提升信用监管和信用服务水平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2"/>
        <w:rPr>
          <w:rFonts w:hint="eastAsia" w:ascii="华文仿宋" w:hAnsi="华文仿宋" w:eastAsia="华文仿宋" w:cs="华文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10.强化信用信息归集质量。</w:t>
      </w:r>
      <w:r>
        <w:rPr>
          <w:rFonts w:hint="eastAsia" w:ascii="仿宋" w:hAnsi="仿宋" w:eastAsia="仿宋" w:cs="仿宋"/>
          <w:b w:val="0"/>
          <w:bCs w:val="0"/>
          <w:color w:val="auto"/>
          <w:kern w:val="2"/>
          <w:sz w:val="32"/>
          <w:szCs w:val="32"/>
          <w:highlight w:val="none"/>
          <w:lang w:val="en-US" w:eastAsia="zh-CN" w:bidi="ar-SA"/>
        </w:rPr>
        <w:t>加大信用信息归集力度，依托市信用信息共享平台，大力推进市场主体注册登记、行政许可、行政处罚等数据的归集工作，建立健全“行政许可、行政处罚”等信用信息报送审查机制，从信息采集源头对信用数据进行规范，全面提高数据质量。推动行政强制、行政确认、行政裁决、行政奖励和行政监督检查等行政管理信息依法依规归集。加强信用信息共享应用，统筹推进公共信用信息系统建设。支持监管部门获取监管对象信用数据，推动信用信息应用，提升监管效能。深入推进“双公示”工作，开展专项治理，提升全县“双公示”工作水平和数据质量。</w:t>
      </w:r>
      <w:r>
        <w:rPr>
          <w:rFonts w:hint="eastAsia" w:ascii="华文仿宋" w:hAnsi="华文仿宋" w:eastAsia="华文仿宋" w:cs="华文仿宋"/>
          <w:b w:val="0"/>
          <w:bCs w:val="0"/>
          <w:color w:val="auto"/>
          <w:kern w:val="2"/>
          <w:sz w:val="32"/>
          <w:szCs w:val="32"/>
          <w:highlight w:val="none"/>
          <w:lang w:val="en-US" w:eastAsia="zh-CN" w:bidi="ar-SA"/>
        </w:rPr>
        <w:t>（</w:t>
      </w:r>
      <w:r>
        <w:rPr>
          <w:rFonts w:hint="eastAsia" w:ascii="华文楷体" w:hAnsi="华文楷体" w:eastAsia="华文楷体" w:cs="华文楷体"/>
          <w:b w:val="0"/>
          <w:bCs w:val="0"/>
          <w:color w:val="000000"/>
          <w:kern w:val="2"/>
          <w:sz w:val="32"/>
          <w:szCs w:val="32"/>
          <w:highlight w:val="none"/>
          <w:lang w:val="en-US" w:eastAsia="zh-CN" w:bidi="ar-SA"/>
        </w:rPr>
        <w:t>责任单位</w:t>
      </w:r>
      <w:r>
        <w:rPr>
          <w:rFonts w:hint="eastAsia" w:ascii="华文仿宋" w:hAnsi="华文仿宋" w:eastAsia="华文仿宋" w:cs="华文仿宋"/>
          <w:b w:val="0"/>
          <w:bCs w:val="0"/>
          <w:color w:val="auto"/>
          <w:kern w:val="2"/>
          <w:sz w:val="32"/>
          <w:szCs w:val="32"/>
          <w:highlight w:val="none"/>
          <w:lang w:val="en-US" w:eastAsia="zh-CN" w:bidi="ar-SA"/>
        </w:rPr>
        <w:t>：</w:t>
      </w:r>
      <w:r>
        <w:rPr>
          <w:rFonts w:hint="eastAsia" w:ascii="仿宋" w:hAnsi="仿宋" w:eastAsia="仿宋" w:cs="仿宋"/>
          <w:b w:val="0"/>
          <w:bCs w:val="0"/>
          <w:color w:val="auto"/>
          <w:kern w:val="2"/>
          <w:sz w:val="32"/>
          <w:szCs w:val="32"/>
          <w:highlight w:val="none"/>
          <w:lang w:val="en-US" w:eastAsia="zh-CN" w:bidi="ar-SA"/>
        </w:rPr>
        <w:t>县市场监管局、县行政审批局、县发改局</w:t>
      </w:r>
      <w:r>
        <w:rPr>
          <w:rFonts w:hint="eastAsia" w:ascii="华文仿宋" w:hAnsi="华文仿宋" w:eastAsia="华文仿宋" w:cs="华文仿宋"/>
          <w:b w:val="0"/>
          <w:bCs w:val="0"/>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2"/>
        <w:rPr>
          <w:rFonts w:hint="eastAsia" w:ascii="华文仿宋" w:hAnsi="华文仿宋" w:eastAsia="华文仿宋" w:cs="华文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11.大力推进信用分级分类监管。</w:t>
      </w:r>
      <w:r>
        <w:rPr>
          <w:rFonts w:hint="eastAsia" w:ascii="仿宋" w:hAnsi="仿宋" w:eastAsia="仿宋" w:cs="仿宋"/>
          <w:b w:val="0"/>
          <w:bCs w:val="0"/>
          <w:color w:val="auto"/>
          <w:kern w:val="2"/>
          <w:sz w:val="32"/>
          <w:szCs w:val="32"/>
          <w:highlight w:val="none"/>
          <w:lang w:val="en-US" w:eastAsia="zh-CN" w:bidi="ar-SA"/>
        </w:rPr>
        <w:t>按照国家公共信用综合评价结果及省有关行业信用分级分类评价标准，探索在食品药品、工程建设、招标投标、消防安全、文化旅游、安全生产、财政性资金使用、电力市场等重点领域推进信用分级分类评价，综合应用信用分级分类评价结果，加强企业信用风险预警，在监管方式、“双随机、一公开”抽查比例和频次等方面根据信用状况采取差异化监管措施。构建守信激励、失信惩戒机制。健全多部门、跨地区信用惩戒联动机制，提升监管精准性和有效性。</w:t>
      </w:r>
      <w:r>
        <w:rPr>
          <w:rFonts w:hint="eastAsia" w:ascii="华文仿宋" w:hAnsi="华文仿宋" w:eastAsia="华文仿宋" w:cs="华文仿宋"/>
          <w:b w:val="0"/>
          <w:bCs w:val="0"/>
          <w:color w:val="auto"/>
          <w:kern w:val="2"/>
          <w:sz w:val="32"/>
          <w:szCs w:val="32"/>
          <w:highlight w:val="none"/>
          <w:lang w:val="en-US" w:eastAsia="zh-CN" w:bidi="ar-SA"/>
        </w:rPr>
        <w:t>（</w:t>
      </w:r>
      <w:r>
        <w:rPr>
          <w:rFonts w:hint="eastAsia" w:ascii="华文楷体" w:hAnsi="华文楷体" w:eastAsia="华文楷体" w:cs="华文楷体"/>
          <w:b w:val="0"/>
          <w:bCs w:val="0"/>
          <w:color w:val="000000"/>
          <w:kern w:val="2"/>
          <w:sz w:val="32"/>
          <w:szCs w:val="32"/>
          <w:highlight w:val="none"/>
          <w:lang w:val="en-US" w:eastAsia="zh-CN" w:bidi="ar-SA"/>
        </w:rPr>
        <w:t>责任单位</w:t>
      </w:r>
      <w:r>
        <w:rPr>
          <w:rFonts w:hint="eastAsia" w:ascii="华文仿宋" w:hAnsi="华文仿宋" w:eastAsia="华文仿宋" w:cs="华文仿宋"/>
          <w:b w:val="0"/>
          <w:bCs w:val="0"/>
          <w:color w:val="auto"/>
          <w:kern w:val="2"/>
          <w:sz w:val="32"/>
          <w:szCs w:val="32"/>
          <w:highlight w:val="none"/>
          <w:lang w:val="en-US" w:eastAsia="zh-CN" w:bidi="ar-SA"/>
        </w:rPr>
        <w:t>：</w:t>
      </w:r>
      <w:r>
        <w:rPr>
          <w:rFonts w:hint="eastAsia" w:ascii="仿宋" w:hAnsi="仿宋" w:eastAsia="仿宋" w:cs="仿宋"/>
          <w:b w:val="0"/>
          <w:bCs w:val="0"/>
          <w:color w:val="auto"/>
          <w:kern w:val="2"/>
          <w:sz w:val="32"/>
          <w:szCs w:val="32"/>
          <w:highlight w:val="none"/>
          <w:lang w:val="en-US" w:eastAsia="zh-CN" w:bidi="ar-SA"/>
        </w:rPr>
        <w:t>县社会信用体系建设各成员单位</w:t>
      </w:r>
      <w:r>
        <w:rPr>
          <w:rFonts w:hint="eastAsia" w:ascii="华文仿宋" w:hAnsi="华文仿宋" w:eastAsia="华文仿宋" w:cs="华文仿宋"/>
          <w:b w:val="0"/>
          <w:bCs w:val="0"/>
          <w:color w:val="auto"/>
          <w:kern w:val="2"/>
          <w:sz w:val="32"/>
          <w:szCs w:val="32"/>
          <w:highlight w:val="none"/>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450" w:lineRule="atLeast"/>
        <w:ind w:left="0" w:right="0" w:firstLine="643"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color w:val="auto"/>
          <w:kern w:val="2"/>
          <w:sz w:val="32"/>
          <w:szCs w:val="32"/>
          <w:highlight w:val="none"/>
          <w:lang w:val="en-US" w:eastAsia="zh-CN" w:bidi="ar-SA"/>
        </w:rPr>
        <w:t>12.强化信用宣传。</w:t>
      </w:r>
      <w:r>
        <w:rPr>
          <w:rFonts w:hint="eastAsia" w:ascii="仿宋" w:hAnsi="仿宋" w:eastAsia="仿宋" w:cs="仿宋"/>
          <w:b w:val="0"/>
          <w:bCs w:val="0"/>
          <w:color w:val="auto"/>
          <w:kern w:val="2"/>
          <w:sz w:val="32"/>
          <w:szCs w:val="32"/>
          <w:highlight w:val="none"/>
          <w:lang w:val="en-US" w:eastAsia="zh-CN" w:bidi="ar-SA"/>
        </w:rPr>
        <w:t>开展“诚信盂县”宣传专项行动，充分发挥电视、广播、报刊、网络等媒体的宣传引导作用，选树一批诚信模范个人、集体、企业，努力营造诚实守信的社会氛围。加强政府部门网站和官方微信公众号信用宣传工作，落实意识形态责任制，严防意识形态责任事件发生。</w:t>
      </w:r>
      <w:r>
        <w:rPr>
          <w:rFonts w:hint="eastAsia" w:ascii="华文仿宋" w:hAnsi="华文仿宋" w:eastAsia="华文仿宋" w:cs="华文仿宋"/>
          <w:b w:val="0"/>
          <w:bCs w:val="0"/>
          <w:color w:val="auto"/>
          <w:kern w:val="2"/>
          <w:sz w:val="32"/>
          <w:szCs w:val="32"/>
          <w:highlight w:val="none"/>
          <w:lang w:val="en-US" w:eastAsia="zh-CN" w:bidi="ar-SA"/>
        </w:rPr>
        <w:t>（</w:t>
      </w:r>
      <w:r>
        <w:rPr>
          <w:rFonts w:hint="eastAsia" w:ascii="华文楷体" w:hAnsi="华文楷体" w:eastAsia="华文楷体" w:cs="华文楷体"/>
          <w:b w:val="0"/>
          <w:bCs w:val="0"/>
          <w:color w:val="auto"/>
          <w:kern w:val="2"/>
          <w:sz w:val="32"/>
          <w:szCs w:val="32"/>
          <w:highlight w:val="none"/>
          <w:lang w:val="en-US" w:eastAsia="zh-CN" w:bidi="ar-SA"/>
        </w:rPr>
        <w:t>责任单位：</w:t>
      </w:r>
      <w:r>
        <w:rPr>
          <w:rFonts w:hint="eastAsia" w:ascii="仿宋" w:hAnsi="仿宋" w:eastAsia="仿宋" w:cs="仿宋"/>
          <w:b w:val="0"/>
          <w:bCs w:val="0"/>
          <w:color w:val="auto"/>
          <w:kern w:val="2"/>
          <w:sz w:val="32"/>
          <w:szCs w:val="32"/>
          <w:highlight w:val="none"/>
          <w:lang w:val="en-US" w:eastAsia="zh-CN" w:bidi="ar-SA"/>
        </w:rPr>
        <w:t>县社会信用体系建设成员单位</w:t>
      </w:r>
      <w:r>
        <w:rPr>
          <w:rFonts w:hint="eastAsia" w:ascii="华文仿宋" w:hAnsi="华文仿宋" w:eastAsia="华文仿宋" w:cs="华文仿宋"/>
          <w:b w:val="0"/>
          <w:bCs w:val="0"/>
          <w:color w:val="auto"/>
          <w:kern w:val="2"/>
          <w:sz w:val="32"/>
          <w:szCs w:val="32"/>
          <w:highlight w:val="none"/>
          <w:lang w:val="en-US" w:eastAsia="zh-CN" w:bidi="ar-SA"/>
        </w:rPr>
        <w:t>）</w:t>
      </w:r>
      <w:r>
        <w:rPr>
          <w:rFonts w:hint="eastAsia" w:ascii="微软雅黑" w:hAnsi="微软雅黑" w:eastAsia="微软雅黑" w:cs="微软雅黑"/>
          <w:i w:val="0"/>
          <w:iCs w:val="0"/>
          <w:caps w:val="0"/>
          <w:color w:val="333333"/>
          <w:spacing w:val="0"/>
          <w:sz w:val="24"/>
          <w:szCs w:val="24"/>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450" w:lineRule="atLeast"/>
        <w:ind w:left="0" w:right="0" w:firstLine="0"/>
        <w:jc w:val="both"/>
        <w:textAlignment w:val="auto"/>
        <w:rPr>
          <w:rFonts w:hint="eastAsia" w:ascii="方正黑体_GBK" w:hAnsi="方正黑体_GBK" w:eastAsia="方正黑体_GBK" w:cs="方正黑体_GBK"/>
          <w:b w:val="0"/>
          <w:bCs w:val="0"/>
          <w:color w:val="auto"/>
          <w:kern w:val="2"/>
          <w:sz w:val="32"/>
          <w:szCs w:val="32"/>
          <w:lang w:val="en-US" w:eastAsia="zh-CN" w:bidi="ar-SA"/>
        </w:rPr>
      </w:pPr>
      <w:r>
        <w:rPr>
          <w:rStyle w:val="7"/>
          <w:rFonts w:hint="eastAsia" w:ascii="微软雅黑" w:hAnsi="微软雅黑" w:eastAsia="微软雅黑" w:cs="微软雅黑"/>
          <w:i w:val="0"/>
          <w:iCs w:val="0"/>
          <w:caps w:val="0"/>
          <w:color w:val="333333"/>
          <w:spacing w:val="0"/>
          <w:sz w:val="24"/>
          <w:szCs w:val="24"/>
          <w:shd w:val="clear" w:fill="FFFFFF"/>
        </w:rPr>
        <w:t>　　</w:t>
      </w:r>
      <w:r>
        <w:rPr>
          <w:rFonts w:hint="eastAsia" w:ascii="方正黑体_GBK" w:hAnsi="方正黑体_GBK" w:eastAsia="方正黑体_GBK" w:cs="方正黑体_GBK"/>
          <w:b w:val="0"/>
          <w:bCs w:val="0"/>
          <w:color w:val="auto"/>
          <w:kern w:val="2"/>
          <w:sz w:val="32"/>
          <w:szCs w:val="32"/>
          <w:lang w:val="en-US" w:eastAsia="zh-CN" w:bidi="ar-SA"/>
        </w:rPr>
        <w:t>三、保障措施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450" w:lineRule="atLeast"/>
        <w:ind w:left="0" w:right="0" w:firstLine="0"/>
        <w:jc w:val="both"/>
        <w:textAlignment w:val="auto"/>
        <w:rPr>
          <w:rFonts w:hint="eastAsia" w:ascii="仿宋" w:hAnsi="仿宋" w:eastAsia="仿宋" w:cs="仿宋"/>
          <w:b w:val="0"/>
          <w:bCs w:val="0"/>
          <w:color w:val="auto"/>
          <w:sz w:val="32"/>
          <w:szCs w:val="32"/>
          <w:highlight w:val="none"/>
          <w:lang w:eastAsia="zh-CN"/>
        </w:rPr>
      </w:pPr>
      <w:r>
        <w:rPr>
          <w:rFonts w:hint="eastAsia" w:ascii="微软雅黑" w:hAnsi="微软雅黑" w:eastAsia="微软雅黑" w:cs="微软雅黑"/>
          <w:i w:val="0"/>
          <w:iCs w:val="0"/>
          <w:caps w:val="0"/>
          <w:color w:val="333333"/>
          <w:spacing w:val="0"/>
          <w:sz w:val="24"/>
          <w:szCs w:val="24"/>
          <w:shd w:val="clear" w:fill="FFFFFF"/>
        </w:rPr>
        <w:t>　　</w:t>
      </w:r>
      <w:r>
        <w:rPr>
          <w:rFonts w:hint="eastAsia" w:ascii="仿宋" w:hAnsi="仿宋" w:eastAsia="仿宋" w:cs="仿宋"/>
          <w:b/>
          <w:bCs/>
          <w:color w:val="auto"/>
          <w:sz w:val="32"/>
          <w:szCs w:val="32"/>
          <w:lang w:eastAsia="zh-CN"/>
        </w:rPr>
        <w:t>（一）加强组织协调。</w:t>
      </w:r>
      <w:r>
        <w:rPr>
          <w:rFonts w:hint="eastAsia" w:ascii="仿宋" w:hAnsi="仿宋" w:eastAsia="仿宋" w:cs="仿宋"/>
          <w:b w:val="0"/>
          <w:bCs w:val="0"/>
          <w:color w:val="auto"/>
          <w:sz w:val="32"/>
          <w:szCs w:val="32"/>
          <w:highlight w:val="none"/>
          <w:lang w:eastAsia="zh-CN"/>
        </w:rPr>
        <w:t>各部门要高度重视，将信用体系建设纳入重要工作日程，主动作为，对照任务分工，明确工作目标，细化工作举措，扎实推进，共同推动行动计划各项重点任务落到实处。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0"/>
        <w:jc w:val="both"/>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i w:val="0"/>
          <w:iCs w:val="0"/>
          <w:caps w:val="0"/>
          <w:color w:val="333333"/>
          <w:spacing w:val="0"/>
          <w:sz w:val="24"/>
          <w:szCs w:val="24"/>
          <w:shd w:val="clear" w:fill="FFFFFF"/>
        </w:rPr>
        <w:t>　　</w:t>
      </w:r>
      <w:r>
        <w:rPr>
          <w:rFonts w:hint="eastAsia" w:ascii="仿宋" w:hAnsi="仿宋" w:eastAsia="仿宋" w:cs="仿宋"/>
          <w:b/>
          <w:bCs/>
          <w:color w:val="auto"/>
          <w:sz w:val="32"/>
          <w:szCs w:val="32"/>
          <w:lang w:eastAsia="zh-CN"/>
        </w:rPr>
        <w:t>（二）强化调度管理。</w:t>
      </w:r>
      <w:r>
        <w:rPr>
          <w:rFonts w:hint="eastAsia" w:ascii="仿宋" w:hAnsi="仿宋" w:eastAsia="仿宋" w:cs="仿宋"/>
          <w:b w:val="0"/>
          <w:bCs w:val="0"/>
          <w:color w:val="auto"/>
          <w:sz w:val="32"/>
          <w:szCs w:val="32"/>
          <w:highlight w:val="none"/>
          <w:lang w:eastAsia="zh-CN"/>
        </w:rPr>
        <w:t>对各项重点任务建立工作推进台账，实施月调度机制。各部门务必于每月底前将本月相关工作开展情况报至县发改局发展规划股，报送邮箱：</w:t>
      </w:r>
      <w:r>
        <w:rPr>
          <w:rFonts w:hint="eastAsia" w:ascii="仿宋" w:hAnsi="仿宋" w:eastAsia="仿宋" w:cs="仿宋"/>
          <w:b w:val="0"/>
          <w:bCs w:val="0"/>
          <w:color w:val="auto"/>
          <w:sz w:val="32"/>
          <w:szCs w:val="32"/>
          <w:highlight w:val="none"/>
          <w:lang w:val="en-US" w:eastAsia="zh-CN"/>
        </w:rPr>
        <w:t>yxfgj3108ghk@163.com，联系人：聂琳玲，电话：8185056。</w:t>
      </w:r>
      <w:r>
        <w:rPr>
          <w:rFonts w:hint="eastAsia" w:ascii="仿宋" w:hAnsi="仿宋" w:eastAsia="仿宋" w:cs="仿宋"/>
          <w:b w:val="0"/>
          <w:bCs w:val="0"/>
          <w:color w:val="auto"/>
          <w:sz w:val="32"/>
          <w:szCs w:val="32"/>
          <w:highlight w:val="none"/>
          <w:lang w:eastAsia="zh-CN"/>
        </w:rPr>
        <w:t>各部门要对任务完成情况加强分析研判，着力协调解决推进中遇到的矛盾问题，及时总结创新做法、实践经验和成效。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0"/>
        <w:jc w:val="both"/>
        <w:textAlignment w:val="auto"/>
        <w:rPr>
          <w:rFonts w:hint="eastAsia" w:ascii="华文仿宋" w:hAnsi="华文仿宋" w:eastAsia="华文仿宋" w:cs="华文仿宋"/>
          <w:b w:val="0"/>
          <w:bCs w:val="0"/>
          <w:color w:val="auto"/>
          <w:sz w:val="32"/>
          <w:szCs w:val="32"/>
          <w:highlight w:val="none"/>
          <w:lang w:eastAsia="zh-CN"/>
        </w:rPr>
      </w:pPr>
      <w:r>
        <w:rPr>
          <w:rFonts w:hint="eastAsia" w:ascii="仿宋" w:hAnsi="仿宋" w:eastAsia="仿宋" w:cs="仿宋"/>
          <w:i w:val="0"/>
          <w:iCs w:val="0"/>
          <w:caps w:val="0"/>
          <w:color w:val="333333"/>
          <w:spacing w:val="0"/>
          <w:sz w:val="24"/>
          <w:szCs w:val="24"/>
          <w:shd w:val="clear" w:fill="FFFFFF"/>
        </w:rPr>
        <w:t>　　</w:t>
      </w:r>
      <w:r>
        <w:rPr>
          <w:rFonts w:hint="eastAsia" w:ascii="仿宋" w:hAnsi="仿宋" w:eastAsia="仿宋" w:cs="仿宋"/>
          <w:b/>
          <w:bCs/>
          <w:color w:val="auto"/>
          <w:sz w:val="32"/>
          <w:szCs w:val="32"/>
          <w:lang w:eastAsia="zh-CN"/>
        </w:rPr>
        <w:t>（三）强化制度配套。</w:t>
      </w:r>
      <w:r>
        <w:rPr>
          <w:rFonts w:hint="eastAsia" w:ascii="仿宋" w:hAnsi="仿宋" w:eastAsia="仿宋" w:cs="仿宋"/>
          <w:b w:val="0"/>
          <w:bCs w:val="0"/>
          <w:color w:val="auto"/>
          <w:sz w:val="32"/>
          <w:szCs w:val="32"/>
          <w:highlight w:val="none"/>
          <w:lang w:eastAsia="zh-CN"/>
        </w:rPr>
        <w:t>各部门要结合实际，在行动计划推进中完善各项制度，如信用承诺、信用评价、信用分级分类监管、信用激励惩戒、信用修复等制度，形成工作机制，巩固工作成效。</w:t>
      </w:r>
    </w:p>
    <w:p>
      <w:pPr>
        <w:pStyle w:val="8"/>
        <w:keepNext w:val="0"/>
        <w:keepLines w:val="0"/>
        <w:pageBreakBefore w:val="0"/>
        <w:widowControl w:val="0"/>
        <w:kinsoku/>
        <w:wordWrap/>
        <w:overflowPunct/>
        <w:topLinePunct w:val="0"/>
        <w:autoSpaceDE/>
        <w:autoSpaceDN/>
        <w:bidi w:val="0"/>
        <w:adjustRightInd w:val="0"/>
        <w:snapToGrid/>
        <w:spacing w:after="0" w:afterLines="0" w:line="560" w:lineRule="exact"/>
        <w:ind w:left="0" w:leftChars="0" w:firstLine="0" w:firstLineChars="0"/>
        <w:textAlignment w:val="auto"/>
        <w:outlineLvl w:val="2"/>
        <w:rPr>
          <w:rFonts w:hint="eastAsia" w:ascii="华文仿宋" w:hAnsi="华文仿宋" w:eastAsia="华文仿宋" w:cs="华文仿宋"/>
          <w:b w:val="0"/>
          <w:bCs w:val="0"/>
          <w:color w:val="auto"/>
          <w:kern w:val="2"/>
          <w:sz w:val="32"/>
          <w:szCs w:val="32"/>
          <w:highlight w:val="none"/>
          <w:lang w:val="en-US" w:eastAsia="zh-CN" w:bidi="ar-SA"/>
        </w:rPr>
      </w:pPr>
    </w:p>
    <w:p>
      <w:pPr>
        <w:pStyle w:val="8"/>
        <w:keepNext w:val="0"/>
        <w:keepLines w:val="0"/>
        <w:pageBreakBefore w:val="0"/>
        <w:widowControl w:val="0"/>
        <w:kinsoku/>
        <w:wordWrap/>
        <w:overflowPunct/>
        <w:topLinePunct w:val="0"/>
        <w:autoSpaceDE/>
        <w:autoSpaceDN/>
        <w:bidi w:val="0"/>
        <w:adjustRightInd w:val="0"/>
        <w:snapToGrid/>
        <w:spacing w:after="0" w:afterLines="0" w:line="560" w:lineRule="exact"/>
        <w:ind w:left="0" w:leftChars="0" w:firstLine="0" w:firstLineChars="0"/>
        <w:textAlignment w:val="auto"/>
        <w:outlineLvl w:val="2"/>
        <w:rPr>
          <w:rFonts w:hint="eastAsia" w:ascii="华文仿宋" w:hAnsi="华文仿宋" w:eastAsia="华文仿宋" w:cs="华文仿宋"/>
          <w:b w:val="0"/>
          <w:bCs w:val="0"/>
          <w:color w:val="auto"/>
          <w:kern w:val="2"/>
          <w:sz w:val="32"/>
          <w:szCs w:val="32"/>
          <w:highlight w:val="none"/>
          <w:lang w:val="en-US" w:eastAsia="zh-CN" w:bidi="ar-SA"/>
        </w:rPr>
      </w:pPr>
    </w:p>
    <w:p>
      <w:pPr>
        <w:pStyle w:val="8"/>
        <w:rPr>
          <w:rFonts w:hint="eastAsia" w:ascii="华文仿宋" w:hAnsi="华文仿宋" w:eastAsia="华文仿宋" w:cs="华文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附件：《</w:t>
      </w:r>
      <w:r>
        <w:rPr>
          <w:rFonts w:hint="eastAsia" w:ascii="仿宋" w:hAnsi="仿宋" w:eastAsia="仿宋" w:cs="仿宋"/>
          <w:i w:val="0"/>
          <w:iCs w:val="0"/>
          <w:color w:val="000000"/>
          <w:kern w:val="0"/>
          <w:sz w:val="32"/>
          <w:szCs w:val="32"/>
          <w:u w:val="none"/>
          <w:lang w:val="en-US" w:eastAsia="zh-CN" w:bidi="ar"/>
        </w:rPr>
        <w:t>盂县</w:t>
      </w:r>
      <w:r>
        <w:rPr>
          <w:rStyle w:val="10"/>
          <w:rFonts w:hint="eastAsia" w:ascii="仿宋" w:hAnsi="仿宋" w:eastAsia="仿宋" w:cs="仿宋"/>
          <w:sz w:val="32"/>
          <w:szCs w:val="32"/>
          <w:u w:val="none"/>
          <w:lang w:val="en-US" w:eastAsia="zh-CN" w:bidi="ar"/>
        </w:rPr>
        <w:t>2023年信用体系建设工作推进台账</w:t>
      </w:r>
      <w:r>
        <w:rPr>
          <w:rFonts w:hint="eastAsia" w:ascii="仿宋" w:hAnsi="仿宋" w:eastAsia="仿宋" w:cs="仿宋"/>
          <w:b w:val="0"/>
          <w:bCs w:val="0"/>
          <w:color w:val="auto"/>
          <w:sz w:val="32"/>
          <w:szCs w:val="32"/>
          <w:highlight w:val="none"/>
          <w:lang w:eastAsia="zh-CN"/>
        </w:rPr>
        <w:t>》</w:t>
      </w:r>
    </w:p>
    <w:p>
      <w:pPr>
        <w:pStyle w:val="2"/>
        <w:jc w:val="both"/>
        <w:rPr>
          <w:rFonts w:hint="eastAsia"/>
        </w:rPr>
      </w:pPr>
    </w:p>
    <w:p>
      <w:pPr>
        <w:rPr>
          <w:rFonts w:hint="default"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t>附件：</w:t>
      </w:r>
    </w:p>
    <w:tbl>
      <w:tblPr>
        <w:tblStyle w:val="4"/>
        <w:tblpPr w:leftFromText="180" w:rightFromText="180" w:vertAnchor="text" w:horzAnchor="page" w:tblpX="944" w:tblpY="731"/>
        <w:tblOverlap w:val="never"/>
        <w:tblW w:w="102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756"/>
        <w:gridCol w:w="6156"/>
        <w:gridCol w:w="1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0264" w:type="dxa"/>
            <w:gridSpan w:val="4"/>
            <w:tcBorders>
              <w:top w:val="single" w:color="6F9731" w:sz="0" w:space="0"/>
              <w:left w:val="single" w:color="DBEBC2" w:sz="0" w:space="0"/>
              <w:bottom w:val="single" w:color="6F9731" w:sz="0" w:space="0"/>
              <w:right w:val="single" w:color="DBEBC2" w:sz="0" w:space="0"/>
            </w:tcBorders>
            <w:shd w:val="clear" w:color="auto" w:fill="A4CD66"/>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小标宋简体" w:hAnsi="方正小标宋简体" w:eastAsia="方正小标宋简体" w:cs="方正小标宋简体"/>
                <w:i w:val="0"/>
                <w:iCs w:val="0"/>
                <w:color w:val="000000"/>
                <w:sz w:val="36"/>
                <w:szCs w:val="36"/>
                <w:u w:val="none"/>
              </w:rPr>
            </w:pPr>
            <w:r>
              <w:rPr>
                <w:rStyle w:val="11"/>
                <w:lang w:val="en-US" w:eastAsia="zh-CN" w:bidi="ar"/>
              </w:rPr>
              <w:t>盂县2023年</w:t>
            </w:r>
            <w:r>
              <w:rPr>
                <w:rFonts w:hint="default" w:ascii="方正小标宋简体" w:hAnsi="方正小标宋简体" w:eastAsia="方正小标宋简体" w:cs="方正小标宋简体"/>
                <w:i w:val="0"/>
                <w:iCs w:val="0"/>
                <w:color w:val="000000"/>
                <w:kern w:val="0"/>
                <w:sz w:val="36"/>
                <w:szCs w:val="36"/>
                <w:u w:val="single"/>
                <w:lang w:val="en-US" w:eastAsia="zh-CN" w:bidi="ar"/>
              </w:rPr>
              <w:t xml:space="preserve">   </w:t>
            </w:r>
            <w:r>
              <w:rPr>
                <w:rStyle w:val="11"/>
                <w:lang w:val="en-US" w:eastAsia="zh-CN" w:bidi="ar"/>
              </w:rPr>
              <w:t>月信用体系建设工作推进台账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6" w:type="dxa"/>
            <w:tcBorders>
              <w:top w:val="single" w:color="6F9731" w:sz="4" w:space="0"/>
              <w:left w:val="single" w:color="DBEBC2" w:sz="4" w:space="0"/>
              <w:bottom w:val="single" w:color="DBEBC2" w:sz="4" w:space="0"/>
              <w:right w:val="single" w:color="DBEBC2" w:sz="4" w:space="0"/>
            </w:tcBorders>
            <w:shd w:val="clear" w:color="auto" w:fill="A4CD66"/>
            <w:noWrap/>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56" w:type="dxa"/>
            <w:tcBorders>
              <w:top w:val="single" w:color="6F9731" w:sz="4" w:space="0"/>
              <w:left w:val="single" w:color="DBEBC2" w:sz="4" w:space="0"/>
              <w:bottom w:val="single" w:color="DBEBC2" w:sz="4" w:space="0"/>
              <w:right w:val="single" w:color="DBEBC2" w:sz="4" w:space="0"/>
            </w:tcBorders>
            <w:shd w:val="clear" w:color="auto" w:fill="EEF6E1"/>
            <w:noWrap/>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责任单位</w:t>
            </w:r>
          </w:p>
        </w:tc>
        <w:tc>
          <w:tcPr>
            <w:tcW w:w="6156" w:type="dxa"/>
            <w:tcBorders>
              <w:top w:val="single" w:color="6F9731" w:sz="4" w:space="0"/>
              <w:left w:val="single" w:color="DBEBC2" w:sz="4" w:space="0"/>
              <w:bottom w:val="single" w:color="DBEBC2" w:sz="4" w:space="0"/>
              <w:right w:val="single" w:color="DBEBC2"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任务目标</w:t>
            </w:r>
          </w:p>
        </w:tc>
        <w:tc>
          <w:tcPr>
            <w:tcW w:w="1656" w:type="dxa"/>
            <w:tcBorders>
              <w:top w:val="single" w:color="6F9731" w:sz="4" w:space="0"/>
              <w:left w:val="single" w:color="DBEBC2" w:sz="4" w:space="0"/>
              <w:bottom w:val="single" w:color="DBEBC2" w:sz="4" w:space="0"/>
              <w:right w:val="single" w:color="DBEBC2" w:sz="4" w:space="0"/>
            </w:tcBorders>
            <w:shd w:val="clear" w:color="auto" w:fill="EEF6E1"/>
            <w:noWrap/>
            <w:vAlign w:val="center"/>
          </w:tcPr>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本月推进内容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6" w:type="dxa"/>
            <w:tcBorders>
              <w:top w:val="single" w:color="DBEBC2" w:sz="4" w:space="0"/>
              <w:left w:val="single" w:color="DBEBC2" w:sz="4" w:space="0"/>
              <w:bottom w:val="single" w:color="DBEBC2" w:sz="4" w:space="0"/>
              <w:right w:val="single" w:color="DBEBC2" w:sz="4" w:space="0"/>
            </w:tcBorders>
            <w:shd w:val="clear" w:color="auto" w:fill="A4CD66"/>
            <w:vAlign w:val="center"/>
          </w:tcPr>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756" w:type="dxa"/>
            <w:tcBorders>
              <w:top w:val="single" w:color="DBEBC2" w:sz="4" w:space="0"/>
              <w:left w:val="single" w:color="DBEBC2" w:sz="4" w:space="0"/>
              <w:bottom w:val="single" w:color="DBEBC2" w:sz="4" w:space="0"/>
              <w:right w:val="single" w:color="DBEBC2" w:sz="4" w:space="0"/>
            </w:tcBorders>
            <w:shd w:val="clear" w:color="auto" w:fill="EEF6E1"/>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县委组织部</w:t>
            </w:r>
          </w:p>
        </w:tc>
        <w:tc>
          <w:tcPr>
            <w:tcW w:w="6156" w:type="dxa"/>
            <w:tcBorders>
              <w:top w:val="single" w:color="DBEBC2" w:sz="4" w:space="0"/>
              <w:left w:val="single" w:color="DBEBC2" w:sz="4" w:space="0"/>
              <w:bottom w:val="single" w:color="DBEBC2" w:sz="4" w:space="0"/>
              <w:right w:val="single" w:color="DBEBC2" w:sz="4" w:space="0"/>
            </w:tcBorders>
            <w:shd w:val="clear" w:color="auto" w:fill="EEF6E1"/>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1.健全政务守信践诺机制，列明依法依规作出但未履行到位的承诺清单，明确整改措施和完成期限。</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2.建立公务员诚信档案，健全守信激励、失信惩戒机制。</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3.建立信息通报机制，及时反馈通报并记入公务员诚信档案，对严重失信公务员实行追踪监督。</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4.开展公务员诚信教育培训，强化学法用法守法意识，提升依法行政能力。</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5.树立公务员诚信先进典型，发挥示范带头作用。</w:t>
            </w:r>
          </w:p>
        </w:tc>
        <w:tc>
          <w:tcPr>
            <w:tcW w:w="1656" w:type="dxa"/>
            <w:tcBorders>
              <w:top w:val="single" w:color="DBEBC2" w:sz="4" w:space="0"/>
              <w:left w:val="single" w:color="DBEBC2" w:sz="4" w:space="0"/>
              <w:bottom w:val="single" w:color="DBEBC2" w:sz="4" w:space="0"/>
              <w:right w:val="single" w:color="DBEBC2" w:sz="4" w:space="0"/>
            </w:tcBorders>
            <w:shd w:val="clear" w:color="auto" w:fill="EEF6E1"/>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96" w:type="dxa"/>
            <w:tcBorders>
              <w:top w:val="single" w:color="DBEBC2" w:sz="4" w:space="0"/>
              <w:left w:val="single" w:color="DBEBC2" w:sz="4" w:space="0"/>
              <w:bottom w:val="single" w:color="DBEBC2" w:sz="4" w:space="0"/>
              <w:right w:val="single" w:color="DBEBC2" w:sz="4" w:space="0"/>
            </w:tcBorders>
            <w:shd w:val="clear" w:color="auto" w:fill="A4CD66"/>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756" w:type="dxa"/>
            <w:tcBorders>
              <w:top w:val="single" w:color="DBEBC2" w:sz="4" w:space="0"/>
              <w:left w:val="single" w:color="DBEBC2" w:sz="4" w:space="0"/>
              <w:bottom w:val="single" w:color="DBEBC2" w:sz="4" w:space="0"/>
              <w:right w:val="single" w:color="DBEBC2" w:sz="4" w:space="0"/>
            </w:tcBorders>
            <w:shd w:val="clear" w:color="auto" w:fill="EEF6E1"/>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县发改局</w:t>
            </w:r>
          </w:p>
        </w:tc>
        <w:tc>
          <w:tcPr>
            <w:tcW w:w="6156" w:type="dxa"/>
            <w:tcBorders>
              <w:top w:val="single" w:color="DBEBC2" w:sz="4" w:space="0"/>
              <w:left w:val="single" w:color="DBEBC2" w:sz="4" w:space="0"/>
              <w:bottom w:val="single" w:color="DBEBC2" w:sz="4" w:space="0"/>
              <w:right w:val="single" w:color="DBEBC2"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1.健全政务守信践诺机制，列明依法依规作出但未履行到位的承诺清单，明确整改措施和完成期限。</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2.依托信用中国（山西阳泉）网站，将行政许可、行政处罚、抽查检查结果等信用信息全部记于各类市场主体名下，依法依规向社会公示，并为政府部门、企业及社会公众提供查询服务。</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3.获取监管对象信用数据，加强信用信息共享应用。</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4.推进“双公示”工作，开展专项治理，加大“双公示”数据报送和共享应用。</w:t>
            </w:r>
          </w:p>
        </w:tc>
        <w:tc>
          <w:tcPr>
            <w:tcW w:w="1656" w:type="dxa"/>
            <w:tcBorders>
              <w:top w:val="single" w:color="DBEBC2" w:sz="4" w:space="0"/>
              <w:left w:val="single" w:color="DBEBC2" w:sz="4" w:space="0"/>
              <w:bottom w:val="single" w:color="DBEBC2" w:sz="4" w:space="0"/>
              <w:right w:val="single" w:color="DBEBC2" w:sz="4" w:space="0"/>
            </w:tcBorders>
            <w:shd w:val="clear" w:color="auto" w:fill="EEF6E1"/>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696" w:type="dxa"/>
            <w:tcBorders>
              <w:top w:val="single" w:color="DBEBC2" w:sz="4" w:space="0"/>
              <w:left w:val="single" w:color="DBEBC2" w:sz="4" w:space="0"/>
              <w:bottom w:val="single" w:color="DBEBC2" w:sz="4" w:space="0"/>
              <w:right w:val="single" w:color="DBEBC2" w:sz="4" w:space="0"/>
            </w:tcBorders>
            <w:shd w:val="clear" w:color="auto" w:fill="A4CD66"/>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756" w:type="dxa"/>
            <w:tcBorders>
              <w:top w:val="single" w:color="DBEBC2" w:sz="4" w:space="0"/>
              <w:left w:val="single" w:color="DBEBC2" w:sz="4" w:space="0"/>
              <w:bottom w:val="single" w:color="DBEBC2" w:sz="4" w:space="0"/>
              <w:right w:val="single" w:color="DBEBC2" w:sz="4" w:space="0"/>
            </w:tcBorders>
            <w:shd w:val="clear" w:color="auto" w:fill="EEF6E1"/>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县委宣传部</w:t>
            </w:r>
          </w:p>
        </w:tc>
        <w:tc>
          <w:tcPr>
            <w:tcW w:w="6156" w:type="dxa"/>
            <w:tcBorders>
              <w:top w:val="single" w:color="DBEBC2" w:sz="4" w:space="0"/>
              <w:left w:val="single" w:color="DBEBC2" w:sz="4" w:space="0"/>
              <w:bottom w:val="single" w:color="DBEBC2" w:sz="4" w:space="0"/>
              <w:right w:val="single" w:color="DBEBC2" w:sz="4" w:space="0"/>
            </w:tcBorders>
            <w:shd w:val="clear" w:color="auto" w:fill="EEF6E1"/>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1.开展“诚信盂县”宣传活动，充分利用电视、网络等媒体。</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2.选树一批诚信模范个人，集体，企业，努力营造诚实守信的社会氛围。</w:t>
            </w:r>
          </w:p>
        </w:tc>
        <w:tc>
          <w:tcPr>
            <w:tcW w:w="1656" w:type="dxa"/>
            <w:tcBorders>
              <w:top w:val="single" w:color="DBEBC2" w:sz="4" w:space="0"/>
              <w:left w:val="single" w:color="DBEBC2" w:sz="4" w:space="0"/>
              <w:bottom w:val="single" w:color="DBEBC2" w:sz="4" w:space="0"/>
              <w:right w:val="single" w:color="DBEBC2" w:sz="4" w:space="0"/>
            </w:tcBorders>
            <w:shd w:val="clear" w:color="auto" w:fill="EEF6E1"/>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96" w:type="dxa"/>
            <w:tcBorders>
              <w:top w:val="single" w:color="DBEBC2" w:sz="4" w:space="0"/>
              <w:left w:val="single" w:color="DBEBC2" w:sz="4" w:space="0"/>
              <w:bottom w:val="single" w:color="DBEBC2" w:sz="4" w:space="0"/>
              <w:right w:val="single" w:color="DBEBC2" w:sz="4" w:space="0"/>
            </w:tcBorders>
            <w:shd w:val="clear" w:color="auto" w:fill="A4CD66"/>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756" w:type="dxa"/>
            <w:tcBorders>
              <w:top w:val="single" w:color="DBEBC2" w:sz="4" w:space="0"/>
              <w:left w:val="single" w:color="DBEBC2" w:sz="4" w:space="0"/>
              <w:bottom w:val="single" w:color="DBEBC2" w:sz="4" w:space="0"/>
              <w:right w:val="single" w:color="DBEBC2" w:sz="4" w:space="0"/>
            </w:tcBorders>
            <w:shd w:val="clear" w:color="auto" w:fill="EEF6E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县教科局</w:t>
            </w:r>
          </w:p>
        </w:tc>
        <w:tc>
          <w:tcPr>
            <w:tcW w:w="6156" w:type="dxa"/>
            <w:tcBorders>
              <w:top w:val="single" w:color="DBEBC2" w:sz="4" w:space="0"/>
              <w:left w:val="single" w:color="DBEBC2" w:sz="4" w:space="0"/>
              <w:bottom w:val="single" w:color="DBEBC2" w:sz="4" w:space="0"/>
              <w:right w:val="single" w:color="DBEBC2"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1.健全政务守信践诺机制，列明依法依规作出但未履行到位的承诺清单，明确整改措施和完成期限。</w:t>
            </w:r>
          </w:p>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2.对科研活动全过程诚信审核。</w:t>
            </w:r>
          </w:p>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3.签订信用承诺书，加强科研信用信息共享，完善信用记录。</w:t>
            </w:r>
          </w:p>
        </w:tc>
        <w:tc>
          <w:tcPr>
            <w:tcW w:w="1656" w:type="dxa"/>
            <w:tcBorders>
              <w:top w:val="single" w:color="DBEBC2" w:sz="4" w:space="0"/>
              <w:left w:val="single" w:color="DBEBC2" w:sz="4" w:space="0"/>
              <w:bottom w:val="single" w:color="DBEBC2" w:sz="4" w:space="0"/>
              <w:right w:val="single" w:color="DBEBC2" w:sz="4" w:space="0"/>
            </w:tcBorders>
            <w:shd w:val="clear" w:color="auto" w:fill="EEF6E1"/>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696" w:type="dxa"/>
            <w:tcBorders>
              <w:top w:val="single" w:color="DBEBC2" w:sz="4" w:space="0"/>
              <w:left w:val="single" w:color="DBEBC2" w:sz="4" w:space="0"/>
              <w:bottom w:val="single" w:color="DBEBC2" w:sz="4" w:space="0"/>
              <w:right w:val="single" w:color="DBEBC2" w:sz="4" w:space="0"/>
            </w:tcBorders>
            <w:shd w:val="clear" w:color="auto" w:fill="A4CD66"/>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756" w:type="dxa"/>
            <w:tcBorders>
              <w:top w:val="single" w:color="DBEBC2" w:sz="4" w:space="0"/>
              <w:left w:val="single" w:color="DBEBC2" w:sz="4" w:space="0"/>
              <w:bottom w:val="single" w:color="DBEBC2" w:sz="4" w:space="0"/>
              <w:right w:val="single" w:color="DBEBC2" w:sz="4" w:space="0"/>
            </w:tcBorders>
            <w:shd w:val="clear" w:color="auto" w:fill="EEF6E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县税务局</w:t>
            </w:r>
          </w:p>
        </w:tc>
        <w:tc>
          <w:tcPr>
            <w:tcW w:w="6156" w:type="dxa"/>
            <w:tcBorders>
              <w:top w:val="single" w:color="DBEBC2" w:sz="4" w:space="0"/>
              <w:left w:val="single" w:color="DBEBC2" w:sz="4" w:space="0"/>
              <w:bottom w:val="single" w:color="DBEBC2" w:sz="4" w:space="0"/>
              <w:right w:val="single" w:color="DBEBC2" w:sz="4" w:space="0"/>
            </w:tcBorders>
            <w:shd w:val="clear" w:color="auto" w:fill="EEF6E1"/>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1.将信用承诺作为纳税人填报纳税申报表的一项重要事项，记入信用记录。</w:t>
            </w:r>
          </w:p>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2.对于签署承诺书后出现失信行为的，依法依规进行处理，并将失信信息通过“信用中国（山西阳泉）”网站向社会公示。</w:t>
            </w:r>
          </w:p>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3.健全政务守信践诺机制，列明依法依规作出但未履行到位的承诺清单，明确整改措施和完成期限。</w:t>
            </w:r>
          </w:p>
        </w:tc>
        <w:tc>
          <w:tcPr>
            <w:tcW w:w="1656" w:type="dxa"/>
            <w:tcBorders>
              <w:top w:val="single" w:color="DBEBC2" w:sz="4" w:space="0"/>
              <w:left w:val="single" w:color="DBEBC2" w:sz="4" w:space="0"/>
              <w:bottom w:val="single" w:color="DBEBC2" w:sz="4" w:space="0"/>
              <w:right w:val="single" w:color="DBEBC2" w:sz="4" w:space="0"/>
            </w:tcBorders>
            <w:shd w:val="clear" w:color="auto" w:fill="EEF6E1"/>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696" w:type="dxa"/>
            <w:tcBorders>
              <w:top w:val="single" w:color="DBEBC2" w:sz="4" w:space="0"/>
              <w:left w:val="single" w:color="DBEBC2" w:sz="4" w:space="0"/>
              <w:bottom w:val="single" w:color="DBEBC2" w:sz="4" w:space="0"/>
              <w:right w:val="single" w:color="DBEBC2" w:sz="4" w:space="0"/>
            </w:tcBorders>
            <w:shd w:val="clear" w:color="auto" w:fill="A4CD66"/>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756" w:type="dxa"/>
            <w:tcBorders>
              <w:top w:val="single" w:color="DBEBC2" w:sz="4" w:space="0"/>
              <w:left w:val="single" w:color="DBEBC2" w:sz="4" w:space="0"/>
              <w:bottom w:val="single" w:color="DBEBC2" w:sz="4" w:space="0"/>
              <w:right w:val="single" w:color="DBEBC2" w:sz="4" w:space="0"/>
            </w:tcBorders>
            <w:shd w:val="clear" w:color="auto" w:fill="EEF6E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县财政局</w:t>
            </w:r>
          </w:p>
        </w:tc>
        <w:tc>
          <w:tcPr>
            <w:tcW w:w="6156" w:type="dxa"/>
            <w:tcBorders>
              <w:top w:val="single" w:color="DBEBC2" w:sz="4" w:space="0"/>
              <w:left w:val="single" w:color="DBEBC2" w:sz="4" w:space="0"/>
              <w:bottom w:val="single" w:color="DBEBC2" w:sz="4" w:space="0"/>
              <w:right w:val="single" w:color="DBEBC2"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1.落实融资担保机构保费补偿补贴机制，对为中小微企业提供有效担保的政府性融资担保机构予以保费补贴。</w:t>
            </w:r>
          </w:p>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2.加强政府采购等重点领域信用监管工作。</w:t>
            </w:r>
          </w:p>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3.在财政性资金使用等重点领域推进信用分级分类评价，加强企业信用风险预警，构建守信激励、失信惩戒机制。</w:t>
            </w:r>
          </w:p>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4.健全政务守信践诺机制，列明依法依规作出但未履行到位的承诺清单，明确整改措施和完成期限。</w:t>
            </w:r>
          </w:p>
        </w:tc>
        <w:tc>
          <w:tcPr>
            <w:tcW w:w="1656" w:type="dxa"/>
            <w:tcBorders>
              <w:top w:val="single" w:color="DBEBC2" w:sz="4" w:space="0"/>
              <w:left w:val="single" w:color="DBEBC2" w:sz="4" w:space="0"/>
              <w:bottom w:val="single" w:color="DBEBC2" w:sz="4" w:space="0"/>
              <w:right w:val="single" w:color="DBEBC2" w:sz="4" w:space="0"/>
            </w:tcBorders>
            <w:shd w:val="clear" w:color="auto" w:fill="EEF6E1"/>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696" w:type="dxa"/>
            <w:tcBorders>
              <w:top w:val="single" w:color="DBEBC2" w:sz="4" w:space="0"/>
              <w:left w:val="single" w:color="DBEBC2" w:sz="4" w:space="0"/>
              <w:bottom w:val="single" w:color="DBEBC2" w:sz="4" w:space="0"/>
              <w:right w:val="single" w:color="DBEBC2" w:sz="4" w:space="0"/>
            </w:tcBorders>
            <w:shd w:val="clear" w:color="auto" w:fill="A4CD6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56" w:type="dxa"/>
            <w:tcBorders>
              <w:top w:val="single" w:color="DBEBC2" w:sz="4" w:space="0"/>
              <w:left w:val="single" w:color="DBEBC2" w:sz="4" w:space="0"/>
              <w:bottom w:val="single" w:color="DBEBC2" w:sz="4" w:space="0"/>
              <w:right w:val="single" w:color="DBEBC2" w:sz="4" w:space="0"/>
            </w:tcBorders>
            <w:shd w:val="clear" w:color="auto" w:fill="EEF6E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县中小企业</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发展中心</w:t>
            </w:r>
          </w:p>
        </w:tc>
        <w:tc>
          <w:tcPr>
            <w:tcW w:w="6156" w:type="dxa"/>
            <w:tcBorders>
              <w:top w:val="single" w:color="DBEBC2" w:sz="4" w:space="0"/>
              <w:left w:val="single" w:color="DBEBC2" w:sz="4" w:space="0"/>
              <w:bottom w:val="single" w:color="DBEBC2" w:sz="4" w:space="0"/>
              <w:right w:val="single" w:color="DBEBC2" w:sz="4" w:space="0"/>
            </w:tcBorders>
            <w:shd w:val="clear" w:color="auto" w:fill="EEF6E1"/>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1.引导中小微企业和金融机构入驻市级融资信用综合服务平台。</w:t>
            </w:r>
          </w:p>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2.全量归集共享企业纳税、不动产、水电气费缴纳、科技研发、知识产权、新型农业经营主体等信用信息，加强公共信用信息同金融信息共享整合。</w:t>
            </w:r>
          </w:p>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3.健全政务守信践诺机制，列明依法依规作出但未履行到位的承诺清单，明确整改措施和完成期限。</w:t>
            </w:r>
          </w:p>
        </w:tc>
        <w:tc>
          <w:tcPr>
            <w:tcW w:w="1656" w:type="dxa"/>
            <w:tcBorders>
              <w:top w:val="single" w:color="DBEBC2" w:sz="4" w:space="0"/>
              <w:left w:val="single" w:color="DBEBC2" w:sz="4" w:space="0"/>
              <w:bottom w:val="single" w:color="DBEBC2" w:sz="4" w:space="0"/>
              <w:right w:val="single" w:color="DBEBC2" w:sz="4" w:space="0"/>
            </w:tcBorders>
            <w:shd w:val="clear" w:color="auto" w:fill="EEF6E1"/>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96" w:type="dxa"/>
            <w:tcBorders>
              <w:top w:val="single" w:color="DBEBC2" w:sz="4" w:space="0"/>
              <w:left w:val="single" w:color="DBEBC2" w:sz="4" w:space="0"/>
              <w:bottom w:val="single" w:color="DBEBC2" w:sz="4" w:space="0"/>
              <w:right w:val="single" w:color="DBEBC2" w:sz="4" w:space="0"/>
            </w:tcBorders>
            <w:shd w:val="clear" w:color="auto" w:fill="A4CD6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56" w:type="dxa"/>
            <w:tcBorders>
              <w:top w:val="single" w:color="DBEBC2" w:sz="4" w:space="0"/>
              <w:left w:val="single" w:color="DBEBC2" w:sz="4" w:space="0"/>
              <w:bottom w:val="single" w:color="DBEBC2" w:sz="4" w:space="0"/>
              <w:right w:val="single" w:color="DBEBC2" w:sz="4" w:space="0"/>
            </w:tcBorders>
            <w:shd w:val="clear" w:color="auto" w:fill="EEF6E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县金融办</w:t>
            </w:r>
          </w:p>
        </w:tc>
        <w:tc>
          <w:tcPr>
            <w:tcW w:w="6156" w:type="dxa"/>
            <w:tcBorders>
              <w:top w:val="single" w:color="DBEBC2" w:sz="4" w:space="0"/>
              <w:left w:val="single" w:color="DBEBC2" w:sz="4" w:space="0"/>
              <w:bottom w:val="single" w:color="DBEBC2" w:sz="4" w:space="0"/>
              <w:right w:val="single" w:color="DBEBC2" w:sz="4" w:space="0"/>
            </w:tcBorders>
            <w:shd w:val="clear" w:color="auto" w:fill="FFFFFF"/>
            <w:vAlign w:val="center"/>
          </w:tcPr>
          <w:p>
            <w:pPr>
              <w:keepNext w:val="0"/>
              <w:keepLines w:val="0"/>
              <w:widowControl/>
              <w:numPr>
                <w:ilvl w:val="0"/>
                <w:numId w:val="1"/>
              </w:numPr>
              <w:suppressLineNumbers w:val="0"/>
              <w:jc w:val="both"/>
              <w:textAlignment w:val="center"/>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落实融资担保机构保费补偿补贴机制，对为中小微企业提供有效担保的政府性融资担保机构予以保费补贴。</w:t>
            </w:r>
          </w:p>
          <w:p>
            <w:pPr>
              <w:pStyle w:val="2"/>
              <w:numPr>
                <w:ilvl w:val="0"/>
                <w:numId w:val="0"/>
              </w:numPr>
              <w:jc w:val="both"/>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2.为小微、“三农”、战略性新兴产业提供信用贷款、创业担保贷款。</w:t>
            </w:r>
          </w:p>
          <w:p>
            <w:pPr>
              <w:pStyle w:val="2"/>
              <w:numPr>
                <w:ilvl w:val="0"/>
                <w:numId w:val="0"/>
              </w:numPr>
              <w:jc w:val="both"/>
              <w:rPr>
                <w:rFonts w:hint="eastAsia"/>
                <w:color w:val="000000"/>
              </w:rPr>
            </w:pPr>
            <w:r>
              <w:rPr>
                <w:rFonts w:hint="eastAsia" w:ascii="仿宋" w:hAnsi="仿宋" w:eastAsia="仿宋" w:cs="仿宋"/>
                <w:b w:val="0"/>
                <w:bCs w:val="0"/>
                <w:i w:val="0"/>
                <w:iCs w:val="0"/>
                <w:color w:val="000000"/>
                <w:kern w:val="0"/>
                <w:sz w:val="22"/>
                <w:szCs w:val="22"/>
                <w:u w:val="none"/>
                <w:lang w:val="en-US" w:eastAsia="zh-CN" w:bidi="ar"/>
              </w:rPr>
              <w:t>3.健全政务守信践诺机制，列明依法依规作出但未履行到位的承诺清单，明确整改措施和完成期限。</w:t>
            </w:r>
          </w:p>
        </w:tc>
        <w:tc>
          <w:tcPr>
            <w:tcW w:w="1656" w:type="dxa"/>
            <w:tcBorders>
              <w:top w:val="single" w:color="DBEBC2" w:sz="4" w:space="0"/>
              <w:left w:val="single" w:color="DBEBC2" w:sz="4" w:space="0"/>
              <w:bottom w:val="single" w:color="DBEBC2" w:sz="4" w:space="0"/>
              <w:right w:val="single" w:color="DBEBC2" w:sz="4" w:space="0"/>
            </w:tcBorders>
            <w:shd w:val="clear" w:color="auto" w:fill="EEF6E1"/>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696" w:type="dxa"/>
            <w:tcBorders>
              <w:top w:val="single" w:color="DBEBC2" w:sz="4" w:space="0"/>
              <w:left w:val="single" w:color="DBEBC2" w:sz="4" w:space="0"/>
              <w:bottom w:val="single" w:color="DBEBC2" w:sz="4" w:space="0"/>
              <w:right w:val="single" w:color="DBEBC2" w:sz="4" w:space="0"/>
            </w:tcBorders>
            <w:shd w:val="clear" w:color="auto" w:fill="A4CD66"/>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756" w:type="dxa"/>
            <w:tcBorders>
              <w:top w:val="single" w:color="DBEBC2" w:sz="4" w:space="0"/>
              <w:left w:val="single" w:color="DBEBC2" w:sz="4" w:space="0"/>
              <w:bottom w:val="single" w:color="DBEBC2" w:sz="4" w:space="0"/>
              <w:right w:val="single" w:color="DBEBC2" w:sz="4" w:space="0"/>
            </w:tcBorders>
            <w:shd w:val="clear" w:color="auto" w:fill="EEF6E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县能源局</w:t>
            </w:r>
          </w:p>
        </w:tc>
        <w:tc>
          <w:tcPr>
            <w:tcW w:w="6156" w:type="dxa"/>
            <w:tcBorders>
              <w:top w:val="single" w:color="DBEBC2" w:sz="4" w:space="0"/>
              <w:left w:val="single" w:color="DBEBC2" w:sz="4" w:space="0"/>
              <w:bottom w:val="single" w:color="DBEBC2" w:sz="4" w:space="0"/>
              <w:right w:val="single" w:color="DBEBC2" w:sz="4" w:space="0"/>
            </w:tcBorders>
            <w:shd w:val="clear" w:color="auto" w:fill="EEF6E1"/>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1.加强煤炭、电力、天然气等重点领域信用监管工作，依法依规对失信主体实施联合惩戒，形成跟踪、预警、处置、应用的履约信用管理机制。</w:t>
            </w:r>
          </w:p>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2.加大信息归集共享和公示力度。</w:t>
            </w:r>
          </w:p>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3.健全政务守信践诺机制，列明依法依规作出但未履行到位的承诺清单，明确整改措施和完成期限。</w:t>
            </w:r>
          </w:p>
        </w:tc>
        <w:tc>
          <w:tcPr>
            <w:tcW w:w="1656" w:type="dxa"/>
            <w:tcBorders>
              <w:top w:val="single" w:color="DBEBC2" w:sz="4" w:space="0"/>
              <w:left w:val="single" w:color="DBEBC2" w:sz="4" w:space="0"/>
              <w:bottom w:val="single" w:color="DBEBC2" w:sz="4" w:space="0"/>
              <w:right w:val="single" w:color="DBEBC2" w:sz="4" w:space="0"/>
            </w:tcBorders>
            <w:shd w:val="clear" w:color="auto" w:fill="EEF6E1"/>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696" w:type="dxa"/>
            <w:tcBorders>
              <w:top w:val="single" w:color="DBEBC2" w:sz="4" w:space="0"/>
              <w:left w:val="single" w:color="DBEBC2" w:sz="4" w:space="0"/>
              <w:bottom w:val="single" w:color="DBEBC2" w:sz="4" w:space="0"/>
              <w:right w:val="single" w:color="DBEBC2" w:sz="4" w:space="0"/>
            </w:tcBorders>
            <w:shd w:val="clear" w:color="auto" w:fill="A4CD6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56" w:type="dxa"/>
            <w:tcBorders>
              <w:top w:val="single" w:color="DBEBC2" w:sz="4" w:space="0"/>
              <w:left w:val="single" w:color="DBEBC2" w:sz="4" w:space="0"/>
              <w:bottom w:val="single" w:color="DBEBC2" w:sz="4" w:space="0"/>
              <w:right w:val="single" w:color="DBEBC2" w:sz="4" w:space="0"/>
            </w:tcBorders>
            <w:shd w:val="clear" w:color="auto" w:fill="EEF6E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县住建局</w:t>
            </w:r>
          </w:p>
        </w:tc>
        <w:tc>
          <w:tcPr>
            <w:tcW w:w="6156" w:type="dxa"/>
            <w:tcBorders>
              <w:top w:val="single" w:color="DBEBC2" w:sz="4" w:space="0"/>
              <w:left w:val="single" w:color="DBEBC2" w:sz="4" w:space="0"/>
              <w:bottom w:val="single" w:color="DBEBC2" w:sz="4" w:space="0"/>
              <w:right w:val="single" w:color="DBEBC2"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1.加强对工程建设等重点领域信用监管工作。</w:t>
            </w:r>
          </w:p>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2.在工程建设、招标投标等重点领域推进信用分级分类评价，加强企业信用风险预警。</w:t>
            </w:r>
          </w:p>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3.在监管方式、抽查比例和频次等方面根据信用状况采取差异化监管措施。构建守信激励、失信惩戒机制。</w:t>
            </w:r>
          </w:p>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4.健全政务守信践诺机制，列明依法依规作出但未履行到位的承诺清单，明确整改措施和完成期限。</w:t>
            </w:r>
          </w:p>
        </w:tc>
        <w:tc>
          <w:tcPr>
            <w:tcW w:w="1656" w:type="dxa"/>
            <w:tcBorders>
              <w:top w:val="single" w:color="DBEBC2" w:sz="4" w:space="0"/>
              <w:left w:val="single" w:color="DBEBC2" w:sz="4" w:space="0"/>
              <w:bottom w:val="single" w:color="DBEBC2" w:sz="4" w:space="0"/>
              <w:right w:val="single" w:color="DBEBC2" w:sz="4" w:space="0"/>
            </w:tcBorders>
            <w:shd w:val="clear" w:color="auto" w:fill="EEF6E1"/>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696" w:type="dxa"/>
            <w:tcBorders>
              <w:top w:val="single" w:color="DBEBC2" w:sz="4" w:space="0"/>
              <w:left w:val="single" w:color="DBEBC2" w:sz="4" w:space="0"/>
              <w:bottom w:val="single" w:color="DBEBC2" w:sz="4" w:space="0"/>
              <w:right w:val="single" w:color="DBEBC2" w:sz="4" w:space="0"/>
            </w:tcBorders>
            <w:shd w:val="clear" w:color="auto" w:fill="A4CD66"/>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756" w:type="dxa"/>
            <w:tcBorders>
              <w:top w:val="single" w:color="DBEBC2" w:sz="4" w:space="0"/>
              <w:left w:val="single" w:color="DBEBC2" w:sz="4" w:space="0"/>
              <w:bottom w:val="single" w:color="DBEBC2" w:sz="4" w:space="0"/>
              <w:right w:val="single" w:color="DBEBC2" w:sz="4" w:space="0"/>
            </w:tcBorders>
            <w:shd w:val="clear" w:color="auto" w:fill="EEF6E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县市场监管局</w:t>
            </w:r>
          </w:p>
        </w:tc>
        <w:tc>
          <w:tcPr>
            <w:tcW w:w="6156" w:type="dxa"/>
            <w:tcBorders>
              <w:top w:val="single" w:color="DBEBC2" w:sz="4" w:space="0"/>
              <w:left w:val="single" w:color="DBEBC2" w:sz="4" w:space="0"/>
              <w:bottom w:val="single" w:color="DBEBC2" w:sz="4" w:space="0"/>
              <w:right w:val="single" w:color="DBEBC2" w:sz="4" w:space="0"/>
            </w:tcBorders>
            <w:shd w:val="clear" w:color="auto" w:fill="EEF6E1"/>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1.依法完善企业、个体工商户、社会组织、机关事业单位以及自然人等各类主体的信用记录。</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2.依托信用中国（山西阳泉）网站，将行政许可、行政处罚、抽查检查结果等信用信息全部记于各类市场主体名下，依法依规向社会公示，并为政府部门、企业及社会公众提供查询服务。</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3.建立健全“行政许可、行政处罚”等信用信息报送审查机制，从信息采集源头对信用数据进行规范，全面提高数据质量。</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4.健全政务守信践诺机制，列明依法依规作出但未履行到位的承诺清单，明确整改措施和完成期限。</w:t>
            </w:r>
          </w:p>
        </w:tc>
        <w:tc>
          <w:tcPr>
            <w:tcW w:w="1656" w:type="dxa"/>
            <w:tcBorders>
              <w:top w:val="single" w:color="DBEBC2" w:sz="4" w:space="0"/>
              <w:left w:val="single" w:color="DBEBC2" w:sz="4" w:space="0"/>
              <w:bottom w:val="single" w:color="DBEBC2" w:sz="4" w:space="0"/>
              <w:right w:val="single" w:color="DBEBC2" w:sz="4" w:space="0"/>
            </w:tcBorders>
            <w:shd w:val="clear" w:color="auto" w:fill="EEF6E1"/>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696" w:type="dxa"/>
            <w:tcBorders>
              <w:top w:val="single" w:color="DBEBC2" w:sz="4" w:space="0"/>
              <w:left w:val="single" w:color="DBEBC2" w:sz="4" w:space="0"/>
              <w:bottom w:val="single" w:color="DBEBC2" w:sz="4" w:space="0"/>
              <w:right w:val="single" w:color="DBEBC2" w:sz="4" w:space="0"/>
            </w:tcBorders>
            <w:shd w:val="clear" w:color="auto" w:fill="A4CD66"/>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756" w:type="dxa"/>
            <w:tcBorders>
              <w:top w:val="single" w:color="DBEBC2" w:sz="4" w:space="0"/>
              <w:left w:val="single" w:color="DBEBC2" w:sz="4" w:space="0"/>
              <w:bottom w:val="single" w:color="DBEBC2" w:sz="4" w:space="0"/>
              <w:right w:val="single" w:color="DBEBC2" w:sz="4" w:space="0"/>
            </w:tcBorders>
            <w:shd w:val="clear" w:color="auto" w:fill="EEF6E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县行政审批局</w:t>
            </w:r>
          </w:p>
        </w:tc>
        <w:tc>
          <w:tcPr>
            <w:tcW w:w="6156" w:type="dxa"/>
            <w:tcBorders>
              <w:top w:val="single" w:color="DBEBC2" w:sz="4" w:space="0"/>
              <w:left w:val="single" w:color="DBEBC2" w:sz="4" w:space="0"/>
              <w:bottom w:val="single" w:color="DBEBC2" w:sz="4" w:space="0"/>
              <w:right w:val="single" w:color="DBEBC2"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1.开办线上“一表填报”、一次实名验证，线下“一窗”领取全部材料。</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2.制定实行告知承诺制的涉企经营许可事项清单，逐项编制信用承诺制实施细则和规范文本。</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3.及时全量归集信用承诺信息，并共享至信用信息共享平台。</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4.健全政务守信践诺机制，列明依法依规作出但未履行到位的承诺清单，明确整改措施和完成期限。</w:t>
            </w:r>
          </w:p>
        </w:tc>
        <w:tc>
          <w:tcPr>
            <w:tcW w:w="1656" w:type="dxa"/>
            <w:tcBorders>
              <w:top w:val="single" w:color="DBEBC2" w:sz="4" w:space="0"/>
              <w:left w:val="single" w:color="DBEBC2" w:sz="4" w:space="0"/>
              <w:bottom w:val="single" w:color="DBEBC2" w:sz="4" w:space="0"/>
              <w:right w:val="single" w:color="DBEBC2" w:sz="4" w:space="0"/>
            </w:tcBorders>
            <w:shd w:val="clear" w:color="auto" w:fill="EEF6E1"/>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6" w:type="dxa"/>
            <w:tcBorders>
              <w:top w:val="single" w:color="DBEBC2" w:sz="4" w:space="0"/>
              <w:left w:val="single" w:color="DBEBC2" w:sz="4" w:space="0"/>
              <w:bottom w:val="single" w:color="DBEBC2" w:sz="4" w:space="0"/>
              <w:right w:val="single" w:color="DBEBC2" w:sz="4" w:space="0"/>
            </w:tcBorders>
            <w:shd w:val="clear" w:color="auto" w:fill="A4CD66"/>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756" w:type="dxa"/>
            <w:tcBorders>
              <w:top w:val="single" w:color="DBEBC2" w:sz="4" w:space="0"/>
              <w:left w:val="single" w:color="DBEBC2" w:sz="4" w:space="0"/>
              <w:bottom w:val="single" w:color="DBEBC2" w:sz="4" w:space="0"/>
              <w:right w:val="single" w:color="DBEBC2" w:sz="4" w:space="0"/>
            </w:tcBorders>
            <w:shd w:val="clear" w:color="auto" w:fill="EEF6E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县应急管理局</w:t>
            </w:r>
          </w:p>
        </w:tc>
        <w:tc>
          <w:tcPr>
            <w:tcW w:w="6156" w:type="dxa"/>
            <w:tcBorders>
              <w:top w:val="single" w:color="DBEBC2" w:sz="4" w:space="0"/>
              <w:left w:val="single" w:color="DBEBC2" w:sz="4" w:space="0"/>
              <w:bottom w:val="single" w:color="DBEBC2" w:sz="4" w:space="0"/>
              <w:right w:val="single" w:color="DBEBC2" w:sz="4" w:space="0"/>
            </w:tcBorders>
            <w:shd w:val="clear" w:color="auto" w:fill="EEF6E1"/>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1.在消防安全、安全生产等重点领域推进信用分级分类评价，加强企业信用风险预警。</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2.在监管方式、抽查比例和频次等方面根据信用状况采取差异化监管措施。构建守信激励、失信惩戒机制。</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3.健全多部门、跨地区信用惩戒联动机制，提升监管精准性和有效性。</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4.健全政务守信践诺机制，列明依法依规作出但未履行到位的承诺清单，明确整改措施和完成期限。</w:t>
            </w:r>
          </w:p>
        </w:tc>
        <w:tc>
          <w:tcPr>
            <w:tcW w:w="1656" w:type="dxa"/>
            <w:tcBorders>
              <w:top w:val="single" w:color="DBEBC2" w:sz="4" w:space="0"/>
              <w:left w:val="single" w:color="DBEBC2" w:sz="4" w:space="0"/>
              <w:bottom w:val="single" w:color="DBEBC2" w:sz="4" w:space="0"/>
              <w:right w:val="single" w:color="DBEBC2" w:sz="4" w:space="0"/>
            </w:tcBorders>
            <w:shd w:val="clear" w:color="auto" w:fill="EEF6E1"/>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696" w:type="dxa"/>
            <w:tcBorders>
              <w:top w:val="single" w:color="DBEBC2" w:sz="4" w:space="0"/>
              <w:left w:val="single" w:color="DBEBC2" w:sz="4" w:space="0"/>
              <w:bottom w:val="single" w:color="DBEBC2" w:sz="4" w:space="0"/>
              <w:right w:val="single" w:color="DBEBC2" w:sz="4" w:space="0"/>
            </w:tcBorders>
            <w:shd w:val="clear" w:color="auto" w:fill="A4CD66"/>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756" w:type="dxa"/>
            <w:tcBorders>
              <w:top w:val="single" w:color="DBEBC2" w:sz="4" w:space="0"/>
              <w:left w:val="single" w:color="DBEBC2" w:sz="4" w:space="0"/>
              <w:bottom w:val="single" w:color="DBEBC2" w:sz="4" w:space="0"/>
              <w:right w:val="single" w:color="DBEBC2" w:sz="4" w:space="0"/>
            </w:tcBorders>
            <w:shd w:val="clear" w:color="auto" w:fill="EEF6E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县消防救援大队</w:t>
            </w:r>
          </w:p>
        </w:tc>
        <w:tc>
          <w:tcPr>
            <w:tcW w:w="6156" w:type="dxa"/>
            <w:tcBorders>
              <w:top w:val="single" w:color="DBEBC2" w:sz="4" w:space="0"/>
              <w:left w:val="single" w:color="DBEBC2" w:sz="4" w:space="0"/>
              <w:bottom w:val="single" w:color="DBEBC2" w:sz="4" w:space="0"/>
              <w:right w:val="single" w:color="DBEBC2"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1.对消防安全等重点领域推进信用分级分类评价，加强信用风险预警。</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2.在监管方式、抽查比例和频次等方面根据信用状况采取差异化监管措施。</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3.健全多部门、跨地区信用惩戒联动机制，提升监管精准性和有效性。</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4.健全政务守信践诺机制，列明依法依规作出但未履行到位的承诺清单，明确整改措施和完成期限。</w:t>
            </w:r>
          </w:p>
        </w:tc>
        <w:tc>
          <w:tcPr>
            <w:tcW w:w="1656" w:type="dxa"/>
            <w:tcBorders>
              <w:top w:val="single" w:color="DBEBC2" w:sz="4" w:space="0"/>
              <w:left w:val="single" w:color="DBEBC2" w:sz="4" w:space="0"/>
              <w:bottom w:val="single" w:color="DBEBC2" w:sz="4" w:space="0"/>
              <w:right w:val="single" w:color="DBEBC2" w:sz="4" w:space="0"/>
            </w:tcBorders>
            <w:shd w:val="clear" w:color="auto" w:fill="EEF6E1"/>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696" w:type="dxa"/>
            <w:tcBorders>
              <w:top w:val="single" w:color="DBEBC2" w:sz="4" w:space="0"/>
              <w:left w:val="single" w:color="DBEBC2" w:sz="4" w:space="0"/>
              <w:bottom w:val="single" w:color="DBEBC2" w:sz="4" w:space="0"/>
              <w:right w:val="single" w:color="DBEBC2" w:sz="4" w:space="0"/>
            </w:tcBorders>
            <w:shd w:val="clear" w:color="auto" w:fill="A4CD66"/>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756" w:type="dxa"/>
            <w:tcBorders>
              <w:top w:val="single" w:color="DBEBC2" w:sz="4" w:space="0"/>
              <w:left w:val="single" w:color="DBEBC2" w:sz="4" w:space="0"/>
              <w:bottom w:val="single" w:color="DBEBC2" w:sz="4" w:space="0"/>
              <w:right w:val="single" w:color="DBEBC2" w:sz="4" w:space="0"/>
            </w:tcBorders>
            <w:shd w:val="clear" w:color="auto" w:fill="EEF6E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县卫健局</w:t>
            </w:r>
          </w:p>
        </w:tc>
        <w:tc>
          <w:tcPr>
            <w:tcW w:w="6156" w:type="dxa"/>
            <w:tcBorders>
              <w:top w:val="single" w:color="DBEBC2" w:sz="4" w:space="0"/>
              <w:left w:val="single" w:color="DBEBC2" w:sz="4" w:space="0"/>
              <w:bottom w:val="single" w:color="DBEBC2" w:sz="4" w:space="0"/>
              <w:right w:val="single" w:color="DBEBC2" w:sz="4" w:space="0"/>
            </w:tcBorders>
            <w:shd w:val="clear" w:color="auto" w:fill="EEF6E1"/>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1.在医药卫生等重点领域推进信用分级分类评价，加强企业信用风险预警。</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2.在监管方式、抽查比例和频次等方面根据信用状况采取差异化监管措施。构建守信激励、失信惩戒机制。</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3.健全多部门、跨地区信用惩戒联动机制，提升监管精准性和有效性。</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4.健全政务守信践诺机制，列明依法依规作出但未履行到位的承诺清单，明确整改措施和完成期限。</w:t>
            </w:r>
          </w:p>
        </w:tc>
        <w:tc>
          <w:tcPr>
            <w:tcW w:w="1656" w:type="dxa"/>
            <w:tcBorders>
              <w:top w:val="single" w:color="DBEBC2" w:sz="4" w:space="0"/>
              <w:left w:val="single" w:color="DBEBC2" w:sz="4" w:space="0"/>
              <w:bottom w:val="single" w:color="DBEBC2" w:sz="4" w:space="0"/>
              <w:right w:val="single" w:color="DBEBC2" w:sz="4" w:space="0"/>
            </w:tcBorders>
            <w:shd w:val="clear" w:color="auto" w:fill="EEF6E1"/>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96" w:type="dxa"/>
            <w:tcBorders>
              <w:top w:val="single" w:color="DBEBC2" w:sz="4" w:space="0"/>
              <w:left w:val="single" w:color="DBEBC2" w:sz="4" w:space="0"/>
              <w:bottom w:val="single" w:color="DBEBC2" w:sz="4" w:space="0"/>
              <w:right w:val="single" w:color="DBEBC2" w:sz="4" w:space="0"/>
            </w:tcBorders>
            <w:shd w:val="clear" w:color="auto" w:fill="A4CD66"/>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756" w:type="dxa"/>
            <w:tcBorders>
              <w:top w:val="single" w:color="DBEBC2" w:sz="4" w:space="0"/>
              <w:left w:val="single" w:color="DBEBC2" w:sz="4" w:space="0"/>
              <w:bottom w:val="single" w:color="DBEBC2" w:sz="4" w:space="0"/>
              <w:right w:val="single" w:color="DBEBC2" w:sz="4" w:space="0"/>
            </w:tcBorders>
            <w:shd w:val="clear" w:color="auto" w:fill="EEF6E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县医保局</w:t>
            </w:r>
          </w:p>
        </w:tc>
        <w:tc>
          <w:tcPr>
            <w:tcW w:w="6156" w:type="dxa"/>
            <w:tcBorders>
              <w:top w:val="single" w:color="DBEBC2" w:sz="4" w:space="0"/>
              <w:left w:val="single" w:color="DBEBC2" w:sz="4" w:space="0"/>
              <w:bottom w:val="single" w:color="DBEBC2" w:sz="4" w:space="0"/>
              <w:right w:val="single" w:color="DBEBC2"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1.健全政务守信践诺机制，列明依法依规作出但未履行到位的承诺清单，明确整改措施和完成期限。</w:t>
            </w:r>
          </w:p>
        </w:tc>
        <w:tc>
          <w:tcPr>
            <w:tcW w:w="1656" w:type="dxa"/>
            <w:tcBorders>
              <w:top w:val="single" w:color="DBEBC2" w:sz="4" w:space="0"/>
              <w:left w:val="single" w:color="DBEBC2" w:sz="4" w:space="0"/>
              <w:bottom w:val="single" w:color="DBEBC2" w:sz="4" w:space="0"/>
              <w:right w:val="single" w:color="DBEBC2" w:sz="4" w:space="0"/>
            </w:tcBorders>
            <w:shd w:val="clear" w:color="auto" w:fill="EEF6E1"/>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696" w:type="dxa"/>
            <w:tcBorders>
              <w:top w:val="single" w:color="DBEBC2" w:sz="4" w:space="0"/>
              <w:left w:val="single" w:color="DBEBC2" w:sz="4" w:space="0"/>
              <w:bottom w:val="single" w:color="DBEBC2" w:sz="4" w:space="0"/>
              <w:right w:val="single" w:color="DBEBC2" w:sz="4" w:space="0"/>
            </w:tcBorders>
            <w:shd w:val="clear" w:color="auto" w:fill="A4CD66"/>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756" w:type="dxa"/>
            <w:tcBorders>
              <w:top w:val="single" w:color="DBEBC2" w:sz="4" w:space="0"/>
              <w:left w:val="single" w:color="DBEBC2" w:sz="4" w:space="0"/>
              <w:bottom w:val="single" w:color="DBEBC2" w:sz="4" w:space="0"/>
              <w:right w:val="single" w:color="DBEBC2" w:sz="4" w:space="0"/>
            </w:tcBorders>
            <w:shd w:val="clear" w:color="auto" w:fill="EEF6E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市生态环境局</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盂县分局</w:t>
            </w:r>
          </w:p>
        </w:tc>
        <w:tc>
          <w:tcPr>
            <w:tcW w:w="6156" w:type="dxa"/>
            <w:tcBorders>
              <w:top w:val="single" w:color="DBEBC2" w:sz="4" w:space="0"/>
              <w:left w:val="single" w:color="DBEBC2" w:sz="4" w:space="0"/>
              <w:bottom w:val="single" w:color="DBEBC2" w:sz="4" w:space="0"/>
              <w:right w:val="single" w:color="DBEBC2" w:sz="4" w:space="0"/>
            </w:tcBorders>
            <w:shd w:val="clear" w:color="auto" w:fill="EEF6E1"/>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1.在生态环境等重点领域推进信用分级分类评价，加强企业信用风险预警。</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2.在监管方式、抽查比例和频次等方面根据信用状况采取差异化监管措施。构建守信激励、失信惩戒机制。健全多部门、跨地区信用惩戒联动机制，提升监管精准性和有效性。</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3.健全政务守信践诺机制，列明依法依规作出但未履行到位的承诺清单，明确整改措施和完成期限。</w:t>
            </w:r>
          </w:p>
        </w:tc>
        <w:tc>
          <w:tcPr>
            <w:tcW w:w="1656" w:type="dxa"/>
            <w:tcBorders>
              <w:top w:val="single" w:color="DBEBC2" w:sz="4" w:space="0"/>
              <w:left w:val="single" w:color="DBEBC2" w:sz="4" w:space="0"/>
              <w:bottom w:val="single" w:color="DBEBC2" w:sz="4" w:space="0"/>
              <w:right w:val="single" w:color="DBEBC2" w:sz="4" w:space="0"/>
            </w:tcBorders>
            <w:shd w:val="clear" w:color="auto" w:fill="EEF6E1"/>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96" w:type="dxa"/>
            <w:tcBorders>
              <w:top w:val="single" w:color="DBEBC2" w:sz="4" w:space="0"/>
              <w:left w:val="single" w:color="DBEBC2" w:sz="4" w:space="0"/>
              <w:bottom w:val="single" w:color="6F9731" w:sz="4" w:space="0"/>
              <w:right w:val="single" w:color="DBEBC2" w:sz="4" w:space="0"/>
            </w:tcBorders>
            <w:shd w:val="clear" w:color="auto" w:fill="A4CD66"/>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756" w:type="dxa"/>
            <w:tcBorders>
              <w:top w:val="single" w:color="DBEBC2" w:sz="4" w:space="0"/>
              <w:left w:val="single" w:color="DBEBC2" w:sz="4" w:space="0"/>
              <w:bottom w:val="single" w:color="6F9731" w:sz="4" w:space="0"/>
              <w:right w:val="single" w:color="DBEBC2" w:sz="4" w:space="0"/>
            </w:tcBorders>
            <w:shd w:val="clear" w:color="auto" w:fill="EEF6E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县统计局</w:t>
            </w:r>
          </w:p>
        </w:tc>
        <w:tc>
          <w:tcPr>
            <w:tcW w:w="6156" w:type="dxa"/>
            <w:tcBorders>
              <w:top w:val="single" w:color="DBEBC2" w:sz="4" w:space="0"/>
              <w:left w:val="single" w:color="DBEBC2" w:sz="4" w:space="0"/>
              <w:bottom w:val="single" w:color="6F9731" w:sz="4" w:space="0"/>
              <w:right w:val="single" w:color="DBEBC2"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1.加强对统计主体诚信申报统计数据的监管。</w:t>
            </w:r>
          </w:p>
        </w:tc>
        <w:tc>
          <w:tcPr>
            <w:tcW w:w="1656" w:type="dxa"/>
            <w:tcBorders>
              <w:top w:val="single" w:color="DBEBC2" w:sz="4" w:space="0"/>
              <w:left w:val="single" w:color="DBEBC2" w:sz="4" w:space="0"/>
              <w:bottom w:val="single" w:color="6F9731" w:sz="4" w:space="0"/>
              <w:right w:val="single" w:color="DBEBC2" w:sz="4" w:space="0"/>
            </w:tcBorders>
            <w:shd w:val="clear" w:color="auto" w:fill="EEF6E1"/>
            <w:vAlign w:val="center"/>
          </w:tcPr>
          <w:p>
            <w:pPr>
              <w:rPr>
                <w:rFonts w:hint="eastAsia" w:ascii="宋体" w:hAnsi="宋体" w:eastAsia="宋体" w:cs="宋体"/>
                <w:i w:val="0"/>
                <w:iCs w:val="0"/>
                <w:color w:val="000000"/>
                <w:sz w:val="24"/>
                <w:szCs w:val="24"/>
                <w:u w:val="none"/>
              </w:rPr>
            </w:pPr>
          </w:p>
        </w:tc>
      </w:tr>
    </w:tbl>
    <w:p>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32"/>
          <w:szCs w:val="32"/>
          <w:lang w:val="en-US" w:eastAsia="zh-CN"/>
        </w:rPr>
      </w:pPr>
    </w:p>
    <w:p>
      <w:pPr>
        <w:pStyle w:val="2"/>
        <w:jc w:val="both"/>
        <w:rPr>
          <w:rFonts w:hint="default"/>
          <w:lang w:val="en-US" w:eastAsia="zh-CN"/>
        </w:rPr>
      </w:pPr>
    </w:p>
    <w:p>
      <w:pPr>
        <w:rPr>
          <w:rFonts w:hint="default"/>
          <w:lang w:val="en-US" w:eastAsia="zh-CN"/>
        </w:rPr>
      </w:pPr>
      <w:bookmarkStart w:id="0" w:name="_GoBack"/>
      <w:bookmarkEnd w:id="0"/>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jc w:val="both"/>
        <w:rPr>
          <w:rFonts w:hint="default" w:ascii="仿宋" w:hAnsi="仿宋" w:eastAsia="仿宋" w:cs="仿宋"/>
          <w:b w:val="0"/>
          <w:bCs w:val="0"/>
          <w:lang w:val="en-US" w:eastAsia="zh-CN"/>
        </w:rPr>
      </w:pPr>
      <w:r>
        <w:rPr>
          <w:rFonts w:hint="eastAsia" w:ascii="仿宋" w:hAnsi="仿宋" w:eastAsia="仿宋" w:cs="仿宋"/>
          <w:b w:val="0"/>
          <w:bCs w:val="0"/>
          <w:lang w:val="en-US" w:eastAsia="zh-CN"/>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395605</wp:posOffset>
                </wp:positionV>
                <wp:extent cx="5646420" cy="825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46420" cy="825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5pt;margin-top:31.15pt;height:0.65pt;width:444.6pt;z-index:251660288;mso-width-relative:page;mso-height-relative:page;" filled="f" stroked="t" coordsize="21600,21600" o:gfxdata="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RaryzYAAAACAEAAA8AAAAAAAAAAQAgAAAAIgAAAGRycy9kb3ducmV2LnhtbFBL&#10;AQIUABQAAAAIAIdO4kDWqd5r9gEAAOgDAAAOAAAAAAAAAAEAIAAAACcBAABkcnMvZTJvRG9jLnht&#10;bFBLBQYAAAAABgAGAFkBAACPBQAAAAA=&#10;">
                <v:fill on="f" focussize="0,0"/>
                <v:stroke weight="1pt" color="#000000" joinstyle="round"/>
                <v:imagedata o:title=""/>
                <o:lock v:ext="edit" aspectratio="f"/>
              </v:line>
            </w:pict>
          </mc:Fallback>
        </mc:AlternateContent>
      </w:r>
      <w:r>
        <w:rPr>
          <w:rFonts w:hint="eastAsia" w:ascii="仿宋" w:hAnsi="仿宋" w:eastAsia="仿宋" w:cs="仿宋"/>
          <w:b w:val="0"/>
          <w:bCs w:val="0"/>
          <w:lang w:val="en-US" w:eastAsia="zh-CN"/>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36830</wp:posOffset>
                </wp:positionV>
                <wp:extent cx="562800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2800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pt;margin-top:2.9pt;height:0.05pt;width:443.15pt;z-index:251659264;mso-width-relative:page;mso-height-relative:page;" filled="f" stroked="t" coordsize="21600,21600" o:gfxdata="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mJZhjWAAAABgEAAA8AAAAAAAAAAQAgAAAAIgAAAGRycy9kb3ducmV2LnhtbFBLAQIU&#10;ABQAAAAIAIdO4kDf3o7V9QEAAOcDAAAOAAAAAAAAAAEAIAAAACUBAABkcnMvZTJvRG9jLnhtbFBL&#10;BQYAAAAABgAGAFkBAACMBQAAAAA=&#10;">
                <v:fill on="f" focussize="0,0"/>
                <v:stroke weight="1pt" color="#000000" joinstyle="round"/>
                <v:imagedata o:title=""/>
                <o:lock v:ext="edit" aspectratio="f"/>
              </v:line>
            </w:pict>
          </mc:Fallback>
        </mc:AlternateContent>
      </w:r>
      <w:r>
        <w:rPr>
          <w:rFonts w:hint="eastAsia" w:ascii="仿宋" w:hAnsi="仿宋" w:eastAsia="仿宋" w:cs="仿宋"/>
          <w:b w:val="0"/>
          <w:bCs w:val="0"/>
          <w:lang w:val="en-US" w:eastAsia="zh-CN"/>
        </w:rPr>
        <w:t>盂县发展和改革局办公室              2023年7月27日印发</w:t>
      </w:r>
    </w:p>
    <w:sectPr>
      <w:pgSz w:w="11906" w:h="16838"/>
      <w:pgMar w:top="2098"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D3D005F5-6820-4534-BFF6-D7838B3CD8A5}"/>
  </w:font>
  <w:font w:name="方正仿宋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䅂䍄䕅⮿곌">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embedRegular r:id="rId2" w:fontKey="{0395F793-DBD2-48F6-A223-3A7D06F2C399}"/>
  </w:font>
  <w:font w:name="仿宋">
    <w:panose1 w:val="02010609060101010101"/>
    <w:charset w:val="86"/>
    <w:family w:val="auto"/>
    <w:pitch w:val="default"/>
    <w:sig w:usb0="800002BF" w:usb1="38CF7CFA" w:usb2="00000016" w:usb3="00000000" w:csb0="00040001" w:csb1="00000000"/>
    <w:embedRegular r:id="rId3" w:fontKey="{03D57D0C-EC0F-4903-82DC-640BCC81723F}"/>
  </w:font>
  <w:font w:name="CESI黑体-GB2312">
    <w:altName w:val="黑体"/>
    <w:panose1 w:val="02000500000000000000"/>
    <w:charset w:val="86"/>
    <w:family w:val="auto"/>
    <w:pitch w:val="default"/>
    <w:sig w:usb0="00000000" w:usb1="00000000" w:usb2="00000012" w:usb3="00000000" w:csb0="0004000F" w:csb1="00000000"/>
    <w:embedRegular r:id="rId4" w:fontKey="{9FF27AF8-336E-4771-B860-BF4386C6B8B2}"/>
  </w:font>
  <w:font w:name="方正黑体_GBK">
    <w:altName w:val="微软雅黑"/>
    <w:panose1 w:val="02000000000000000000"/>
    <w:charset w:val="86"/>
    <w:family w:val="auto"/>
    <w:pitch w:val="default"/>
    <w:sig w:usb0="00000000" w:usb1="00000000" w:usb2="00000000" w:usb3="00000000" w:csb0="00040000" w:csb1="00000000"/>
    <w:embedRegular r:id="rId5" w:fontKey="{5F88874B-5C10-4925-B8F1-BA45D583BCBB}"/>
  </w:font>
  <w:font w:name="华文楷体">
    <w:panose1 w:val="02010600040101010101"/>
    <w:charset w:val="86"/>
    <w:family w:val="auto"/>
    <w:pitch w:val="default"/>
    <w:sig w:usb0="00000287" w:usb1="080F0000" w:usb2="00000000" w:usb3="00000000" w:csb0="0004009F" w:csb1="DFD70000"/>
    <w:embedRegular r:id="rId6" w:fontKey="{D5262CC2-742D-487E-9084-EBBAF39F11A8}"/>
  </w:font>
  <w:font w:name="微软雅黑">
    <w:panose1 w:val="020B0503020204020204"/>
    <w:charset w:val="86"/>
    <w:family w:val="auto"/>
    <w:pitch w:val="default"/>
    <w:sig w:usb0="80000287" w:usb1="2ACF3C50" w:usb2="00000016" w:usb3="00000000" w:csb0="0004001F" w:csb1="00000000"/>
    <w:embedRegular r:id="rId7" w:fontKey="{7B4F1F8D-E2EE-4682-97A8-14C435F26564}"/>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F7BE1"/>
    <w:multiLevelType w:val="singleLevel"/>
    <w:tmpl w:val="F3FF7BE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NDRkY2ZhNTFiMzM4OTlkZTIyZWY0NzMxMTJlZmUifQ=="/>
  </w:docVars>
  <w:rsids>
    <w:rsidRoot w:val="21AE353D"/>
    <w:rsid w:val="009A2196"/>
    <w:rsid w:val="03DB7FE8"/>
    <w:rsid w:val="05712818"/>
    <w:rsid w:val="062C7600"/>
    <w:rsid w:val="07500486"/>
    <w:rsid w:val="0E4A221A"/>
    <w:rsid w:val="104C4044"/>
    <w:rsid w:val="118461A5"/>
    <w:rsid w:val="11874BCC"/>
    <w:rsid w:val="14A278A5"/>
    <w:rsid w:val="1CEC0149"/>
    <w:rsid w:val="1D0B7EF0"/>
    <w:rsid w:val="21AE353D"/>
    <w:rsid w:val="268F4A4D"/>
    <w:rsid w:val="2B15111A"/>
    <w:rsid w:val="2FDD7A81"/>
    <w:rsid w:val="3E255BE9"/>
    <w:rsid w:val="460D4EC5"/>
    <w:rsid w:val="536A0383"/>
    <w:rsid w:val="544C3D77"/>
    <w:rsid w:val="55824DFD"/>
    <w:rsid w:val="5CFE5ADF"/>
    <w:rsid w:val="68814E2F"/>
    <w:rsid w:val="6FE25DC9"/>
    <w:rsid w:val="7AA150FC"/>
    <w:rsid w:val="7B596A1F"/>
    <w:rsid w:val="7F333411"/>
    <w:rsid w:val="7FCC6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cs="Arial"/>
      <w:b/>
      <w:bCs/>
      <w:sz w:val="32"/>
      <w:szCs w:val="32"/>
    </w:rPr>
  </w:style>
  <w:style w:type="paragraph" w:styleId="3">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customStyle="1" w:styleId="8">
    <w:name w:val="Body Text First Indent 21"/>
    <w:basedOn w:val="9"/>
    <w:qFormat/>
    <w:uiPriority w:val="0"/>
    <w:pPr>
      <w:ind w:left="0" w:firstLine="420"/>
    </w:pPr>
    <w:rPr>
      <w:rFonts w:ascii="仿宋_GB2312" w:eastAsia="仿宋_GB2312" w:cs="仿宋_GB2312"/>
      <w:sz w:val="32"/>
      <w:szCs w:val="32"/>
    </w:rPr>
  </w:style>
  <w:style w:type="paragraph" w:customStyle="1" w:styleId="9">
    <w:name w:val="Body Text Indent1"/>
    <w:basedOn w:val="1"/>
    <w:qFormat/>
    <w:uiPriority w:val="0"/>
    <w:pPr>
      <w:spacing w:after="120" w:afterLines="0"/>
      <w:ind w:left="420" w:leftChars="200"/>
    </w:pPr>
  </w:style>
  <w:style w:type="character" w:customStyle="1" w:styleId="10">
    <w:name w:val="font01"/>
    <w:basedOn w:val="6"/>
    <w:qFormat/>
    <w:uiPriority w:val="0"/>
    <w:rPr>
      <w:rFonts w:hint="eastAsia" w:ascii="宋体" w:hAnsi="宋体" w:eastAsia="宋体" w:cs="宋体"/>
      <w:color w:val="000000"/>
      <w:sz w:val="22"/>
      <w:szCs w:val="22"/>
      <w:u w:val="none"/>
    </w:rPr>
  </w:style>
  <w:style w:type="character" w:customStyle="1" w:styleId="11">
    <w:name w:val="font31"/>
    <w:basedOn w:val="6"/>
    <w:qFormat/>
    <w:uiPriority w:val="0"/>
    <w:rPr>
      <w:rFonts w:hint="default" w:ascii="方正小标宋简体" w:hAnsi="方正小标宋简体" w:eastAsia="方正小标宋简体" w:cs="方正小标宋简体"/>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5638</Words>
  <Characters>5778</Characters>
  <Lines>0</Lines>
  <Paragraphs>0</Paragraphs>
  <TotalTime>54</TotalTime>
  <ScaleCrop>false</ScaleCrop>
  <LinksUpToDate>false</LinksUpToDate>
  <CharactersWithSpaces>5794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2023-06-27T00:51:00Z</dcterms:created>
  <dc:creator>Administrator</dc:creator>
  <cp:lastModifiedBy>Birthday</cp:lastModifiedBy>
  <cp:lastPrinted>2023-07-31T03:54:00Z</cp:lastPrinted>
  <dcterms:modified xsi:type="dcterms:W3CDTF">2023-09-15T09:29:46Z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6AAF63FB0A554912B5CE575E91AD9FBC_13</vt:lpwstr>
  </property>
</Properties>
</file>