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page" w:horzAnchor="page" w:tblpX="1787" w:tblpY="1623"/>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681"/>
        <w:gridCol w:w="1234"/>
        <w:gridCol w:w="141"/>
        <w:gridCol w:w="982"/>
        <w:gridCol w:w="71"/>
        <w:gridCol w:w="1174"/>
        <w:gridCol w:w="912"/>
        <w:gridCol w:w="318"/>
        <w:gridCol w:w="217"/>
        <w:gridCol w:w="865"/>
        <w:gridCol w:w="148"/>
        <w:gridCol w:w="991"/>
      </w:tblGrid>
      <w:tr w14:paraId="0ADF9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8522" w:type="dxa"/>
            <w:gridSpan w:val="13"/>
            <w:tcBorders>
              <w:top w:val="nil"/>
              <w:left w:val="nil"/>
              <w:bottom w:val="nil"/>
              <w:right w:val="nil"/>
            </w:tcBorders>
            <w:noWrap w:val="0"/>
            <w:vAlign w:val="center"/>
          </w:tcPr>
          <w:p w14:paraId="6CEC3549">
            <w:pPr>
              <w:jc w:val="center"/>
              <w:rPr>
                <w:rFonts w:hint="eastAsia" w:eastAsia="黑体"/>
              </w:rPr>
            </w:pPr>
            <w:r>
              <w:rPr>
                <w:rFonts w:hint="eastAsia" w:ascii="黑体" w:hAnsi="黑体" w:eastAsia="黑体" w:cs="黑体"/>
                <w:sz w:val="30"/>
                <w:szCs w:val="30"/>
              </w:rPr>
              <w:t>盂县自然资源局行政审批窗口办事指南</w:t>
            </w:r>
          </w:p>
        </w:tc>
      </w:tr>
      <w:tr w14:paraId="06511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8522" w:type="dxa"/>
            <w:gridSpan w:val="13"/>
            <w:tcBorders>
              <w:top w:val="nil"/>
              <w:left w:val="nil"/>
              <w:right w:val="nil"/>
            </w:tcBorders>
            <w:noWrap w:val="0"/>
            <w:vAlign w:val="center"/>
          </w:tcPr>
          <w:p w14:paraId="5F38C49E">
            <w:pPr>
              <w:spacing w:line="0" w:lineRule="atLeast"/>
              <w:rPr>
                <w:rFonts w:hint="eastAsia"/>
                <w:sz w:val="24"/>
              </w:rPr>
            </w:pPr>
            <w:r>
              <w:rPr>
                <w:rFonts w:hint="eastAsia" w:ascii="仿宋_GB2312" w:hAnsi="仿宋_GB2312" w:eastAsia="仿宋_GB2312" w:cs="仿宋_GB2312"/>
                <w:sz w:val="24"/>
              </w:rPr>
              <w:t xml:space="preserve">                                      　           </w:t>
            </w:r>
            <w:r>
              <w:rPr>
                <w:rFonts w:hint="eastAsia" w:ascii="黑体" w:hAnsi="黑体" w:eastAsia="黑体" w:cs="黑体"/>
                <w:sz w:val="24"/>
              </w:rPr>
              <w:t>项目类别：</w:t>
            </w:r>
            <w:r>
              <w:rPr>
                <w:rFonts w:hint="eastAsia" w:ascii="仿宋_GB2312" w:hAnsi="仿宋_GB2312" w:eastAsia="仿宋_GB2312" w:cs="仿宋_GB2312"/>
                <w:sz w:val="24"/>
              </w:rPr>
              <w:t>行政许可</w:t>
            </w:r>
          </w:p>
        </w:tc>
      </w:tr>
      <w:tr w14:paraId="7FCE1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1469" w:type="dxa"/>
            <w:gridSpan w:val="2"/>
            <w:noWrap w:val="0"/>
            <w:vAlign w:val="center"/>
          </w:tcPr>
          <w:p w14:paraId="124AAF37">
            <w:pPr>
              <w:jc w:val="center"/>
              <w:rPr>
                <w:rFonts w:hint="eastAsia"/>
                <w:sz w:val="24"/>
              </w:rPr>
            </w:pPr>
            <w:r>
              <w:rPr>
                <w:rFonts w:hint="eastAsia" w:ascii="黑体" w:hAnsi="黑体" w:eastAsia="黑体" w:cs="黑体"/>
                <w:sz w:val="24"/>
              </w:rPr>
              <w:t>项目名称</w:t>
            </w:r>
          </w:p>
        </w:tc>
        <w:tc>
          <w:tcPr>
            <w:tcW w:w="7053" w:type="dxa"/>
            <w:gridSpan w:val="11"/>
            <w:noWrap w:val="0"/>
            <w:vAlign w:val="center"/>
          </w:tcPr>
          <w:p w14:paraId="357F816D">
            <w:pPr>
              <w:autoSpaceDE w:val="0"/>
              <w:autoSpaceDN w:val="0"/>
              <w:jc w:val="center"/>
              <w:rPr>
                <w:rFonts w:hint="default" w:eastAsia="仿宋"/>
                <w:sz w:val="24"/>
                <w:lang w:val="en-US" w:eastAsia="zh-CN"/>
              </w:rPr>
            </w:pPr>
            <w:r>
              <w:rPr>
                <w:rFonts w:hint="eastAsia" w:ascii="仿宋" w:hAnsi="仿宋" w:eastAsia="仿宋" w:cs="仿宋"/>
                <w:sz w:val="24"/>
              </w:rPr>
              <w:t>建设项目用地预审</w:t>
            </w:r>
            <w:r>
              <w:rPr>
                <w:rFonts w:hint="eastAsia" w:ascii="仿宋" w:hAnsi="仿宋" w:eastAsia="仿宋" w:cs="仿宋"/>
                <w:sz w:val="24"/>
                <w:lang w:val="en-US" w:eastAsia="zh-CN"/>
              </w:rPr>
              <w:t>与选址意见书</w:t>
            </w:r>
            <w:bookmarkStart w:id="0" w:name="_GoBack"/>
            <w:bookmarkEnd w:id="0"/>
          </w:p>
        </w:tc>
      </w:tr>
      <w:tr w14:paraId="79403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469" w:type="dxa"/>
            <w:gridSpan w:val="2"/>
            <w:noWrap w:val="0"/>
            <w:vAlign w:val="center"/>
          </w:tcPr>
          <w:p w14:paraId="528F6139">
            <w:pPr>
              <w:jc w:val="center"/>
              <w:rPr>
                <w:rFonts w:hint="eastAsia"/>
                <w:sz w:val="24"/>
              </w:rPr>
            </w:pPr>
            <w:r>
              <w:rPr>
                <w:rFonts w:hint="eastAsia" w:ascii="黑体" w:hAnsi="黑体" w:eastAsia="黑体" w:cs="黑体"/>
                <w:sz w:val="24"/>
              </w:rPr>
              <w:t>实施部门</w:t>
            </w:r>
          </w:p>
        </w:tc>
        <w:tc>
          <w:tcPr>
            <w:tcW w:w="2357" w:type="dxa"/>
            <w:gridSpan w:val="3"/>
            <w:noWrap w:val="0"/>
            <w:vAlign w:val="center"/>
          </w:tcPr>
          <w:p w14:paraId="0F0A539A">
            <w:pPr>
              <w:jc w:val="center"/>
              <w:rPr>
                <w:rFonts w:hint="eastAsia"/>
                <w:sz w:val="24"/>
              </w:rPr>
            </w:pPr>
            <w:r>
              <w:rPr>
                <w:rFonts w:hint="eastAsia" w:ascii="仿宋" w:hAnsi="仿宋" w:eastAsia="仿宋" w:cs="仿宋"/>
                <w:sz w:val="24"/>
                <w:szCs w:val="24"/>
                <w:lang w:val="en-US" w:eastAsia="zh-CN"/>
              </w:rPr>
              <w:t>用途管制耕保</w:t>
            </w:r>
            <w:r>
              <w:rPr>
                <w:rFonts w:hint="eastAsia" w:ascii="仿宋" w:hAnsi="仿宋" w:eastAsia="仿宋" w:cs="仿宋"/>
                <w:sz w:val="24"/>
                <w:szCs w:val="24"/>
              </w:rPr>
              <w:t>股</w:t>
            </w:r>
          </w:p>
        </w:tc>
        <w:tc>
          <w:tcPr>
            <w:tcW w:w="1245" w:type="dxa"/>
            <w:gridSpan w:val="2"/>
            <w:noWrap w:val="0"/>
            <w:vAlign w:val="center"/>
          </w:tcPr>
          <w:p w14:paraId="05109E21">
            <w:pPr>
              <w:jc w:val="center"/>
              <w:rPr>
                <w:rFonts w:hint="eastAsia"/>
                <w:sz w:val="24"/>
              </w:rPr>
            </w:pPr>
            <w:r>
              <w:rPr>
                <w:rFonts w:hint="eastAsia" w:ascii="黑体" w:hAnsi="黑体" w:eastAsia="黑体" w:cs="黑体"/>
                <w:sz w:val="24"/>
              </w:rPr>
              <w:t>受理方式</w:t>
            </w:r>
          </w:p>
        </w:tc>
        <w:tc>
          <w:tcPr>
            <w:tcW w:w="1230" w:type="dxa"/>
            <w:gridSpan w:val="2"/>
            <w:noWrap w:val="0"/>
            <w:vAlign w:val="center"/>
          </w:tcPr>
          <w:p w14:paraId="75C9BB53">
            <w:pPr>
              <w:jc w:val="center"/>
              <w:rPr>
                <w:rFonts w:hint="eastAsia"/>
                <w:sz w:val="24"/>
              </w:rPr>
            </w:pPr>
            <w:r>
              <w:rPr>
                <w:rFonts w:hint="eastAsia" w:ascii="仿宋_GB2312" w:hAnsi="仿宋_GB2312" w:eastAsia="仿宋_GB2312" w:cs="仿宋_GB2312"/>
                <w:sz w:val="24"/>
              </w:rPr>
              <w:t>政务大厅</w:t>
            </w:r>
          </w:p>
        </w:tc>
        <w:tc>
          <w:tcPr>
            <w:tcW w:w="1230" w:type="dxa"/>
            <w:gridSpan w:val="3"/>
            <w:noWrap w:val="0"/>
            <w:vAlign w:val="center"/>
          </w:tcPr>
          <w:p w14:paraId="681AFA0A">
            <w:pPr>
              <w:jc w:val="center"/>
              <w:rPr>
                <w:rFonts w:hint="eastAsia"/>
                <w:sz w:val="24"/>
              </w:rPr>
            </w:pPr>
            <w:r>
              <w:rPr>
                <w:rFonts w:hint="eastAsia" w:ascii="黑体" w:hAnsi="黑体" w:eastAsia="黑体" w:cs="黑体"/>
                <w:sz w:val="24"/>
              </w:rPr>
              <w:t>办理方式</w:t>
            </w:r>
          </w:p>
        </w:tc>
        <w:tc>
          <w:tcPr>
            <w:tcW w:w="991" w:type="dxa"/>
            <w:noWrap w:val="0"/>
            <w:vAlign w:val="center"/>
          </w:tcPr>
          <w:p w14:paraId="229343BB">
            <w:pPr>
              <w:jc w:val="center"/>
              <w:rPr>
                <w:rFonts w:hint="eastAsia"/>
                <w:sz w:val="24"/>
              </w:rPr>
            </w:pPr>
            <w:r>
              <w:rPr>
                <w:rFonts w:hint="eastAsia" w:ascii="仿宋_GB2312" w:hAnsi="仿宋_GB2312" w:eastAsia="仿宋_GB2312" w:cs="仿宋_GB2312"/>
                <w:sz w:val="24"/>
              </w:rPr>
              <w:t>承诺件</w:t>
            </w:r>
          </w:p>
        </w:tc>
      </w:tr>
      <w:tr w14:paraId="5E732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469" w:type="dxa"/>
            <w:gridSpan w:val="2"/>
            <w:noWrap w:val="0"/>
            <w:vAlign w:val="center"/>
          </w:tcPr>
          <w:p w14:paraId="598F7C9C">
            <w:pPr>
              <w:jc w:val="center"/>
              <w:rPr>
                <w:rFonts w:hint="eastAsia" w:ascii="黑体" w:hAnsi="黑体" w:eastAsia="黑体" w:cs="黑体"/>
                <w:sz w:val="24"/>
              </w:rPr>
            </w:pPr>
            <w:r>
              <w:rPr>
                <w:rFonts w:hint="eastAsia" w:ascii="黑体" w:hAnsi="黑体" w:eastAsia="黑体" w:cs="黑体"/>
                <w:sz w:val="24"/>
              </w:rPr>
              <w:t>法律依据</w:t>
            </w:r>
          </w:p>
        </w:tc>
        <w:tc>
          <w:tcPr>
            <w:tcW w:w="7053" w:type="dxa"/>
            <w:gridSpan w:val="11"/>
            <w:noWrap w:val="0"/>
            <w:vAlign w:val="top"/>
          </w:tcPr>
          <w:p w14:paraId="38BCEF10">
            <w:pPr>
              <w:autoSpaceDE w:val="0"/>
              <w:autoSpaceDN w:val="0"/>
              <w:rPr>
                <w:rFonts w:ascii="仿宋_GB2312" w:hAnsi="黑体" w:eastAsia="仿宋_GB2312" w:cs="黑体"/>
                <w:sz w:val="24"/>
              </w:rPr>
            </w:pPr>
            <w:r>
              <w:rPr>
                <w:rFonts w:hint="eastAsia" w:ascii="仿宋" w:hAnsi="仿宋" w:eastAsia="仿宋" w:cs="仿宋"/>
                <w:sz w:val="24"/>
              </w:rPr>
              <w:t>《中华人民共和国土地管理法》第52条：【部门规章】依据国土资源部第68号令，自2017年1月1日起执行新修订的《建设项目用地预审管理办法》。</w:t>
            </w:r>
          </w:p>
        </w:tc>
      </w:tr>
      <w:tr w14:paraId="27C04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2" w:hRule="atLeast"/>
        </w:trPr>
        <w:tc>
          <w:tcPr>
            <w:tcW w:w="1469" w:type="dxa"/>
            <w:gridSpan w:val="2"/>
            <w:noWrap w:val="0"/>
            <w:vAlign w:val="center"/>
          </w:tcPr>
          <w:p w14:paraId="5F2DF637">
            <w:pPr>
              <w:jc w:val="center"/>
              <w:rPr>
                <w:rFonts w:hint="eastAsia" w:ascii="黑体" w:hAnsi="黑体" w:eastAsia="黑体" w:cs="黑体"/>
                <w:sz w:val="24"/>
              </w:rPr>
            </w:pPr>
            <w:r>
              <w:rPr>
                <w:rFonts w:hint="eastAsia" w:ascii="黑体" w:hAnsi="黑体" w:eastAsia="黑体" w:cs="黑体"/>
                <w:sz w:val="24"/>
              </w:rPr>
              <w:t>申请条件</w:t>
            </w:r>
          </w:p>
        </w:tc>
        <w:tc>
          <w:tcPr>
            <w:tcW w:w="7053" w:type="dxa"/>
            <w:gridSpan w:val="11"/>
            <w:noWrap w:val="0"/>
            <w:vAlign w:val="center"/>
          </w:tcPr>
          <w:p w14:paraId="2AFA89B1">
            <w:pPr>
              <w:jc w:val="left"/>
              <w:rPr>
                <w:rFonts w:hint="eastAsia" w:ascii="仿宋" w:hAnsi="仿宋" w:eastAsia="仿宋" w:cs="仿宋"/>
                <w:sz w:val="20"/>
                <w:szCs w:val="20"/>
              </w:rPr>
            </w:pPr>
            <w:r>
              <w:rPr>
                <w:rFonts w:hint="eastAsia" w:ascii="仿宋" w:hAnsi="仿宋" w:eastAsia="仿宋" w:cs="仿宋"/>
                <w:sz w:val="20"/>
                <w:szCs w:val="20"/>
              </w:rPr>
              <w:t>(一)建设项目用地符合国家产业政策、供地政策和土地管理法律、法规规定的条件。</w:t>
            </w:r>
          </w:p>
          <w:p w14:paraId="2A2F7D07">
            <w:pPr>
              <w:jc w:val="left"/>
              <w:rPr>
                <w:rFonts w:hint="eastAsia" w:ascii="仿宋" w:hAnsi="仿宋" w:eastAsia="仿宋" w:cs="仿宋"/>
                <w:sz w:val="20"/>
                <w:szCs w:val="20"/>
              </w:rPr>
            </w:pPr>
            <w:r>
              <w:rPr>
                <w:rFonts w:hint="eastAsia" w:ascii="仿宋" w:hAnsi="仿宋" w:eastAsia="仿宋" w:cs="仿宋"/>
                <w:sz w:val="20"/>
                <w:szCs w:val="20"/>
              </w:rPr>
              <w:t>(二)建设项目用地符合国土空间管控规则。建设项目选址符合国土空间管控规则。建设项目用地涉及规划土地用途调整的，需符合法律规定允许调整情形，不再提交调整方案。</w:t>
            </w:r>
          </w:p>
          <w:p w14:paraId="14016E28">
            <w:pPr>
              <w:jc w:val="left"/>
              <w:rPr>
                <w:rFonts w:hint="eastAsia" w:ascii="仿宋" w:hAnsi="仿宋" w:eastAsia="仿宋" w:cs="仿宋"/>
                <w:sz w:val="20"/>
                <w:szCs w:val="20"/>
              </w:rPr>
            </w:pPr>
            <w:r>
              <w:rPr>
                <w:rFonts w:hint="eastAsia" w:ascii="仿宋" w:hAnsi="仿宋" w:eastAsia="仿宋" w:cs="仿宋"/>
                <w:sz w:val="20"/>
                <w:szCs w:val="20"/>
              </w:rPr>
              <w:t>(三)建设项目用地规模符合有关土地使用标准的规定；按规定做好项目用地节约集约，超标准、无标准项目用地要严格执行《关于规范开展建设项目节地评价工作的通知》(自然资办发〔2021〕14号)。</w:t>
            </w:r>
          </w:p>
          <w:p w14:paraId="75AAC004">
            <w:pPr>
              <w:jc w:val="left"/>
              <w:rPr>
                <w:rFonts w:hint="eastAsia" w:ascii="仿宋" w:hAnsi="仿宋" w:eastAsia="仿宋" w:cs="仿宋"/>
                <w:sz w:val="20"/>
                <w:szCs w:val="20"/>
              </w:rPr>
            </w:pPr>
            <w:r>
              <w:rPr>
                <w:rFonts w:hint="eastAsia" w:ascii="仿宋" w:hAnsi="仿宋" w:eastAsia="仿宋" w:cs="仿宋"/>
                <w:sz w:val="20"/>
                <w:szCs w:val="20"/>
              </w:rPr>
              <w:t>(四)经依法批准的国土空间规划确定的城镇开发边界和村庄建设边界外且用地涉及耕地、永久基本农田、生态保护红线的交通、水利等基础设施项目，需编制节约集约用地论证分析专章，并经评审通过，出具专家论证意见。交通、能源、水利之外的单独选址项目可参照执行。</w:t>
            </w:r>
          </w:p>
          <w:p w14:paraId="6121B31A">
            <w:pPr>
              <w:jc w:val="left"/>
              <w:rPr>
                <w:rFonts w:hint="eastAsia" w:ascii="仿宋" w:hAnsi="仿宋" w:eastAsia="仿宋" w:cs="仿宋"/>
                <w:sz w:val="20"/>
                <w:szCs w:val="20"/>
              </w:rPr>
            </w:pPr>
            <w:r>
              <w:rPr>
                <w:rFonts w:hint="eastAsia" w:ascii="仿宋" w:hAnsi="仿宋" w:eastAsia="仿宋" w:cs="仿宋"/>
                <w:sz w:val="20"/>
                <w:szCs w:val="20"/>
              </w:rPr>
              <w:t>(五)需编制地质灾害危险性评估报告，已编制并出具专家论证意见的。</w:t>
            </w:r>
          </w:p>
          <w:p w14:paraId="6A8EB44F">
            <w:pPr>
              <w:jc w:val="left"/>
              <w:rPr>
                <w:rFonts w:hint="eastAsia" w:ascii="仿宋" w:hAnsi="仿宋" w:eastAsia="仿宋" w:cs="仿宋"/>
                <w:sz w:val="20"/>
                <w:szCs w:val="20"/>
              </w:rPr>
            </w:pPr>
            <w:r>
              <w:rPr>
                <w:rFonts w:hint="eastAsia" w:ascii="仿宋" w:hAnsi="仿宋" w:eastAsia="仿宋" w:cs="仿宋"/>
                <w:sz w:val="20"/>
                <w:szCs w:val="20"/>
              </w:rPr>
              <w:t>(六)需编制规划选址研究报告的，已编制并出具专家论证意见的。</w:t>
            </w:r>
          </w:p>
          <w:p w14:paraId="77E0DDB6">
            <w:pPr>
              <w:jc w:val="left"/>
              <w:rPr>
                <w:rFonts w:hint="eastAsia" w:ascii="仿宋" w:hAnsi="仿宋" w:eastAsia="仿宋" w:cs="仿宋"/>
                <w:sz w:val="20"/>
                <w:szCs w:val="20"/>
              </w:rPr>
            </w:pPr>
            <w:r>
              <w:rPr>
                <w:rFonts w:hint="eastAsia" w:ascii="仿宋" w:hAnsi="仿宋" w:eastAsia="仿宋" w:cs="仿宋"/>
                <w:sz w:val="20"/>
                <w:szCs w:val="20"/>
              </w:rPr>
              <w:t>(七)建设项目占用耕地和涉及征地补偿、土地复垦的，建设单位需承诺将补充耕地、征地补偿、土地复垦等相关费用纳入工程概算。</w:t>
            </w:r>
          </w:p>
          <w:p w14:paraId="0A5F0B99">
            <w:pPr>
              <w:jc w:val="left"/>
              <w:rPr>
                <w:rFonts w:hint="eastAsia" w:ascii="仿宋" w:hAnsi="仿宋" w:eastAsia="仿宋" w:cs="仿宋"/>
                <w:sz w:val="20"/>
                <w:szCs w:val="20"/>
              </w:rPr>
            </w:pPr>
            <w:r>
              <w:rPr>
                <w:rFonts w:hint="eastAsia" w:ascii="仿宋" w:hAnsi="仿宋" w:eastAsia="仿宋" w:cs="仿宋"/>
                <w:sz w:val="20"/>
                <w:szCs w:val="20"/>
              </w:rPr>
              <w:t>(八)严格占用永久基本农田的重大建设项目范围，应符合《永久基本农田保护红线管理办法》(自然资源部、农业农村部令第17号)以及《山西省自然资源厅山西省农业农村厅关于加强永久基本农田保护红线管理的通知》(晋自然资发〔2025〕20号)规定的情形。</w:t>
            </w:r>
          </w:p>
          <w:p w14:paraId="21EAA808">
            <w:pPr>
              <w:jc w:val="left"/>
              <w:rPr>
                <w:rFonts w:hint="eastAsia" w:ascii="仿宋" w:hAnsi="仿宋" w:eastAsia="仿宋" w:cs="仿宋"/>
                <w:sz w:val="20"/>
                <w:szCs w:val="20"/>
              </w:rPr>
            </w:pPr>
            <w:r>
              <w:rPr>
                <w:rFonts w:hint="eastAsia" w:ascii="仿宋" w:hAnsi="仿宋" w:eastAsia="仿宋" w:cs="仿宋"/>
                <w:sz w:val="20"/>
                <w:szCs w:val="20"/>
              </w:rPr>
              <w:t>(九)占用生态保护红线的，应符合对生态功能不造成破坏的有限人为活动或有限人为活动之外的国家重大项目范围。</w:t>
            </w:r>
          </w:p>
          <w:p w14:paraId="0CC663D6">
            <w:pPr>
              <w:jc w:val="left"/>
              <w:rPr>
                <w:rFonts w:hint="eastAsia" w:ascii="仿宋" w:hAnsi="仿宋" w:eastAsia="仿宋" w:cs="仿宋"/>
                <w:sz w:val="20"/>
                <w:szCs w:val="20"/>
                <w:lang w:eastAsia="zh-CN"/>
              </w:rPr>
            </w:pPr>
            <w:r>
              <w:rPr>
                <w:rFonts w:hint="eastAsia" w:ascii="仿宋" w:hAnsi="仿宋" w:eastAsia="仿宋" w:cs="仿宋"/>
                <w:sz w:val="20"/>
                <w:szCs w:val="20"/>
              </w:rPr>
              <w:t>(十)涉及自然保护区的，应取得省级林草部门的意见。(说明涉及自然保护区具体功能区，明确同意占用的面积，应大于市级占用面积)</w:t>
            </w:r>
            <w:r>
              <w:rPr>
                <w:rFonts w:hint="eastAsia" w:ascii="仿宋" w:hAnsi="仿宋" w:eastAsia="仿宋" w:cs="仿宋"/>
                <w:sz w:val="20"/>
                <w:szCs w:val="20"/>
                <w:lang w:eastAsia="zh-CN"/>
              </w:rPr>
              <w:t>。</w:t>
            </w:r>
          </w:p>
          <w:p w14:paraId="555D4D86">
            <w:pPr>
              <w:jc w:val="left"/>
              <w:rPr>
                <w:rFonts w:hint="eastAsia" w:ascii="仿宋" w:hAnsi="仿宋" w:eastAsia="仿宋" w:cs="仿宋"/>
                <w:sz w:val="20"/>
                <w:szCs w:val="20"/>
                <w:lang w:val="en-US" w:eastAsia="zh-CN"/>
              </w:rPr>
            </w:pPr>
            <w:r>
              <w:rPr>
                <w:rFonts w:hint="eastAsia" w:ascii="仿宋" w:hAnsi="仿宋" w:eastAsia="仿宋" w:cs="仿宋"/>
                <w:sz w:val="20"/>
                <w:szCs w:val="20"/>
              </w:rPr>
              <w:t>(</w:t>
            </w:r>
            <w:r>
              <w:rPr>
                <w:rFonts w:hint="eastAsia" w:ascii="仿宋" w:hAnsi="仿宋" w:eastAsia="仿宋" w:cs="仿宋"/>
                <w:sz w:val="20"/>
                <w:szCs w:val="20"/>
                <w:lang w:val="en-US" w:eastAsia="zh-CN"/>
              </w:rPr>
              <w:t>十一</w:t>
            </w:r>
            <w:r>
              <w:rPr>
                <w:rFonts w:hint="eastAsia" w:ascii="仿宋" w:hAnsi="仿宋" w:eastAsia="仿宋" w:cs="仿宋"/>
                <w:sz w:val="20"/>
                <w:szCs w:val="20"/>
              </w:rPr>
              <w:t>)不涉及违法用地或违法用地处罚已处理</w:t>
            </w:r>
            <w:r>
              <w:rPr>
                <w:rFonts w:hint="eastAsia" w:ascii="仿宋" w:hAnsi="仿宋" w:eastAsia="仿宋" w:cs="仿宋"/>
                <w:sz w:val="20"/>
                <w:szCs w:val="20"/>
                <w:lang w:eastAsia="zh-CN"/>
              </w:rPr>
              <w:t>。</w:t>
            </w:r>
          </w:p>
          <w:p w14:paraId="3A10E180">
            <w:pPr>
              <w:jc w:val="left"/>
              <w:rPr>
                <w:rFonts w:hint="eastAsia" w:ascii="仿宋" w:hAnsi="仿宋" w:eastAsia="仿宋" w:cs="仿宋"/>
                <w:sz w:val="18"/>
                <w:szCs w:val="18"/>
              </w:rPr>
            </w:pPr>
          </w:p>
          <w:p w14:paraId="2B2B413F">
            <w:pPr>
              <w:jc w:val="left"/>
              <w:rPr>
                <w:rFonts w:hint="eastAsia" w:ascii="仿宋_GB2312" w:hAnsi="黑体" w:eastAsia="仿宋_GB2312" w:cs="黑体"/>
                <w:sz w:val="24"/>
              </w:rPr>
            </w:pPr>
          </w:p>
        </w:tc>
      </w:tr>
      <w:tr w14:paraId="50DD5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7" w:hRule="atLeast"/>
        </w:trPr>
        <w:tc>
          <w:tcPr>
            <w:tcW w:w="1469" w:type="dxa"/>
            <w:gridSpan w:val="2"/>
            <w:noWrap w:val="0"/>
            <w:vAlign w:val="center"/>
          </w:tcPr>
          <w:p w14:paraId="2B583C94">
            <w:pPr>
              <w:jc w:val="center"/>
              <w:rPr>
                <w:rFonts w:hint="eastAsia" w:ascii="黑体" w:hAnsi="黑体" w:eastAsia="黑体" w:cs="黑体"/>
                <w:sz w:val="24"/>
              </w:rPr>
            </w:pPr>
            <w:r>
              <w:rPr>
                <w:rFonts w:hint="eastAsia" w:ascii="黑体" w:hAnsi="黑体" w:eastAsia="黑体" w:cs="黑体"/>
                <w:sz w:val="24"/>
              </w:rPr>
              <w:t>申请</w:t>
            </w:r>
          </w:p>
          <w:p w14:paraId="3F1911B4">
            <w:pPr>
              <w:jc w:val="center"/>
              <w:rPr>
                <w:rFonts w:hint="eastAsia" w:ascii="黑体" w:hAnsi="黑体" w:eastAsia="黑体" w:cs="黑体"/>
                <w:sz w:val="24"/>
              </w:rPr>
            </w:pPr>
            <w:r>
              <w:rPr>
                <w:rFonts w:hint="eastAsia" w:ascii="黑体" w:hAnsi="黑体" w:eastAsia="黑体" w:cs="黑体"/>
                <w:sz w:val="24"/>
              </w:rPr>
              <w:t>材料</w:t>
            </w:r>
          </w:p>
        </w:tc>
        <w:tc>
          <w:tcPr>
            <w:tcW w:w="7053" w:type="dxa"/>
            <w:gridSpan w:val="11"/>
            <w:noWrap w:val="0"/>
            <w:vAlign w:val="center"/>
          </w:tcPr>
          <w:p w14:paraId="55C467A8">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1.</w:t>
            </w:r>
            <w:r>
              <w:rPr>
                <w:rFonts w:hint="eastAsia" w:ascii="仿宋" w:hAnsi="仿宋" w:eastAsia="仿宋" w:cs="仿宋"/>
                <w:sz w:val="20"/>
                <w:szCs w:val="20"/>
              </w:rPr>
              <w:t>建设项目用地预审申请表；</w:t>
            </w:r>
          </w:p>
          <w:p w14:paraId="5E1B304F">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2.</w:t>
            </w:r>
            <w:r>
              <w:rPr>
                <w:rFonts w:hint="eastAsia" w:ascii="仿宋" w:hAnsi="仿宋" w:eastAsia="仿宋" w:cs="仿宋"/>
                <w:sz w:val="20"/>
                <w:szCs w:val="20"/>
              </w:rPr>
              <w:t>建设项目用地预审申请报告；</w:t>
            </w:r>
          </w:p>
          <w:p w14:paraId="093A8388">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3.</w:t>
            </w:r>
            <w:r>
              <w:rPr>
                <w:rFonts w:hint="eastAsia" w:ascii="仿宋" w:hAnsi="仿宋" w:eastAsia="仿宋" w:cs="仿宋"/>
                <w:sz w:val="20"/>
                <w:szCs w:val="20"/>
              </w:rPr>
              <w:t>项目建设依据(项目建议书批复文件、项目列入相关规划文件或者相关产业政策文件</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不得以会议纪要作为依据</w:t>
            </w:r>
            <w:r>
              <w:rPr>
                <w:rFonts w:hint="eastAsia" w:ascii="仿宋" w:hAnsi="仿宋" w:eastAsia="仿宋" w:cs="仿宋"/>
                <w:sz w:val="20"/>
                <w:szCs w:val="20"/>
              </w:rPr>
              <w:t>)；</w:t>
            </w:r>
          </w:p>
          <w:p w14:paraId="11616D00">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4.符合国土空间规划的印证材料（含已批准规划文本首页、目录页、涉及项目部分内容以及位置关系图）；</w:t>
            </w:r>
          </w:p>
          <w:p w14:paraId="1C6AEA09">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5.土地勘测定界报告：土地面积分类表（加盖县局公章）、</w:t>
            </w:r>
            <w:r>
              <w:rPr>
                <w:rFonts w:hint="eastAsia" w:ascii="仿宋" w:hAnsi="仿宋" w:eastAsia="仿宋" w:cs="仿宋"/>
                <w:sz w:val="20"/>
                <w:szCs w:val="20"/>
              </w:rPr>
              <w:t>项目用地边界拐点坐标表(2000国家大地坐标系)</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勘测定界图等；</w:t>
            </w:r>
          </w:p>
          <w:p w14:paraId="4E6AB30F">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6.</w:t>
            </w:r>
            <w:r>
              <w:rPr>
                <w:rFonts w:hint="eastAsia" w:ascii="仿宋" w:hAnsi="仿宋" w:eastAsia="仿宋" w:cs="仿宋"/>
                <w:sz w:val="20"/>
                <w:szCs w:val="20"/>
              </w:rPr>
              <w:t>标注项目用地范围的土地利用总体规划图、土地利用现状图及其他相关图件</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加盖县局公章</w:t>
            </w:r>
            <w:r>
              <w:rPr>
                <w:rFonts w:hint="eastAsia" w:ascii="仿宋" w:hAnsi="仿宋" w:eastAsia="仿宋" w:cs="仿宋"/>
                <w:sz w:val="20"/>
                <w:szCs w:val="20"/>
                <w:lang w:eastAsia="zh-CN"/>
              </w:rPr>
              <w:t>）</w:t>
            </w:r>
            <w:r>
              <w:rPr>
                <w:rFonts w:hint="eastAsia" w:ascii="仿宋" w:hAnsi="仿宋" w:eastAsia="仿宋" w:cs="仿宋"/>
                <w:sz w:val="20"/>
                <w:szCs w:val="20"/>
              </w:rPr>
              <w:t>；</w:t>
            </w:r>
          </w:p>
          <w:p w14:paraId="0D6E1002">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7.相关部门核查意见；</w:t>
            </w:r>
          </w:p>
          <w:p w14:paraId="3625113B">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8.规划选址研究报告，并附专家论证意见；</w:t>
            </w:r>
          </w:p>
          <w:p w14:paraId="2007DCF7">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9.需要编制节约集约用地专章的按规定编制节约集约用地专章；</w:t>
            </w:r>
          </w:p>
          <w:p w14:paraId="6DD04432">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10.涉及无标准、超标准用地的需提供建设项目节地评价相关材料；</w:t>
            </w:r>
          </w:p>
          <w:p w14:paraId="2A0C4716">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11.位于区域评估范围外及地质灾害易发区域的建设项目，需提供地质灾害危险性评估报告(含专家审查意见及评估成果)及建设项目地质灾害防治工作承诺书;</w:t>
            </w:r>
          </w:p>
          <w:p w14:paraId="348D0306">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12.违法用地审查相关材料：若涉及违法用地的，提供已处理的佐证材料；</w:t>
            </w:r>
          </w:p>
          <w:p w14:paraId="2524B4AE">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13.其他资料（营业执照及法人身份证复印件、委托授权书及委托人身份证复印件等）。</w:t>
            </w:r>
          </w:p>
          <w:p w14:paraId="18A74266">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default" w:ascii="仿宋" w:hAnsi="仿宋" w:eastAsia="仿宋" w:cs="仿宋"/>
                <w:sz w:val="24"/>
                <w:lang w:val="en-US" w:eastAsia="zh-CN"/>
              </w:rPr>
            </w:pPr>
            <w:r>
              <w:rPr>
                <w:rFonts w:hint="eastAsia" w:ascii="仿宋" w:hAnsi="仿宋" w:eastAsia="仿宋" w:cs="仿宋"/>
                <w:sz w:val="20"/>
                <w:szCs w:val="20"/>
                <w:lang w:val="en-US" w:eastAsia="zh-CN"/>
              </w:rPr>
              <w:t>注：所有材料都需加盖公章，复印件需加盖企业公章，扫描PDF电子版。</w:t>
            </w:r>
          </w:p>
        </w:tc>
      </w:tr>
      <w:tr w14:paraId="0984F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788" w:type="dxa"/>
            <w:vMerge w:val="restart"/>
            <w:noWrap w:val="0"/>
            <w:vAlign w:val="center"/>
          </w:tcPr>
          <w:p w14:paraId="2F4ED0B3">
            <w:pPr>
              <w:jc w:val="center"/>
              <w:rPr>
                <w:rFonts w:hint="eastAsia" w:ascii="黑体" w:hAnsi="黑体" w:eastAsia="黑体" w:cs="黑体"/>
                <w:sz w:val="24"/>
              </w:rPr>
            </w:pPr>
            <w:r>
              <w:rPr>
                <w:rFonts w:hint="eastAsia" w:ascii="黑体" w:hAnsi="黑体" w:eastAsia="黑体" w:cs="黑体"/>
                <w:sz w:val="24"/>
              </w:rPr>
              <w:t>审</w:t>
            </w:r>
          </w:p>
          <w:p w14:paraId="498B8A93">
            <w:pPr>
              <w:jc w:val="center"/>
              <w:rPr>
                <w:rFonts w:hint="eastAsia" w:ascii="黑体" w:hAnsi="黑体" w:eastAsia="黑体" w:cs="黑体"/>
                <w:sz w:val="24"/>
              </w:rPr>
            </w:pPr>
            <w:r>
              <w:rPr>
                <w:rFonts w:hint="eastAsia" w:ascii="黑体" w:hAnsi="黑体" w:eastAsia="黑体" w:cs="黑体"/>
                <w:sz w:val="24"/>
              </w:rPr>
              <w:t>批</w:t>
            </w:r>
          </w:p>
          <w:p w14:paraId="2833498F">
            <w:pPr>
              <w:jc w:val="center"/>
              <w:rPr>
                <w:rFonts w:hint="eastAsia" w:ascii="黑体" w:hAnsi="黑体" w:eastAsia="黑体" w:cs="黑体"/>
                <w:sz w:val="24"/>
              </w:rPr>
            </w:pPr>
            <w:r>
              <w:rPr>
                <w:rFonts w:hint="eastAsia" w:ascii="黑体" w:hAnsi="黑体" w:eastAsia="黑体" w:cs="黑体"/>
                <w:sz w:val="24"/>
              </w:rPr>
              <w:t>环</w:t>
            </w:r>
          </w:p>
          <w:p w14:paraId="645F5BBE">
            <w:pPr>
              <w:jc w:val="center"/>
              <w:rPr>
                <w:rFonts w:hint="eastAsia" w:ascii="黑体" w:hAnsi="黑体" w:eastAsia="黑体" w:cs="黑体"/>
                <w:sz w:val="24"/>
              </w:rPr>
            </w:pPr>
            <w:r>
              <w:rPr>
                <w:rFonts w:hint="eastAsia" w:ascii="黑体" w:hAnsi="黑体" w:eastAsia="黑体" w:cs="黑体"/>
                <w:sz w:val="24"/>
              </w:rPr>
              <w:t>节</w:t>
            </w:r>
          </w:p>
          <w:p w14:paraId="65CC0DF4">
            <w:pPr>
              <w:jc w:val="center"/>
              <w:rPr>
                <w:rFonts w:hint="eastAsia" w:ascii="黑体" w:hAnsi="黑体" w:eastAsia="黑体" w:cs="黑体"/>
                <w:sz w:val="24"/>
              </w:rPr>
            </w:pPr>
            <w:r>
              <w:rPr>
                <w:rFonts w:hint="eastAsia" w:ascii="黑体" w:hAnsi="黑体" w:eastAsia="黑体" w:cs="黑体"/>
                <w:sz w:val="24"/>
              </w:rPr>
              <w:t>与</w:t>
            </w:r>
          </w:p>
          <w:p w14:paraId="1E7780B0">
            <w:pPr>
              <w:jc w:val="center"/>
              <w:rPr>
                <w:rFonts w:hint="eastAsia" w:ascii="黑体" w:hAnsi="黑体" w:eastAsia="黑体" w:cs="黑体"/>
                <w:sz w:val="24"/>
              </w:rPr>
            </w:pPr>
            <w:r>
              <w:rPr>
                <w:rFonts w:hint="eastAsia" w:ascii="黑体" w:hAnsi="黑体" w:eastAsia="黑体" w:cs="黑体"/>
                <w:sz w:val="24"/>
              </w:rPr>
              <w:t>流</w:t>
            </w:r>
          </w:p>
          <w:p w14:paraId="6BC90F9F">
            <w:pPr>
              <w:jc w:val="center"/>
              <w:rPr>
                <w:rFonts w:hint="eastAsia" w:ascii="黑体" w:hAnsi="黑体" w:eastAsia="黑体" w:cs="黑体"/>
                <w:sz w:val="24"/>
              </w:rPr>
            </w:pPr>
            <w:r>
              <w:rPr>
                <w:rFonts w:hint="eastAsia" w:ascii="黑体" w:hAnsi="黑体" w:eastAsia="黑体" w:cs="黑体"/>
                <w:sz w:val="24"/>
              </w:rPr>
              <w:t>程</w:t>
            </w:r>
          </w:p>
        </w:tc>
        <w:tc>
          <w:tcPr>
            <w:tcW w:w="5730" w:type="dxa"/>
            <w:gridSpan w:val="9"/>
            <w:noWrap w:val="0"/>
            <w:vAlign w:val="center"/>
          </w:tcPr>
          <w:p w14:paraId="4BA7CB28">
            <w:pPr>
              <w:jc w:val="center"/>
              <w:rPr>
                <w:rFonts w:hint="eastAsia" w:ascii="黑体" w:hAnsi="黑体" w:eastAsia="黑体" w:cs="黑体"/>
                <w:sz w:val="24"/>
              </w:rPr>
            </w:pPr>
            <w:r>
              <w:rPr>
                <w:rFonts w:hint="eastAsia" w:ascii="黑体" w:hAnsi="黑体" w:eastAsia="黑体" w:cs="黑体"/>
                <w:sz w:val="24"/>
              </w:rPr>
              <w:t>实施步骤与具体要求</w:t>
            </w:r>
          </w:p>
        </w:tc>
        <w:tc>
          <w:tcPr>
            <w:tcW w:w="1013" w:type="dxa"/>
            <w:gridSpan w:val="2"/>
            <w:noWrap w:val="0"/>
            <w:vAlign w:val="center"/>
          </w:tcPr>
          <w:p w14:paraId="479A3CD6">
            <w:pPr>
              <w:jc w:val="center"/>
              <w:rPr>
                <w:rFonts w:hint="eastAsia" w:ascii="黑体" w:hAnsi="黑体" w:eastAsia="黑体" w:cs="黑体"/>
                <w:sz w:val="24"/>
              </w:rPr>
            </w:pPr>
            <w:r>
              <w:rPr>
                <w:rFonts w:hint="eastAsia" w:ascii="黑体" w:hAnsi="黑体" w:eastAsia="黑体" w:cs="黑体"/>
                <w:sz w:val="24"/>
              </w:rPr>
              <w:t>责任人</w:t>
            </w:r>
          </w:p>
        </w:tc>
        <w:tc>
          <w:tcPr>
            <w:tcW w:w="991" w:type="dxa"/>
            <w:noWrap w:val="0"/>
            <w:vAlign w:val="center"/>
          </w:tcPr>
          <w:p w14:paraId="2BB4F742">
            <w:pPr>
              <w:jc w:val="center"/>
              <w:rPr>
                <w:rFonts w:hint="eastAsia" w:ascii="黑体" w:hAnsi="黑体" w:eastAsia="黑体" w:cs="黑体"/>
                <w:sz w:val="24"/>
              </w:rPr>
            </w:pPr>
            <w:r>
              <w:rPr>
                <w:rFonts w:hint="eastAsia" w:ascii="黑体" w:hAnsi="黑体" w:eastAsia="黑体" w:cs="黑体"/>
                <w:sz w:val="24"/>
              </w:rPr>
              <w:t>承诺</w:t>
            </w:r>
          </w:p>
          <w:p w14:paraId="0B8EE46E">
            <w:pPr>
              <w:jc w:val="center"/>
              <w:rPr>
                <w:rFonts w:hint="eastAsia" w:ascii="黑体" w:hAnsi="黑体" w:eastAsia="黑体" w:cs="黑体"/>
                <w:sz w:val="24"/>
              </w:rPr>
            </w:pPr>
            <w:r>
              <w:rPr>
                <w:rFonts w:hint="eastAsia" w:ascii="黑体" w:hAnsi="黑体" w:eastAsia="黑体" w:cs="黑体"/>
                <w:sz w:val="24"/>
              </w:rPr>
              <w:t>时限</w:t>
            </w:r>
          </w:p>
        </w:tc>
      </w:tr>
      <w:tr w14:paraId="6BA55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 w:hRule="atLeast"/>
        </w:trPr>
        <w:tc>
          <w:tcPr>
            <w:tcW w:w="788" w:type="dxa"/>
            <w:vMerge w:val="continue"/>
            <w:noWrap w:val="0"/>
            <w:vAlign w:val="center"/>
          </w:tcPr>
          <w:p w14:paraId="2207E1C2">
            <w:pPr>
              <w:jc w:val="center"/>
              <w:rPr>
                <w:rFonts w:hint="eastAsia" w:ascii="黑体" w:hAnsi="黑体" w:eastAsia="黑体" w:cs="黑体"/>
                <w:sz w:val="24"/>
              </w:rPr>
            </w:pPr>
          </w:p>
        </w:tc>
        <w:tc>
          <w:tcPr>
            <w:tcW w:w="681" w:type="dxa"/>
            <w:noWrap w:val="0"/>
            <w:vAlign w:val="center"/>
          </w:tcPr>
          <w:p w14:paraId="7190C360">
            <w:pPr>
              <w:jc w:val="center"/>
              <w:rPr>
                <w:rFonts w:hint="eastAsia" w:ascii="黑体" w:hAnsi="黑体" w:eastAsia="黑体" w:cs="黑体"/>
                <w:sz w:val="24"/>
              </w:rPr>
            </w:pPr>
            <w:r>
              <w:rPr>
                <w:rFonts w:hint="eastAsia" w:ascii="黑体" w:hAnsi="黑体" w:eastAsia="黑体" w:cs="黑体"/>
                <w:sz w:val="24"/>
              </w:rPr>
              <w:t>受</w:t>
            </w:r>
          </w:p>
          <w:p w14:paraId="40A637FB">
            <w:pPr>
              <w:jc w:val="center"/>
              <w:rPr>
                <w:rFonts w:hint="eastAsia" w:ascii="黑体" w:hAnsi="黑体" w:eastAsia="黑体" w:cs="黑体"/>
                <w:sz w:val="24"/>
              </w:rPr>
            </w:pPr>
            <w:r>
              <w:rPr>
                <w:rFonts w:hint="eastAsia" w:ascii="黑体" w:hAnsi="黑体" w:eastAsia="黑体" w:cs="黑体"/>
                <w:sz w:val="24"/>
              </w:rPr>
              <w:t>理</w:t>
            </w:r>
          </w:p>
        </w:tc>
        <w:tc>
          <w:tcPr>
            <w:tcW w:w="5049" w:type="dxa"/>
            <w:gridSpan w:val="8"/>
            <w:noWrap w:val="0"/>
            <w:vAlign w:val="center"/>
          </w:tcPr>
          <w:p w14:paraId="49B0D827">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ascii="仿宋_GB2312" w:hAnsi="仿宋_GB2312" w:eastAsia="仿宋_GB2312" w:cs="仿宋_GB2312"/>
                <w:sz w:val="24"/>
              </w:rPr>
            </w:pPr>
            <w:r>
              <w:rPr>
                <w:rFonts w:hint="eastAsia" w:ascii="仿宋" w:hAnsi="仿宋" w:eastAsia="仿宋" w:cs="仿宋"/>
                <w:sz w:val="24"/>
                <w:lang w:val="en-US" w:eastAsia="zh-CN"/>
              </w:rPr>
              <w:t>窗口受理,申请人提交申请材料，行政审批窗口检查申请材料是否齐全、是否符合法定形式，申报材料不齐全或不符合法定形式的一次性告知申请人补正；材料齐全并符合法定形式的，受理后批转至用途管制耕保股审核。</w:t>
            </w:r>
          </w:p>
        </w:tc>
        <w:tc>
          <w:tcPr>
            <w:tcW w:w="1013" w:type="dxa"/>
            <w:gridSpan w:val="2"/>
            <w:noWrap w:val="0"/>
            <w:vAlign w:val="center"/>
          </w:tcPr>
          <w:p w14:paraId="3CF2C1A5">
            <w:pP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王秀枝</w:t>
            </w:r>
          </w:p>
        </w:tc>
        <w:tc>
          <w:tcPr>
            <w:tcW w:w="991" w:type="dxa"/>
            <w:noWrap w:val="0"/>
            <w:vAlign w:val="center"/>
          </w:tcPr>
          <w:p w14:paraId="7195192B">
            <w:pPr>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r>
      <w:tr w14:paraId="7FDB8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9" w:hRule="atLeast"/>
        </w:trPr>
        <w:tc>
          <w:tcPr>
            <w:tcW w:w="788" w:type="dxa"/>
            <w:vMerge w:val="continue"/>
            <w:noWrap w:val="0"/>
            <w:vAlign w:val="center"/>
          </w:tcPr>
          <w:p w14:paraId="6430645E">
            <w:pPr>
              <w:jc w:val="center"/>
              <w:rPr>
                <w:rFonts w:hint="eastAsia" w:ascii="黑体" w:hAnsi="黑体" w:eastAsia="黑体" w:cs="黑体"/>
                <w:sz w:val="24"/>
              </w:rPr>
            </w:pPr>
          </w:p>
        </w:tc>
        <w:tc>
          <w:tcPr>
            <w:tcW w:w="681" w:type="dxa"/>
            <w:noWrap w:val="0"/>
            <w:vAlign w:val="center"/>
          </w:tcPr>
          <w:p w14:paraId="0C0118F5">
            <w:pPr>
              <w:jc w:val="center"/>
              <w:rPr>
                <w:rFonts w:hint="eastAsia" w:ascii="黑体" w:hAnsi="黑体" w:eastAsia="黑体" w:cs="黑体"/>
                <w:sz w:val="24"/>
              </w:rPr>
            </w:pPr>
            <w:r>
              <w:rPr>
                <w:rFonts w:hint="eastAsia" w:ascii="黑体" w:hAnsi="黑体" w:eastAsia="黑体" w:cs="黑体"/>
                <w:sz w:val="24"/>
              </w:rPr>
              <w:t>审</w:t>
            </w:r>
          </w:p>
          <w:p w14:paraId="46A26548">
            <w:pPr>
              <w:jc w:val="center"/>
              <w:rPr>
                <w:rFonts w:hint="eastAsia" w:ascii="黑体" w:hAnsi="黑体" w:eastAsia="黑体" w:cs="黑体"/>
                <w:sz w:val="24"/>
              </w:rPr>
            </w:pPr>
            <w:r>
              <w:rPr>
                <w:rFonts w:hint="eastAsia" w:ascii="黑体" w:hAnsi="黑体" w:eastAsia="黑体" w:cs="黑体"/>
                <w:sz w:val="24"/>
              </w:rPr>
              <w:t>核</w:t>
            </w:r>
          </w:p>
        </w:tc>
        <w:tc>
          <w:tcPr>
            <w:tcW w:w="5049" w:type="dxa"/>
            <w:gridSpan w:val="8"/>
            <w:noWrap w:val="0"/>
            <w:vAlign w:val="center"/>
          </w:tcPr>
          <w:p w14:paraId="4DA44D82">
            <w:pPr>
              <w:spacing w:line="0" w:lineRule="atLeast"/>
              <w:ind w:firstLine="480" w:firstLineChars="200"/>
              <w:rPr>
                <w:rFonts w:hint="eastAsia" w:ascii="仿宋_GB2312" w:hAnsi="仿宋_GB2312" w:eastAsia="仿宋_GB2312" w:cs="仿宋_GB2312"/>
                <w:bCs/>
                <w:sz w:val="24"/>
              </w:rPr>
            </w:pPr>
            <w:r>
              <w:rPr>
                <w:rFonts w:hint="eastAsia" w:ascii="仿宋" w:hAnsi="仿宋" w:eastAsia="仿宋" w:cs="仿宋"/>
                <w:sz w:val="24"/>
                <w:lang w:val="en-US" w:eastAsia="zh-CN"/>
              </w:rPr>
              <w:t>用途管制耕保股收件后，会同相关股室进行会审。对符合要求的提交分管局长审批，对不符合要求的，退回受理窗口，按整改意见完善后重新上报。</w:t>
            </w:r>
          </w:p>
        </w:tc>
        <w:tc>
          <w:tcPr>
            <w:tcW w:w="1013" w:type="dxa"/>
            <w:gridSpan w:val="2"/>
            <w:noWrap w:val="0"/>
            <w:vAlign w:val="center"/>
          </w:tcPr>
          <w:p w14:paraId="4C3B6BEB">
            <w:pPr>
              <w:spacing w:line="0" w:lineRule="atLeast"/>
              <w:jc w:val="center"/>
              <w:rPr>
                <w:rFonts w:hint="default" w:ascii="仿宋_GB2312" w:hAnsi="仿宋_GB2312" w:eastAsia="仿宋_GB2312" w:cs="仿宋_GB2312"/>
                <w:bCs/>
                <w:sz w:val="24"/>
                <w:lang w:val="en-US" w:eastAsia="zh-CN"/>
              </w:rPr>
            </w:pPr>
            <w:r>
              <w:rPr>
                <w:rFonts w:hint="eastAsia" w:ascii="仿宋_GB2312" w:hAnsi="仿宋_GB2312" w:eastAsia="仿宋_GB2312" w:cs="仿宋_GB2312"/>
                <w:sz w:val="24"/>
                <w:lang w:val="en-US" w:eastAsia="zh-CN"/>
              </w:rPr>
              <w:t>付建新</w:t>
            </w:r>
          </w:p>
        </w:tc>
        <w:tc>
          <w:tcPr>
            <w:tcW w:w="991" w:type="dxa"/>
            <w:noWrap w:val="0"/>
            <w:vAlign w:val="center"/>
          </w:tcPr>
          <w:p w14:paraId="5F65C446">
            <w:pPr>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w:t>
            </w:r>
          </w:p>
        </w:tc>
      </w:tr>
      <w:tr w14:paraId="49B2D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8" w:type="dxa"/>
            <w:vMerge w:val="continue"/>
            <w:noWrap w:val="0"/>
            <w:vAlign w:val="center"/>
          </w:tcPr>
          <w:p w14:paraId="234507F3">
            <w:pPr>
              <w:jc w:val="center"/>
              <w:rPr>
                <w:rFonts w:hint="eastAsia" w:ascii="黑体" w:hAnsi="黑体" w:eastAsia="黑体" w:cs="黑体"/>
                <w:sz w:val="24"/>
              </w:rPr>
            </w:pPr>
          </w:p>
        </w:tc>
        <w:tc>
          <w:tcPr>
            <w:tcW w:w="681" w:type="dxa"/>
            <w:noWrap w:val="0"/>
            <w:vAlign w:val="center"/>
          </w:tcPr>
          <w:p w14:paraId="17FB1324">
            <w:pPr>
              <w:jc w:val="center"/>
              <w:rPr>
                <w:rFonts w:hint="eastAsia" w:ascii="黑体" w:hAnsi="黑体" w:eastAsia="黑体" w:cs="黑体"/>
                <w:sz w:val="24"/>
              </w:rPr>
            </w:pPr>
            <w:r>
              <w:rPr>
                <w:rFonts w:hint="eastAsia" w:ascii="黑体" w:hAnsi="黑体" w:eastAsia="黑体" w:cs="黑体"/>
                <w:sz w:val="24"/>
              </w:rPr>
              <w:t>审</w:t>
            </w:r>
          </w:p>
          <w:p w14:paraId="2CD32F7A">
            <w:pPr>
              <w:jc w:val="center"/>
              <w:rPr>
                <w:rFonts w:hint="eastAsia" w:ascii="黑体" w:hAnsi="黑体" w:eastAsia="黑体" w:cs="黑体"/>
                <w:sz w:val="24"/>
              </w:rPr>
            </w:pPr>
            <w:r>
              <w:rPr>
                <w:rFonts w:hint="eastAsia" w:ascii="黑体" w:hAnsi="黑体" w:eastAsia="黑体" w:cs="黑体"/>
                <w:sz w:val="24"/>
              </w:rPr>
              <w:t>批</w:t>
            </w:r>
          </w:p>
        </w:tc>
        <w:tc>
          <w:tcPr>
            <w:tcW w:w="5049" w:type="dxa"/>
            <w:gridSpan w:val="8"/>
            <w:noWrap w:val="0"/>
            <w:vAlign w:val="center"/>
          </w:tcPr>
          <w:p w14:paraId="56EA0311">
            <w:pPr>
              <w:spacing w:line="0" w:lineRule="atLeast"/>
              <w:ind w:firstLine="480" w:firstLineChars="200"/>
              <w:rPr>
                <w:rFonts w:hint="eastAsia" w:ascii="仿宋_GB2312" w:hAnsi="仿宋_GB2312" w:eastAsia="仿宋_GB2312" w:cs="仿宋_GB2312"/>
                <w:sz w:val="24"/>
              </w:rPr>
            </w:pPr>
            <w:r>
              <w:rPr>
                <w:rFonts w:hint="eastAsia" w:ascii="仿宋" w:hAnsi="仿宋" w:eastAsia="仿宋" w:cs="仿宋"/>
                <w:sz w:val="24"/>
                <w:lang w:val="en-US" w:eastAsia="zh-CN"/>
              </w:rPr>
              <w:t>各股室会审通过后，对符合要求的，分管局长签字后报局长审批。对不符合要求的，退回受理窗口，按整改意见完善后重新上报。</w:t>
            </w:r>
          </w:p>
        </w:tc>
        <w:tc>
          <w:tcPr>
            <w:tcW w:w="1013" w:type="dxa"/>
            <w:gridSpan w:val="2"/>
            <w:noWrap w:val="0"/>
            <w:vAlign w:val="center"/>
          </w:tcPr>
          <w:p w14:paraId="6DB96938">
            <w:pP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李维清</w:t>
            </w:r>
          </w:p>
          <w:p w14:paraId="2E959E9E">
            <w:pP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张丙福</w:t>
            </w:r>
          </w:p>
        </w:tc>
        <w:tc>
          <w:tcPr>
            <w:tcW w:w="991" w:type="dxa"/>
            <w:noWrap w:val="0"/>
            <w:vAlign w:val="center"/>
          </w:tcPr>
          <w:p w14:paraId="784469A0">
            <w:pPr>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w:t>
            </w:r>
          </w:p>
        </w:tc>
      </w:tr>
      <w:tr w14:paraId="50C6E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788" w:type="dxa"/>
            <w:vMerge w:val="continue"/>
            <w:noWrap w:val="0"/>
            <w:vAlign w:val="center"/>
          </w:tcPr>
          <w:p w14:paraId="0EA3DC0F">
            <w:pPr>
              <w:jc w:val="center"/>
              <w:rPr>
                <w:rFonts w:hint="eastAsia" w:ascii="黑体" w:hAnsi="黑体" w:eastAsia="黑体" w:cs="黑体"/>
                <w:sz w:val="24"/>
              </w:rPr>
            </w:pPr>
          </w:p>
        </w:tc>
        <w:tc>
          <w:tcPr>
            <w:tcW w:w="681" w:type="dxa"/>
            <w:noWrap w:val="0"/>
            <w:vAlign w:val="center"/>
          </w:tcPr>
          <w:p w14:paraId="6BFB955C">
            <w:pPr>
              <w:jc w:val="center"/>
              <w:rPr>
                <w:rFonts w:hint="eastAsia" w:ascii="黑体" w:hAnsi="黑体" w:eastAsia="黑体" w:cs="黑体"/>
                <w:sz w:val="24"/>
              </w:rPr>
            </w:pPr>
            <w:r>
              <w:rPr>
                <w:rFonts w:hint="eastAsia" w:ascii="黑体" w:hAnsi="黑体" w:eastAsia="黑体" w:cs="黑体"/>
                <w:sz w:val="24"/>
              </w:rPr>
              <w:t>办</w:t>
            </w:r>
          </w:p>
          <w:p w14:paraId="0B7E6E65">
            <w:pPr>
              <w:jc w:val="center"/>
              <w:rPr>
                <w:rFonts w:hint="eastAsia" w:ascii="黑体" w:hAnsi="黑体" w:eastAsia="黑体" w:cs="黑体"/>
                <w:sz w:val="24"/>
              </w:rPr>
            </w:pPr>
            <w:r>
              <w:rPr>
                <w:rFonts w:hint="eastAsia" w:ascii="黑体" w:hAnsi="黑体" w:eastAsia="黑体" w:cs="黑体"/>
                <w:sz w:val="24"/>
              </w:rPr>
              <w:t>结</w:t>
            </w:r>
          </w:p>
        </w:tc>
        <w:tc>
          <w:tcPr>
            <w:tcW w:w="5049" w:type="dxa"/>
            <w:gridSpan w:val="8"/>
            <w:noWrap w:val="0"/>
            <w:vAlign w:val="center"/>
          </w:tcPr>
          <w:p w14:paraId="178F6979">
            <w:pPr>
              <w:spacing w:line="0" w:lineRule="atLeast"/>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1.办理结果在盂县人民政府网站进行公示</w:t>
            </w:r>
          </w:p>
          <w:p w14:paraId="4493A364">
            <w:pPr>
              <w:spacing w:line="0" w:lineRule="atLeast"/>
              <w:ind w:firstLine="480" w:firstLineChars="200"/>
              <w:rPr>
                <w:rFonts w:hint="eastAsia" w:ascii="仿宋_GB2312" w:hAnsi="仿宋_GB2312" w:eastAsia="仿宋_GB2312" w:cs="仿宋_GB2312"/>
                <w:sz w:val="24"/>
              </w:rPr>
            </w:pPr>
            <w:r>
              <w:rPr>
                <w:rFonts w:hint="eastAsia" w:ascii="仿宋" w:hAnsi="仿宋" w:eastAsia="仿宋" w:cs="仿宋"/>
                <w:sz w:val="24"/>
                <w:lang w:val="en-US" w:eastAsia="zh-CN"/>
              </w:rPr>
              <w:t>2.行政相对人领取证件</w:t>
            </w:r>
          </w:p>
        </w:tc>
        <w:tc>
          <w:tcPr>
            <w:tcW w:w="1013" w:type="dxa"/>
            <w:gridSpan w:val="2"/>
            <w:noWrap w:val="0"/>
            <w:vAlign w:val="center"/>
          </w:tcPr>
          <w:p w14:paraId="2885EFD0">
            <w:pP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王秀枝</w:t>
            </w:r>
          </w:p>
        </w:tc>
        <w:tc>
          <w:tcPr>
            <w:tcW w:w="991" w:type="dxa"/>
            <w:noWrap w:val="0"/>
            <w:vAlign w:val="center"/>
          </w:tcPr>
          <w:p w14:paraId="0C0438D6">
            <w:pPr>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r>
      <w:tr w14:paraId="55489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844" w:type="dxa"/>
            <w:gridSpan w:val="4"/>
            <w:noWrap w:val="0"/>
            <w:vAlign w:val="center"/>
          </w:tcPr>
          <w:p w14:paraId="4C1FFE15">
            <w:pPr>
              <w:jc w:val="center"/>
              <w:rPr>
                <w:rFonts w:hint="eastAsia" w:ascii="黑体" w:hAnsi="黑体" w:eastAsia="黑体" w:cs="黑体"/>
                <w:sz w:val="24"/>
              </w:rPr>
            </w:pPr>
            <w:r>
              <w:rPr>
                <w:rFonts w:hint="eastAsia" w:ascii="黑体" w:hAnsi="黑体" w:eastAsia="黑体" w:cs="黑体"/>
                <w:sz w:val="24"/>
              </w:rPr>
              <w:t>办理时限</w:t>
            </w:r>
          </w:p>
        </w:tc>
        <w:tc>
          <w:tcPr>
            <w:tcW w:w="5678" w:type="dxa"/>
            <w:gridSpan w:val="9"/>
            <w:noWrap w:val="0"/>
            <w:vAlign w:val="center"/>
          </w:tcPr>
          <w:p w14:paraId="390D5D8E">
            <w:pPr>
              <w:jc w:val="center"/>
              <w:rPr>
                <w:rFonts w:ascii="黑体" w:hAnsi="黑体" w:eastAsia="黑体" w:cs="黑体"/>
                <w:sz w:val="24"/>
              </w:rPr>
            </w:pPr>
            <w:r>
              <w:rPr>
                <w:rFonts w:hint="eastAsia" w:ascii="仿宋" w:hAnsi="仿宋" w:eastAsia="仿宋" w:cs="仿宋"/>
                <w:sz w:val="24"/>
              </w:rPr>
              <w:t>受理之日起</w:t>
            </w:r>
            <w:r>
              <w:rPr>
                <w:rFonts w:hint="eastAsia" w:ascii="仿宋" w:hAnsi="仿宋" w:eastAsia="仿宋" w:cs="仿宋"/>
                <w:sz w:val="24"/>
                <w:lang w:val="en-US" w:eastAsia="zh-CN"/>
              </w:rPr>
              <w:t>10</w:t>
            </w:r>
            <w:r>
              <w:rPr>
                <w:rFonts w:hint="eastAsia" w:ascii="仿宋" w:hAnsi="仿宋" w:eastAsia="仿宋" w:cs="仿宋"/>
                <w:sz w:val="24"/>
              </w:rPr>
              <w:t>个工作日内办结（不可抗的因素影响办结时限除外）</w:t>
            </w:r>
          </w:p>
        </w:tc>
      </w:tr>
      <w:tr w14:paraId="37D34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844" w:type="dxa"/>
            <w:gridSpan w:val="4"/>
            <w:noWrap w:val="0"/>
            <w:vAlign w:val="center"/>
          </w:tcPr>
          <w:p w14:paraId="05111406">
            <w:pPr>
              <w:jc w:val="center"/>
              <w:rPr>
                <w:rFonts w:hint="eastAsia" w:ascii="黑体" w:hAnsi="黑体" w:eastAsia="黑体" w:cs="黑体"/>
                <w:sz w:val="24"/>
              </w:rPr>
            </w:pPr>
            <w:r>
              <w:rPr>
                <w:rFonts w:hint="eastAsia" w:ascii="黑体" w:hAnsi="黑体" w:eastAsia="黑体" w:cs="黑体"/>
                <w:sz w:val="24"/>
              </w:rPr>
              <w:t>受理地点</w:t>
            </w:r>
          </w:p>
        </w:tc>
        <w:tc>
          <w:tcPr>
            <w:tcW w:w="5678" w:type="dxa"/>
            <w:gridSpan w:val="9"/>
            <w:noWrap w:val="0"/>
            <w:vAlign w:val="center"/>
          </w:tcPr>
          <w:p w14:paraId="57C68C8E">
            <w:pPr>
              <w:jc w:val="center"/>
              <w:rPr>
                <w:rFonts w:hint="eastAsia" w:ascii="黑体" w:hAnsi="黑体" w:eastAsia="黑体" w:cs="黑体"/>
                <w:sz w:val="24"/>
              </w:rPr>
            </w:pPr>
            <w:r>
              <w:rPr>
                <w:rFonts w:hint="eastAsia" w:ascii="仿宋" w:hAnsi="仿宋" w:eastAsia="仿宋" w:cs="仿宋"/>
                <w:sz w:val="24"/>
              </w:rPr>
              <w:t>盂县站前街行政审批服务局三层土地矿产窗口</w:t>
            </w:r>
          </w:p>
        </w:tc>
      </w:tr>
      <w:tr w14:paraId="18CE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844" w:type="dxa"/>
            <w:gridSpan w:val="4"/>
            <w:noWrap w:val="0"/>
            <w:vAlign w:val="center"/>
          </w:tcPr>
          <w:p w14:paraId="016FBA81">
            <w:pPr>
              <w:jc w:val="center"/>
              <w:rPr>
                <w:rFonts w:hint="eastAsia" w:ascii="黑体" w:hAnsi="黑体" w:eastAsia="黑体" w:cs="黑体"/>
                <w:sz w:val="24"/>
              </w:rPr>
            </w:pPr>
            <w:r>
              <w:rPr>
                <w:rFonts w:hint="eastAsia" w:ascii="黑体" w:hAnsi="黑体" w:eastAsia="黑体" w:cs="黑体"/>
                <w:sz w:val="24"/>
              </w:rPr>
              <w:t>受理时间</w:t>
            </w:r>
          </w:p>
        </w:tc>
        <w:tc>
          <w:tcPr>
            <w:tcW w:w="5678" w:type="dxa"/>
            <w:gridSpan w:val="9"/>
            <w:noWrap w:val="0"/>
            <w:vAlign w:val="center"/>
          </w:tcPr>
          <w:p w14:paraId="2D635926">
            <w:pPr>
              <w:jc w:val="center"/>
              <w:rPr>
                <w:rFonts w:hint="eastAsia" w:ascii="仿宋" w:hAnsi="仿宋" w:eastAsia="仿宋" w:cs="仿宋"/>
                <w:sz w:val="24"/>
              </w:rPr>
            </w:pPr>
            <w:r>
              <w:rPr>
                <w:rFonts w:hint="eastAsia" w:ascii="仿宋" w:hAnsi="仿宋" w:eastAsia="仿宋" w:cs="仿宋"/>
                <w:sz w:val="24"/>
              </w:rPr>
              <w:t>工作日：上午09:00-12:00</w:t>
            </w:r>
          </w:p>
          <w:p w14:paraId="630246F7">
            <w:pPr>
              <w:jc w:val="center"/>
              <w:rPr>
                <w:rFonts w:ascii="仿宋" w:hAnsi="仿宋" w:eastAsia="仿宋" w:cs="仿宋"/>
                <w:sz w:val="24"/>
              </w:rPr>
            </w:pPr>
            <w:r>
              <w:rPr>
                <w:rFonts w:hint="eastAsia" w:ascii="仿宋" w:hAnsi="仿宋" w:eastAsia="仿宋" w:cs="仿宋"/>
                <w:sz w:val="24"/>
              </w:rPr>
              <w:t xml:space="preserve">        下午13:00-17:00</w:t>
            </w:r>
          </w:p>
        </w:tc>
      </w:tr>
      <w:tr w14:paraId="1EE3D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469" w:type="dxa"/>
            <w:gridSpan w:val="2"/>
            <w:noWrap w:val="0"/>
            <w:vAlign w:val="center"/>
          </w:tcPr>
          <w:p w14:paraId="34E09DC1">
            <w:pPr>
              <w:jc w:val="center"/>
              <w:rPr>
                <w:rFonts w:hint="eastAsia" w:ascii="黑体" w:hAnsi="黑体" w:eastAsia="黑体" w:cs="黑体"/>
                <w:sz w:val="24"/>
              </w:rPr>
            </w:pPr>
            <w:r>
              <w:rPr>
                <w:rFonts w:hint="eastAsia" w:ascii="黑体" w:hAnsi="黑体" w:eastAsia="黑体" w:cs="黑体"/>
                <w:sz w:val="24"/>
              </w:rPr>
              <w:t>收费依据及标准</w:t>
            </w:r>
          </w:p>
        </w:tc>
        <w:tc>
          <w:tcPr>
            <w:tcW w:w="7053" w:type="dxa"/>
            <w:gridSpan w:val="11"/>
            <w:noWrap w:val="0"/>
            <w:vAlign w:val="center"/>
          </w:tcPr>
          <w:p w14:paraId="3FB877EB">
            <w:pPr>
              <w:jc w:val="center"/>
              <w:rPr>
                <w:rFonts w:hint="eastAsia" w:ascii="黑体" w:hAnsi="黑体" w:eastAsia="黑体" w:cs="黑体"/>
                <w:sz w:val="24"/>
              </w:rPr>
            </w:pPr>
            <w:r>
              <w:rPr>
                <w:rFonts w:hint="eastAsia" w:ascii="仿宋" w:hAnsi="仿宋" w:eastAsia="仿宋" w:cs="仿宋"/>
                <w:sz w:val="24"/>
              </w:rPr>
              <w:t>不收费</w:t>
            </w:r>
          </w:p>
        </w:tc>
      </w:tr>
      <w:tr w14:paraId="4C886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9" w:hRule="atLeast"/>
        </w:trPr>
        <w:tc>
          <w:tcPr>
            <w:tcW w:w="1469" w:type="dxa"/>
            <w:gridSpan w:val="2"/>
            <w:noWrap w:val="0"/>
            <w:vAlign w:val="center"/>
          </w:tcPr>
          <w:p w14:paraId="64493479">
            <w:pPr>
              <w:jc w:val="center"/>
              <w:rPr>
                <w:rFonts w:hint="eastAsia" w:ascii="黑体" w:hAnsi="黑体" w:eastAsia="黑体" w:cs="黑体"/>
                <w:sz w:val="24"/>
              </w:rPr>
            </w:pPr>
            <w:r>
              <w:rPr>
                <w:rFonts w:hint="eastAsia" w:ascii="黑体" w:hAnsi="黑体" w:eastAsia="黑体" w:cs="黑体"/>
                <w:sz w:val="24"/>
              </w:rPr>
              <w:t>受理电话</w:t>
            </w:r>
          </w:p>
        </w:tc>
        <w:tc>
          <w:tcPr>
            <w:tcW w:w="1234" w:type="dxa"/>
            <w:noWrap w:val="0"/>
            <w:vAlign w:val="center"/>
          </w:tcPr>
          <w:p w14:paraId="6BA88142">
            <w:pPr>
              <w:jc w:val="center"/>
              <w:rPr>
                <w:rFonts w:hint="eastAsia" w:ascii="黑体" w:hAnsi="黑体" w:eastAsia="黑体" w:cs="黑体"/>
                <w:sz w:val="24"/>
              </w:rPr>
            </w:pPr>
            <w:r>
              <w:rPr>
                <w:rFonts w:hint="eastAsia" w:ascii="黑体" w:hAnsi="黑体" w:eastAsia="黑体" w:cs="黑体"/>
                <w:sz w:val="24"/>
              </w:rPr>
              <w:t>0353-</w:t>
            </w:r>
          </w:p>
          <w:p w14:paraId="7D0A7B1E">
            <w:pPr>
              <w:jc w:val="center"/>
              <w:rPr>
                <w:rFonts w:hint="default" w:ascii="黑体" w:hAnsi="黑体" w:eastAsia="黑体" w:cs="黑体"/>
                <w:sz w:val="24"/>
                <w:lang w:val="en-US" w:eastAsia="zh-CN"/>
              </w:rPr>
            </w:pPr>
            <w:r>
              <w:rPr>
                <w:rFonts w:hint="eastAsia" w:ascii="黑体" w:hAnsi="黑体" w:eastAsia="黑体" w:cs="黑体"/>
                <w:sz w:val="24"/>
                <w:lang w:val="en-US" w:eastAsia="zh-CN"/>
              </w:rPr>
              <w:t>8083626</w:t>
            </w:r>
          </w:p>
        </w:tc>
        <w:tc>
          <w:tcPr>
            <w:tcW w:w="1194" w:type="dxa"/>
            <w:gridSpan w:val="3"/>
            <w:noWrap w:val="0"/>
            <w:vAlign w:val="center"/>
          </w:tcPr>
          <w:p w14:paraId="0EC22C21">
            <w:pPr>
              <w:jc w:val="center"/>
              <w:rPr>
                <w:rFonts w:hint="eastAsia" w:ascii="黑体" w:hAnsi="黑体" w:eastAsia="黑体" w:cs="黑体"/>
                <w:sz w:val="24"/>
              </w:rPr>
            </w:pPr>
            <w:r>
              <w:rPr>
                <w:rFonts w:hint="eastAsia" w:ascii="黑体" w:hAnsi="黑体" w:eastAsia="黑体" w:cs="黑体"/>
                <w:sz w:val="24"/>
              </w:rPr>
              <w:t>受理网址</w:t>
            </w:r>
          </w:p>
        </w:tc>
        <w:tc>
          <w:tcPr>
            <w:tcW w:w="2086" w:type="dxa"/>
            <w:gridSpan w:val="2"/>
            <w:noWrap w:val="0"/>
            <w:vAlign w:val="center"/>
          </w:tcPr>
          <w:p w14:paraId="2F5A4934">
            <w:pPr>
              <w:jc w:val="center"/>
              <w:rPr>
                <w:rFonts w:hint="eastAsia" w:ascii="黑体" w:hAnsi="黑体" w:eastAsia="黑体" w:cs="黑体"/>
                <w:sz w:val="24"/>
              </w:rPr>
            </w:pPr>
          </w:p>
        </w:tc>
        <w:tc>
          <w:tcPr>
            <w:tcW w:w="1400" w:type="dxa"/>
            <w:gridSpan w:val="3"/>
            <w:noWrap w:val="0"/>
            <w:vAlign w:val="center"/>
          </w:tcPr>
          <w:p w14:paraId="28A7EE3A">
            <w:pPr>
              <w:jc w:val="center"/>
              <w:rPr>
                <w:rFonts w:hint="eastAsia" w:ascii="黑体" w:hAnsi="黑体" w:eastAsia="黑体" w:cs="黑体"/>
                <w:sz w:val="24"/>
              </w:rPr>
            </w:pPr>
            <w:r>
              <w:rPr>
                <w:rFonts w:hint="eastAsia" w:ascii="黑体" w:hAnsi="黑体" w:eastAsia="黑体" w:cs="黑体"/>
                <w:sz w:val="24"/>
              </w:rPr>
              <w:t>监督电话</w:t>
            </w:r>
          </w:p>
        </w:tc>
        <w:tc>
          <w:tcPr>
            <w:tcW w:w="1139" w:type="dxa"/>
            <w:gridSpan w:val="2"/>
            <w:noWrap w:val="0"/>
            <w:vAlign w:val="center"/>
          </w:tcPr>
          <w:p w14:paraId="141BDF09">
            <w:pPr>
              <w:jc w:val="center"/>
              <w:rPr>
                <w:rFonts w:hint="default" w:ascii="黑体" w:hAnsi="黑体" w:eastAsia="黑体" w:cs="黑体"/>
                <w:sz w:val="24"/>
                <w:lang w:val="en-US" w:eastAsia="zh-CN"/>
              </w:rPr>
            </w:pPr>
            <w:r>
              <w:rPr>
                <w:rFonts w:hint="eastAsia" w:ascii="黑体" w:hAnsi="黑体" w:eastAsia="黑体" w:cs="黑体"/>
                <w:sz w:val="24"/>
                <w:lang w:val="en-US" w:eastAsia="zh-CN"/>
              </w:rPr>
              <w:t>8083626</w:t>
            </w:r>
          </w:p>
        </w:tc>
      </w:tr>
    </w:tbl>
    <w:p w14:paraId="74AF4B6F">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流程图可根据单位实际情况制作</w:t>
      </w:r>
    </w:p>
    <w:p w14:paraId="371458CD">
      <w:pPr>
        <w:jc w:val="center"/>
      </w:pPr>
      <w:r>
        <mc:AlternateContent>
          <mc:Choice Requires="wps">
            <w:drawing>
              <wp:anchor distT="0" distB="0" distL="114300" distR="114300" simplePos="0" relativeHeight="251662336" behindDoc="0" locked="0" layoutInCell="1" allowOverlap="1">
                <wp:simplePos x="0" y="0"/>
                <wp:positionH relativeFrom="column">
                  <wp:posOffset>1520190</wp:posOffset>
                </wp:positionH>
                <wp:positionV relativeFrom="paragraph">
                  <wp:posOffset>3146425</wp:posOffset>
                </wp:positionV>
                <wp:extent cx="2150745" cy="988695"/>
                <wp:effectExtent l="4445" t="5080" r="16510" b="15875"/>
                <wp:wrapNone/>
                <wp:docPr id="6" name="文本框 6"/>
                <wp:cNvGraphicFramePr/>
                <a:graphic xmlns:a="http://schemas.openxmlformats.org/drawingml/2006/main">
                  <a:graphicData uri="http://schemas.microsoft.com/office/word/2010/wordprocessingShape">
                    <wps:wsp>
                      <wps:cNvSpPr txBox="1"/>
                      <wps:spPr>
                        <a:xfrm>
                          <a:off x="0" y="0"/>
                          <a:ext cx="2150745" cy="9886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D106095">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审　批</w:t>
                            </w:r>
                          </w:p>
                          <w:p w14:paraId="79EF5524">
                            <w:pPr>
                              <w:spacing w:line="0" w:lineRule="atLeast"/>
                              <w:jc w:val="both"/>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责任人：</w:t>
                            </w:r>
                            <w:r>
                              <w:rPr>
                                <w:rFonts w:hint="eastAsia" w:ascii="仿宋_GB2312" w:hAnsi="仿宋_GB2312" w:eastAsia="仿宋_GB2312" w:cs="仿宋_GB2312"/>
                                <w:sz w:val="30"/>
                                <w:szCs w:val="30"/>
                                <w:lang w:val="en-US" w:eastAsia="zh-CN"/>
                              </w:rPr>
                              <w:t>张丙福 李维清</w:t>
                            </w:r>
                          </w:p>
                          <w:p w14:paraId="562C209E">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时限：</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个工作日</w:t>
                            </w:r>
                          </w:p>
                          <w:p w14:paraId="4D802F80">
                            <w:pPr>
                              <w:spacing w:line="0" w:lineRule="atLeast"/>
                              <w:jc w:val="center"/>
                              <w:rPr>
                                <w:rFonts w:hint="eastAsia" w:ascii="仿宋_GB2312" w:hAnsi="仿宋_GB2312" w:eastAsia="仿宋_GB2312" w:cs="仿宋_GB2312"/>
                                <w:sz w:val="30"/>
                                <w:szCs w:val="30"/>
                              </w:rPr>
                            </w:pPr>
                          </w:p>
                        </w:txbxContent>
                      </wps:txbx>
                      <wps:bodyPr upright="1"/>
                    </wps:wsp>
                  </a:graphicData>
                </a:graphic>
              </wp:anchor>
            </w:drawing>
          </mc:Choice>
          <mc:Fallback>
            <w:pict>
              <v:shape id="_x0000_s1026" o:spid="_x0000_s1026" o:spt="202" type="#_x0000_t202" style="position:absolute;left:0pt;margin-left:119.7pt;margin-top:247.75pt;height:77.85pt;width:169.35pt;z-index:251662336;mso-width-relative:page;mso-height-relative:page;" fillcolor="#FFFFFF" filled="t" stroked="t" coordsize="21600,21600" o:gfxdata="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l59ITNsAAAALAQAADwAAAAAAAAABACAA&#10;AAAiAAAAZHJzL2Rvd25yZXYueG1sUEsBAhQAFAAAAAgAh07iQL9sul0KAgAANgQAAA4AAAAAAAAA&#10;AQAgAAAAKgEAAGRycy9lMm9Eb2MueG1sUEsFBgAAAAAGAAYAWQEAAKYFAAAAAA==&#10;">
                <v:fill on="t" focussize="0,0"/>
                <v:stroke color="#000000" joinstyle="miter"/>
                <v:imagedata o:title=""/>
                <o:lock v:ext="edit" aspectratio="f"/>
                <v:textbox>
                  <w:txbxContent>
                    <w:p w14:paraId="6D106095">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审　批</w:t>
                      </w:r>
                    </w:p>
                    <w:p w14:paraId="79EF5524">
                      <w:pPr>
                        <w:spacing w:line="0" w:lineRule="atLeast"/>
                        <w:jc w:val="both"/>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责任人：</w:t>
                      </w:r>
                      <w:r>
                        <w:rPr>
                          <w:rFonts w:hint="eastAsia" w:ascii="仿宋_GB2312" w:hAnsi="仿宋_GB2312" w:eastAsia="仿宋_GB2312" w:cs="仿宋_GB2312"/>
                          <w:sz w:val="30"/>
                          <w:szCs w:val="30"/>
                          <w:lang w:val="en-US" w:eastAsia="zh-CN"/>
                        </w:rPr>
                        <w:t>张丙福 李维清</w:t>
                      </w:r>
                    </w:p>
                    <w:p w14:paraId="562C209E">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时限：</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个工作日</w:t>
                      </w:r>
                    </w:p>
                    <w:p w14:paraId="4D802F80">
                      <w:pPr>
                        <w:spacing w:line="0" w:lineRule="atLeast"/>
                        <w:jc w:val="center"/>
                        <w:rPr>
                          <w:rFonts w:hint="eastAsia" w:ascii="仿宋_GB2312" w:hAnsi="仿宋_GB2312" w:eastAsia="仿宋_GB2312" w:cs="仿宋_GB2312"/>
                          <w:sz w:val="30"/>
                          <w:szCs w:val="30"/>
                        </w:rPr>
                      </w:pP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1876425</wp:posOffset>
                </wp:positionH>
                <wp:positionV relativeFrom="paragraph">
                  <wp:posOffset>4699000</wp:posOffset>
                </wp:positionV>
                <wp:extent cx="1614805" cy="868680"/>
                <wp:effectExtent l="4445" t="4445" r="19050" b="22225"/>
                <wp:wrapNone/>
                <wp:docPr id="2" name="文本框 2"/>
                <wp:cNvGraphicFramePr/>
                <a:graphic xmlns:a="http://schemas.openxmlformats.org/drawingml/2006/main">
                  <a:graphicData uri="http://schemas.microsoft.com/office/word/2010/wordprocessingShape">
                    <wps:wsp>
                      <wps:cNvSpPr txBox="1"/>
                      <wps:spPr>
                        <a:xfrm>
                          <a:off x="0" y="0"/>
                          <a:ext cx="1614805" cy="8686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E6D4948">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办　结</w:t>
                            </w:r>
                          </w:p>
                          <w:p w14:paraId="1A4461E0">
                            <w:pPr>
                              <w:spacing w:line="0" w:lineRule="atLeast"/>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责任人：</w:t>
                            </w:r>
                            <w:r>
                              <w:rPr>
                                <w:rFonts w:hint="eastAsia" w:ascii="仿宋_GB2312" w:hAnsi="仿宋_GB2312" w:eastAsia="仿宋_GB2312" w:cs="仿宋_GB2312"/>
                                <w:sz w:val="30"/>
                                <w:szCs w:val="30"/>
                                <w:lang w:val="en-US" w:eastAsia="zh-CN"/>
                              </w:rPr>
                              <w:t>王秀枝</w:t>
                            </w:r>
                          </w:p>
                          <w:p w14:paraId="3FFE0B5A">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时限：</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个工作日</w:t>
                            </w:r>
                          </w:p>
                          <w:p w14:paraId="7EE5687E">
                            <w:pPr>
                              <w:spacing w:line="0" w:lineRule="atLeast"/>
                              <w:jc w:val="center"/>
                              <w:rPr>
                                <w:rFonts w:hint="eastAsia" w:ascii="仿宋_GB2312" w:hAnsi="仿宋_GB2312" w:eastAsia="仿宋_GB2312" w:cs="仿宋_GB2312"/>
                                <w:sz w:val="30"/>
                                <w:szCs w:val="30"/>
                              </w:rPr>
                            </w:pPr>
                          </w:p>
                        </w:txbxContent>
                      </wps:txbx>
                      <wps:bodyPr upright="1"/>
                    </wps:wsp>
                  </a:graphicData>
                </a:graphic>
              </wp:anchor>
            </w:drawing>
          </mc:Choice>
          <mc:Fallback>
            <w:pict>
              <v:shape id="_x0000_s1026" o:spid="_x0000_s1026" o:spt="202" type="#_x0000_t202" style="position:absolute;left:0pt;margin-left:147.75pt;margin-top:370pt;height:68.4pt;width:127.15pt;z-index:251664384;mso-width-relative:page;mso-height-relative:page;" fillcolor="#FFFFFF" filled="t" stroked="t" coordsize="21600,21600" o:gfxdata="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3bRjB2QAAAAsBAAAPAAAAAAAAAAEAIAAA&#10;ACIAAABkcnMvZG93bnJldi54bWxQSwECFAAUAAAACACHTuJAKMxVXAsCAAA2BAAADgAAAAAAAAAB&#10;ACAAAAAoAQAAZHJzL2Uyb0RvYy54bWxQSwUGAAAAAAYABgBZAQAApQUAAAAA&#10;">
                <v:fill on="t" focussize="0,0"/>
                <v:stroke color="#000000" joinstyle="miter"/>
                <v:imagedata o:title=""/>
                <o:lock v:ext="edit" aspectratio="f"/>
                <v:textbox>
                  <w:txbxContent>
                    <w:p w14:paraId="4E6D4948">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办　结</w:t>
                      </w:r>
                    </w:p>
                    <w:p w14:paraId="1A4461E0">
                      <w:pPr>
                        <w:spacing w:line="0" w:lineRule="atLeast"/>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责任人：</w:t>
                      </w:r>
                      <w:r>
                        <w:rPr>
                          <w:rFonts w:hint="eastAsia" w:ascii="仿宋_GB2312" w:hAnsi="仿宋_GB2312" w:eastAsia="仿宋_GB2312" w:cs="仿宋_GB2312"/>
                          <w:sz w:val="30"/>
                          <w:szCs w:val="30"/>
                          <w:lang w:val="en-US" w:eastAsia="zh-CN"/>
                        </w:rPr>
                        <w:t>王秀枝</w:t>
                      </w:r>
                    </w:p>
                    <w:p w14:paraId="3FFE0B5A">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时限：</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个工作日</w:t>
                      </w:r>
                    </w:p>
                    <w:p w14:paraId="7EE5687E">
                      <w:pPr>
                        <w:spacing w:line="0" w:lineRule="atLeast"/>
                        <w:jc w:val="center"/>
                        <w:rPr>
                          <w:rFonts w:hint="eastAsia" w:ascii="仿宋_GB2312" w:hAnsi="仿宋_GB2312" w:eastAsia="仿宋_GB2312" w:cs="仿宋_GB2312"/>
                          <w:sz w:val="30"/>
                          <w:szCs w:val="30"/>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2602865</wp:posOffset>
                </wp:positionH>
                <wp:positionV relativeFrom="paragraph">
                  <wp:posOffset>4190365</wp:posOffset>
                </wp:positionV>
                <wp:extent cx="635" cy="514350"/>
                <wp:effectExtent l="37465" t="0" r="38100" b="0"/>
                <wp:wrapNone/>
                <wp:docPr id="7" name="直接连接符 7"/>
                <wp:cNvGraphicFramePr/>
                <a:graphic xmlns:a="http://schemas.openxmlformats.org/drawingml/2006/main">
                  <a:graphicData uri="http://schemas.microsoft.com/office/word/2010/wordprocessingShape">
                    <wps:wsp>
                      <wps:cNvCnPr/>
                      <wps:spPr>
                        <a:xfrm>
                          <a:off x="0" y="0"/>
                          <a:ext cx="635" cy="5143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4.95pt;margin-top:329.95pt;height:40.5pt;width:0.05pt;z-index:251665408;mso-width-relative:page;mso-height-relative:page;" filled="f" stroked="t" coordsize="21600,21600" o:gfxdata="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KMF1G9oAAAALAQAADwAAAAAAAAABACAAAAAiAAAAZHJzL2Rv&#10;d25yZXYueG1sUEsBAhQAFAAAAAgAh07iQAGCpLv/AQAA6QMAAA4AAAAAAAAAAQAgAAAAKQEAAGRy&#10;cy9lMm9Eb2MueG1sUEsFBgAAAAAGAAYAWQEAAJoFA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2608580</wp:posOffset>
                </wp:positionH>
                <wp:positionV relativeFrom="paragraph">
                  <wp:posOffset>2713990</wp:posOffset>
                </wp:positionV>
                <wp:extent cx="635" cy="514350"/>
                <wp:effectExtent l="37465" t="0" r="38100" b="0"/>
                <wp:wrapNone/>
                <wp:docPr id="1" name="直接连接符 1"/>
                <wp:cNvGraphicFramePr/>
                <a:graphic xmlns:a="http://schemas.openxmlformats.org/drawingml/2006/main">
                  <a:graphicData uri="http://schemas.microsoft.com/office/word/2010/wordprocessingShape">
                    <wps:wsp>
                      <wps:cNvCnPr/>
                      <wps:spPr>
                        <a:xfrm>
                          <a:off x="0" y="0"/>
                          <a:ext cx="635" cy="5143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5.4pt;margin-top:213.7pt;height:40.5pt;width:0.05pt;z-index:251663360;mso-width-relative:page;mso-height-relative:page;" filled="f" stroked="t" coordsize="21600,21600" o:gfxdata="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8dJ/+2wAAAAsBAAAPAAAAAAAAAAEAIAAAACIAAABkcnMvZG93&#10;bnJldi54bWxQSwECFAAUAAAACACHTuJA1RJbX/0BAADpAwAADgAAAAAAAAABACAAAAAqAQAAZHJz&#10;L2Uyb0RvYy54bWxQSwUGAAAAAAYABgBZAQAAmQU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1520825</wp:posOffset>
                </wp:positionH>
                <wp:positionV relativeFrom="paragraph">
                  <wp:posOffset>1804670</wp:posOffset>
                </wp:positionV>
                <wp:extent cx="2143125" cy="865505"/>
                <wp:effectExtent l="4445" t="4445" r="5080" b="6350"/>
                <wp:wrapNone/>
                <wp:docPr id="4" name="文本框 4"/>
                <wp:cNvGraphicFramePr/>
                <a:graphic xmlns:a="http://schemas.openxmlformats.org/drawingml/2006/main">
                  <a:graphicData uri="http://schemas.microsoft.com/office/word/2010/wordprocessingShape">
                    <wps:wsp>
                      <wps:cNvSpPr txBox="1"/>
                      <wps:spPr>
                        <a:xfrm>
                          <a:off x="0" y="0"/>
                          <a:ext cx="2143125" cy="8655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E0C3ED2">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审</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核</w:t>
                            </w:r>
                          </w:p>
                          <w:p w14:paraId="7FEF9C59">
                            <w:pPr>
                              <w:spacing w:line="0" w:lineRule="atLeast"/>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责任人：</w:t>
                            </w:r>
                            <w:r>
                              <w:rPr>
                                <w:rFonts w:hint="eastAsia" w:ascii="仿宋_GB2312" w:hAnsi="仿宋_GB2312" w:eastAsia="仿宋_GB2312" w:cs="仿宋_GB2312"/>
                                <w:sz w:val="30"/>
                                <w:szCs w:val="30"/>
                                <w:lang w:val="en-US" w:eastAsia="zh-CN"/>
                              </w:rPr>
                              <w:t>付建新</w:t>
                            </w:r>
                          </w:p>
                          <w:p w14:paraId="73C55457">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时限</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个工作日</w:t>
                            </w:r>
                          </w:p>
                          <w:p w14:paraId="09E60A76">
                            <w:pPr>
                              <w:spacing w:line="0" w:lineRule="atLeast"/>
                              <w:jc w:val="center"/>
                              <w:rPr>
                                <w:rFonts w:hint="eastAsia" w:ascii="仿宋_GB2312" w:hAnsi="仿宋_GB2312" w:eastAsia="仿宋_GB2312" w:cs="仿宋_GB2312"/>
                                <w:sz w:val="30"/>
                                <w:szCs w:val="30"/>
                              </w:rPr>
                            </w:pPr>
                          </w:p>
                        </w:txbxContent>
                      </wps:txbx>
                      <wps:bodyPr upright="1"/>
                    </wps:wsp>
                  </a:graphicData>
                </a:graphic>
              </wp:anchor>
            </w:drawing>
          </mc:Choice>
          <mc:Fallback>
            <w:pict>
              <v:shape id="_x0000_s1026" o:spid="_x0000_s1026" o:spt="202" type="#_x0000_t202" style="position:absolute;left:0pt;margin-left:119.75pt;margin-top:142.1pt;height:68.15pt;width:168.75pt;z-index:251661312;mso-width-relative:page;mso-height-relative:page;" fillcolor="#FFFFFF" filled="t" stroked="t" coordsize="21600,21600" o:gfxdata="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VzQqpNsAAAALAQAADwAAAAAAAAABACAA&#10;AAAiAAAAZHJzL2Rvd25yZXYueG1sUEsBAhQAFAAAAAgAh07iQA0YWX8KAgAANgQAAA4AAAAAAAAA&#10;AQAgAAAAKgEAAGRycy9lMm9Eb2MueG1sUEsFBgAAAAAGAAYAWQEAAKYFAAAAAA==&#10;">
                <v:fill on="t" focussize="0,0"/>
                <v:stroke color="#000000" joinstyle="miter"/>
                <v:imagedata o:title=""/>
                <o:lock v:ext="edit" aspectratio="f"/>
                <v:textbox>
                  <w:txbxContent>
                    <w:p w14:paraId="4E0C3ED2">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审</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核</w:t>
                      </w:r>
                    </w:p>
                    <w:p w14:paraId="7FEF9C59">
                      <w:pPr>
                        <w:spacing w:line="0" w:lineRule="atLeast"/>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责任人：</w:t>
                      </w:r>
                      <w:r>
                        <w:rPr>
                          <w:rFonts w:hint="eastAsia" w:ascii="仿宋_GB2312" w:hAnsi="仿宋_GB2312" w:eastAsia="仿宋_GB2312" w:cs="仿宋_GB2312"/>
                          <w:sz w:val="30"/>
                          <w:szCs w:val="30"/>
                          <w:lang w:val="en-US" w:eastAsia="zh-CN"/>
                        </w:rPr>
                        <w:t>付建新</w:t>
                      </w:r>
                    </w:p>
                    <w:p w14:paraId="73C55457">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时限</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个工作日</w:t>
                      </w:r>
                    </w:p>
                    <w:p w14:paraId="09E60A76">
                      <w:pPr>
                        <w:spacing w:line="0" w:lineRule="atLeast"/>
                        <w:jc w:val="center"/>
                        <w:rPr>
                          <w:rFonts w:hint="eastAsia" w:ascii="仿宋_GB2312" w:hAnsi="仿宋_GB2312" w:eastAsia="仿宋_GB2312" w:cs="仿宋_GB2312"/>
                          <w:sz w:val="30"/>
                          <w:szCs w:val="30"/>
                        </w:rPr>
                      </w:pP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2623820</wp:posOffset>
                </wp:positionH>
                <wp:positionV relativeFrom="paragraph">
                  <wp:posOffset>1273810</wp:posOffset>
                </wp:positionV>
                <wp:extent cx="635" cy="514350"/>
                <wp:effectExtent l="37465" t="0" r="38100" b="0"/>
                <wp:wrapNone/>
                <wp:docPr id="8" name="直接连接符 8"/>
                <wp:cNvGraphicFramePr/>
                <a:graphic xmlns:a="http://schemas.openxmlformats.org/drawingml/2006/main">
                  <a:graphicData uri="http://schemas.microsoft.com/office/word/2010/wordprocessingShape">
                    <wps:wsp>
                      <wps:cNvCnPr/>
                      <wps:spPr>
                        <a:xfrm>
                          <a:off x="0" y="0"/>
                          <a:ext cx="635" cy="5143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6.6pt;margin-top:100.3pt;height:40.5pt;width:0.05pt;z-index:251666432;mso-width-relative:page;mso-height-relative:page;" filled="f" stroked="t" coordsize="21600,21600" o:gfxdata="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4hkkdgAAAALAQAADwAAAAAAAAABACAAAAAiAAAAZHJzL2Rvd25y&#10;ZXYueG1sUEsBAhQAFAAAAAgAh07iQIJtVdv+AQAA6QMAAA4AAAAAAAAAAQAgAAAAJwEAAGRycy9l&#10;Mm9Eb2MueG1sUEsFBgAAAAAGAAYAWQEAAJcFAAAAAA==&#10;">
                <v:fill on="f" focussize="0,0"/>
                <v:stroke color="#000000" joinstyle="round" endarrow="block"/>
                <v:imagedata o:title=""/>
                <o:lock v:ext="edit" aspectratio="f"/>
              </v:line>
            </w:pict>
          </mc:Fallback>
        </mc:AlternateContent>
      </w:r>
      <w:r>
        <w:rPr>
          <w:rFonts w:hint="eastAsia" w:ascii="黑体" w:hAnsi="黑体" w:eastAsia="黑体" w:cs="黑体"/>
          <w:sz w:val="36"/>
          <w:szCs w:val="36"/>
        </w:rPr>
        <w:t>（项目名</w:t>
      </w:r>
      <w:r>
        <mc:AlternateContent>
          <mc:Choice Requires="wps">
            <w:drawing>
              <wp:anchor distT="0" distB="0" distL="114300" distR="114300" simplePos="0" relativeHeight="251660288" behindDoc="0" locked="0" layoutInCell="1" allowOverlap="1">
                <wp:simplePos x="0" y="0"/>
                <wp:positionH relativeFrom="column">
                  <wp:posOffset>1814195</wp:posOffset>
                </wp:positionH>
                <wp:positionV relativeFrom="paragraph">
                  <wp:posOffset>382270</wp:posOffset>
                </wp:positionV>
                <wp:extent cx="1638935" cy="857250"/>
                <wp:effectExtent l="4445" t="4445" r="13970" b="14605"/>
                <wp:wrapNone/>
                <wp:docPr id="5" name="文本框 5"/>
                <wp:cNvGraphicFramePr/>
                <a:graphic xmlns:a="http://schemas.openxmlformats.org/drawingml/2006/main">
                  <a:graphicData uri="http://schemas.microsoft.com/office/word/2010/wordprocessingShape">
                    <wps:wsp>
                      <wps:cNvSpPr txBox="1"/>
                      <wps:spPr>
                        <a:xfrm>
                          <a:off x="0" y="0"/>
                          <a:ext cx="1638935" cy="8572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AF81AC1">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受 理</w:t>
                            </w:r>
                          </w:p>
                          <w:p w14:paraId="46D8023E">
                            <w:pPr>
                              <w:spacing w:line="0" w:lineRule="atLeast"/>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责任人：</w:t>
                            </w:r>
                            <w:r>
                              <w:rPr>
                                <w:rFonts w:hint="eastAsia" w:ascii="仿宋_GB2312" w:hAnsi="仿宋_GB2312" w:eastAsia="仿宋_GB2312" w:cs="仿宋_GB2312"/>
                                <w:sz w:val="30"/>
                                <w:szCs w:val="30"/>
                                <w:lang w:val="en-US" w:eastAsia="zh-CN"/>
                              </w:rPr>
                              <w:t>王秀枝</w:t>
                            </w:r>
                          </w:p>
                          <w:p w14:paraId="39B7630A">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时限：1个工作日</w:t>
                            </w:r>
                          </w:p>
                          <w:p w14:paraId="1875D1BF">
                            <w:pPr>
                              <w:jc w:val="center"/>
                              <w:rPr>
                                <w:rFonts w:hint="eastAsia" w:ascii="仿宋_GB2312" w:hAnsi="仿宋_GB2312" w:eastAsia="仿宋_GB2312" w:cs="仿宋_GB2312"/>
                                <w:sz w:val="30"/>
                                <w:szCs w:val="30"/>
                              </w:rPr>
                            </w:pPr>
                          </w:p>
                          <w:p w14:paraId="66A3A6B9">
                            <w:pPr>
                              <w:jc w:val="center"/>
                              <w:rPr>
                                <w:rFonts w:hint="eastAsia" w:ascii="仿宋_GB2312" w:hAnsi="仿宋_GB2312" w:eastAsia="仿宋_GB2312" w:cs="仿宋_GB2312"/>
                                <w:sz w:val="30"/>
                                <w:szCs w:val="30"/>
                              </w:rPr>
                            </w:pPr>
                          </w:p>
                          <w:p w14:paraId="2D6CDB7F">
                            <w:pPr>
                              <w:jc w:val="center"/>
                              <w:rPr>
                                <w:rFonts w:hint="eastAsia" w:ascii="仿宋_GB2312" w:hAnsi="仿宋_GB2312" w:eastAsia="仿宋_GB2312" w:cs="仿宋_GB2312"/>
                                <w:sz w:val="30"/>
                                <w:szCs w:val="30"/>
                              </w:rPr>
                            </w:pPr>
                          </w:p>
                        </w:txbxContent>
                      </wps:txbx>
                      <wps:bodyPr upright="1"/>
                    </wps:wsp>
                  </a:graphicData>
                </a:graphic>
              </wp:anchor>
            </w:drawing>
          </mc:Choice>
          <mc:Fallback>
            <w:pict>
              <v:shape id="_x0000_s1026" o:spid="_x0000_s1026" o:spt="202" type="#_x0000_t202" style="position:absolute;left:0pt;margin-left:142.85pt;margin-top:30.1pt;height:67.5pt;width:129.05pt;z-index:251660288;mso-width-relative:page;mso-height-relative:page;" fillcolor="#FFFFFF" filled="t" stroked="t" coordsize="21600,21600" o:gfxdata="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71dv7ZAAAACgEAAA8AAAAAAAAAAQAg&#10;AAAAIgAAAGRycy9kb3ducmV2LnhtbFBLAQIUABQAAAAIAIdO4kDbRVGPDQIAADYEAAAOAAAAAAAA&#10;AAEAIAAAACgBAABkcnMvZTJvRG9jLnhtbFBLBQYAAAAABgAGAFkBAACnBQAAAAA=&#10;">
                <v:fill on="t" focussize="0,0"/>
                <v:stroke color="#000000" joinstyle="miter"/>
                <v:imagedata o:title=""/>
                <o:lock v:ext="edit" aspectratio="f"/>
                <v:textbox>
                  <w:txbxContent>
                    <w:p w14:paraId="1AF81AC1">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受 理</w:t>
                      </w:r>
                    </w:p>
                    <w:p w14:paraId="46D8023E">
                      <w:pPr>
                        <w:spacing w:line="0" w:lineRule="atLeast"/>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责任人：</w:t>
                      </w:r>
                      <w:r>
                        <w:rPr>
                          <w:rFonts w:hint="eastAsia" w:ascii="仿宋_GB2312" w:hAnsi="仿宋_GB2312" w:eastAsia="仿宋_GB2312" w:cs="仿宋_GB2312"/>
                          <w:sz w:val="30"/>
                          <w:szCs w:val="30"/>
                          <w:lang w:val="en-US" w:eastAsia="zh-CN"/>
                        </w:rPr>
                        <w:t>王秀枝</w:t>
                      </w:r>
                    </w:p>
                    <w:p w14:paraId="39B7630A">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时限：1个工作日</w:t>
                      </w:r>
                    </w:p>
                    <w:p w14:paraId="1875D1BF">
                      <w:pPr>
                        <w:jc w:val="center"/>
                        <w:rPr>
                          <w:rFonts w:hint="eastAsia" w:ascii="仿宋_GB2312" w:hAnsi="仿宋_GB2312" w:eastAsia="仿宋_GB2312" w:cs="仿宋_GB2312"/>
                          <w:sz w:val="30"/>
                          <w:szCs w:val="30"/>
                        </w:rPr>
                      </w:pPr>
                    </w:p>
                    <w:p w14:paraId="66A3A6B9">
                      <w:pPr>
                        <w:jc w:val="center"/>
                        <w:rPr>
                          <w:rFonts w:hint="eastAsia" w:ascii="仿宋_GB2312" w:hAnsi="仿宋_GB2312" w:eastAsia="仿宋_GB2312" w:cs="仿宋_GB2312"/>
                          <w:sz w:val="30"/>
                          <w:szCs w:val="30"/>
                        </w:rPr>
                      </w:pPr>
                    </w:p>
                    <w:p w14:paraId="2D6CDB7F">
                      <w:pPr>
                        <w:jc w:val="center"/>
                        <w:rPr>
                          <w:rFonts w:hint="eastAsia" w:ascii="仿宋_GB2312" w:hAnsi="仿宋_GB2312" w:eastAsia="仿宋_GB2312" w:cs="仿宋_GB2312"/>
                          <w:sz w:val="30"/>
                          <w:szCs w:val="30"/>
                        </w:rPr>
                      </w:pPr>
                    </w:p>
                  </w:txbxContent>
                </v:textbox>
              </v:shape>
            </w:pict>
          </mc:Fallback>
        </mc:AlternateContent>
      </w:r>
    </w:p>
    <w:sectPr>
      <w:footerReference r:id="rId3"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B523C">
    <w:pPr>
      <w:pStyle w:val="2"/>
      <w:tabs>
        <w:tab w:val="clear" w:pos="4153"/>
      </w:tabs>
      <w:jc w:val="center"/>
      <w:rPr>
        <w:rFonts w:hint="eastAsia"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20DB28">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1F20DB28">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iNmJmYWZjZmEwYWM1YTAzYjdhYjAwZTJhZTQ0NTEifQ=="/>
  </w:docVars>
  <w:rsids>
    <w:rsidRoot w:val="10876ECE"/>
    <w:rsid w:val="01B12E58"/>
    <w:rsid w:val="02F55148"/>
    <w:rsid w:val="03EF5F8D"/>
    <w:rsid w:val="05AD1B88"/>
    <w:rsid w:val="07C1191B"/>
    <w:rsid w:val="09860C2E"/>
    <w:rsid w:val="0ADB2CF4"/>
    <w:rsid w:val="0CCF4ADA"/>
    <w:rsid w:val="10876ECE"/>
    <w:rsid w:val="118B30EF"/>
    <w:rsid w:val="12463148"/>
    <w:rsid w:val="14D26F15"/>
    <w:rsid w:val="164125A5"/>
    <w:rsid w:val="1E965458"/>
    <w:rsid w:val="1F5350F7"/>
    <w:rsid w:val="21837F15"/>
    <w:rsid w:val="23FC3FAF"/>
    <w:rsid w:val="292D2B9C"/>
    <w:rsid w:val="2AC50229"/>
    <w:rsid w:val="2AE6768D"/>
    <w:rsid w:val="2DF63BC1"/>
    <w:rsid w:val="2E04418C"/>
    <w:rsid w:val="312755D9"/>
    <w:rsid w:val="32821B23"/>
    <w:rsid w:val="3E634463"/>
    <w:rsid w:val="464A0752"/>
    <w:rsid w:val="46AD4AA6"/>
    <w:rsid w:val="4AD308B3"/>
    <w:rsid w:val="4C811AA2"/>
    <w:rsid w:val="509D0FED"/>
    <w:rsid w:val="5257222D"/>
    <w:rsid w:val="55F03FA8"/>
    <w:rsid w:val="58BC103B"/>
    <w:rsid w:val="597B2707"/>
    <w:rsid w:val="59C07787"/>
    <w:rsid w:val="5E6A153A"/>
    <w:rsid w:val="60007EC5"/>
    <w:rsid w:val="60702275"/>
    <w:rsid w:val="607E751E"/>
    <w:rsid w:val="61D94A0C"/>
    <w:rsid w:val="632454D0"/>
    <w:rsid w:val="637644DD"/>
    <w:rsid w:val="641F4B74"/>
    <w:rsid w:val="724E4FA2"/>
    <w:rsid w:val="746E5488"/>
    <w:rsid w:val="7AFB4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1740</Words>
  <Characters>1816</Characters>
  <Lines>0</Lines>
  <Paragraphs>0</Paragraphs>
  <TotalTime>9</TotalTime>
  <ScaleCrop>false</ScaleCrop>
  <LinksUpToDate>false</LinksUpToDate>
  <CharactersWithSpaces>1874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2025-01-03T03:49:00Z</dcterms:created>
  <dc:creator>lenovo</dc:creator>
  <cp:lastModifiedBy>Mo.</cp:lastModifiedBy>
  <cp:lastPrinted>2026-04-22T02:06:00Z</cp:lastPrinted>
  <dcterms:modified xsi:type="dcterms:W3CDTF">2026-04-23T09:47:02Z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14D98BFBF598474A83580D4452247FE1_11</vt:lpwstr>
  </property>
  <property fmtid="{D5CDD505-2E9C-101B-9397-08002B2CF9AE}" pid="4" name="KSOTemplateDocerSaveRecord">
    <vt:lpwstr>eyJoZGlkIjoiN2Y2N2E2YWZlOWIxMjhhNTI1N2IzNjFlMTNiNjQwNjgiLCJ1c2VySWQiOiIxMjM5ODY4MjI5In0=</vt:lpwstr>
  </property>
</Properties>
</file>