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D1E9F">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7807765D">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11388EBB">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5F77C0B0">
      <w:pPr>
        <w:keepNext w:val="0"/>
        <w:keepLines w:val="0"/>
        <w:pageBreakBefore w:val="0"/>
        <w:widowControl w:val="0"/>
        <w:kinsoku/>
        <w:wordWrap/>
        <w:overflowPunct/>
        <w:topLinePunct w:val="0"/>
        <w:autoSpaceDE/>
        <w:autoSpaceDN/>
        <w:bidi w:val="0"/>
        <w:adjustRightInd/>
        <w:snapToGrid/>
        <w:spacing w:before="157" w:beforeLines="50" w:line="560" w:lineRule="exact"/>
        <w:ind w:firstLine="320" w:firstLineChars="100"/>
        <w:jc w:val="both"/>
        <w:textAlignment w:val="auto"/>
        <w:rPr>
          <w:rFonts w:hint="eastAsia" w:ascii="仿宋_GB2312" w:hAnsi="华文中宋" w:eastAsia="仿宋_GB2312"/>
          <w:bCs/>
          <w:sz w:val="32"/>
          <w:szCs w:val="44"/>
          <w:lang w:eastAsia="zh-CN"/>
        </w:rPr>
      </w:pPr>
    </w:p>
    <w:p w14:paraId="160DA1F2">
      <w:pPr>
        <w:keepNext w:val="0"/>
        <w:keepLines w:val="0"/>
        <w:pageBreakBefore w:val="0"/>
        <w:widowControl w:val="0"/>
        <w:kinsoku/>
        <w:wordWrap/>
        <w:overflowPunct/>
        <w:topLinePunct w:val="0"/>
        <w:autoSpaceDE/>
        <w:autoSpaceDN/>
        <w:bidi w:val="0"/>
        <w:adjustRightInd/>
        <w:snapToGrid/>
        <w:spacing w:before="157" w:beforeLines="50" w:line="500" w:lineRule="exact"/>
        <w:ind w:firstLine="320" w:firstLineChars="100"/>
        <w:jc w:val="both"/>
        <w:textAlignment w:val="auto"/>
        <w:rPr>
          <w:rFonts w:hint="eastAsia" w:ascii="仿宋_GB2312" w:hAnsi="华文中宋" w:eastAsia="仿宋_GB2312"/>
          <w:bCs/>
          <w:sz w:val="32"/>
          <w:szCs w:val="44"/>
          <w:lang w:eastAsia="zh-CN"/>
        </w:rPr>
      </w:pPr>
    </w:p>
    <w:p w14:paraId="708A9DB9">
      <w:pPr>
        <w:keepNext w:val="0"/>
        <w:keepLines w:val="0"/>
        <w:pageBreakBefore w:val="0"/>
        <w:widowControl w:val="0"/>
        <w:kinsoku/>
        <w:wordWrap/>
        <w:overflowPunct/>
        <w:topLinePunct w:val="0"/>
        <w:autoSpaceDE/>
        <w:autoSpaceDN/>
        <w:bidi w:val="0"/>
        <w:adjustRightInd/>
        <w:snapToGrid/>
        <w:spacing w:before="157" w:beforeLines="50" w:line="400" w:lineRule="exact"/>
        <w:ind w:firstLine="320" w:firstLineChars="100"/>
        <w:jc w:val="both"/>
        <w:textAlignment w:val="auto"/>
        <w:rPr>
          <w:rFonts w:hint="eastAsia" w:ascii="仿宋_GB2312" w:hAnsi="华文中宋" w:eastAsia="仿宋_GB2312"/>
          <w:bCs/>
          <w:sz w:val="32"/>
          <w:szCs w:val="44"/>
          <w:lang w:eastAsia="zh-CN"/>
        </w:rPr>
      </w:pPr>
    </w:p>
    <w:p w14:paraId="4DA2FF61">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方正小标宋简体" w:hAnsi="方正小标宋简体" w:eastAsia="仿宋_GB2312" w:cs="方正小标宋简体"/>
          <w:b/>
          <w:sz w:val="44"/>
          <w:szCs w:val="44"/>
          <w:lang w:val="en-US" w:eastAsia="zh-CN"/>
        </w:rPr>
      </w:pPr>
      <w:r>
        <w:rPr>
          <w:rFonts w:hint="eastAsia" w:ascii="仿宋_GB2312" w:hAnsi="华文中宋" w:eastAsia="仿宋_GB2312"/>
          <w:bCs/>
          <w:sz w:val="32"/>
          <w:szCs w:val="44"/>
          <w:lang w:eastAsia="zh-CN"/>
        </w:rPr>
        <w:t>盂</w:t>
      </w:r>
      <w:r>
        <w:rPr>
          <w:rFonts w:hint="eastAsia" w:ascii="仿宋_GB2312" w:hAnsi="华文中宋" w:eastAsia="仿宋_GB2312"/>
          <w:bCs/>
          <w:sz w:val="32"/>
          <w:szCs w:val="44"/>
        </w:rPr>
        <w:t>能源发</w:t>
      </w:r>
      <w:r>
        <w:rPr>
          <w:rFonts w:hint="eastAsia" w:ascii="仿宋_GB2312" w:hAnsi="仿宋_GB2312" w:eastAsia="仿宋_GB2312" w:cs="仿宋_GB2312"/>
          <w:sz w:val="32"/>
          <w:szCs w:val="32"/>
          <w:lang w:val="en-US" w:eastAsia="zh-CN"/>
        </w:rPr>
        <w:t>[</w:t>
      </w:r>
      <w:r>
        <w:rPr>
          <w:rFonts w:hint="eastAsia" w:ascii="仿宋_GB2312" w:hAnsi="华文中宋" w:eastAsia="仿宋_GB2312"/>
          <w:bCs/>
          <w:sz w:val="32"/>
          <w:szCs w:val="44"/>
        </w:rPr>
        <w:t>20</w:t>
      </w:r>
      <w:r>
        <w:rPr>
          <w:rFonts w:hint="eastAsia" w:ascii="仿宋_GB2312" w:hAnsi="华文中宋" w:eastAsia="仿宋_GB2312"/>
          <w:bCs/>
          <w:sz w:val="32"/>
          <w:szCs w:val="44"/>
          <w:lang w:val="en-US" w:eastAsia="zh-CN"/>
        </w:rPr>
        <w:t>24</w:t>
      </w:r>
      <w:r>
        <w:rPr>
          <w:rFonts w:hint="eastAsia" w:ascii="仿宋_GB2312" w:hAnsi="仿宋_GB2312" w:eastAsia="仿宋_GB2312" w:cs="仿宋_GB2312"/>
          <w:sz w:val="32"/>
          <w:szCs w:val="32"/>
          <w:lang w:val="en-US" w:eastAsia="zh-CN"/>
        </w:rPr>
        <w:t>]24</w:t>
      </w:r>
      <w:r>
        <w:rPr>
          <w:rFonts w:hint="eastAsia" w:ascii="仿宋_GB2312" w:hAnsi="华文中宋" w:eastAsia="仿宋_GB2312"/>
          <w:bCs/>
          <w:sz w:val="32"/>
          <w:szCs w:val="44"/>
        </w:rPr>
        <w:t>号</w:t>
      </w:r>
      <w:r>
        <w:rPr>
          <w:rFonts w:hint="eastAsia" w:ascii="仿宋_GB2312" w:hAnsi="华文中宋" w:eastAsia="仿宋_GB2312"/>
          <w:bCs/>
          <w:sz w:val="32"/>
          <w:szCs w:val="44"/>
          <w:lang w:val="en-US" w:eastAsia="zh-CN"/>
        </w:rPr>
        <w:t xml:space="preserve">               </w:t>
      </w:r>
      <w:r>
        <w:rPr>
          <w:rFonts w:hint="eastAsia" w:ascii="仿宋_GB2312" w:hAnsi="华文中宋" w:eastAsia="仿宋_GB2312"/>
          <w:bCs/>
          <w:sz w:val="32"/>
          <w:szCs w:val="44"/>
          <w:lang w:eastAsia="zh-CN"/>
        </w:rPr>
        <w:t>签发人：李君毅</w:t>
      </w:r>
    </w:p>
    <w:p w14:paraId="3BE23AA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0"/>
          <w:szCs w:val="30"/>
          <w:lang w:val="en-US" w:eastAsia="zh-CN"/>
        </w:rPr>
      </w:pPr>
    </w:p>
    <w:p w14:paraId="59F3841A">
      <w:pPr>
        <w:overflowPunct w:val="0"/>
        <w:spacing w:line="58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eastAsia="zh-CN"/>
        </w:rPr>
        <w:t>县电力行业</w:t>
      </w:r>
      <w:r>
        <w:rPr>
          <w:rFonts w:hint="eastAsia" w:ascii="方正小标宋简体" w:hAnsi="方正小标宋简体" w:eastAsia="方正小标宋简体" w:cs="方正小标宋简体"/>
          <w:sz w:val="44"/>
          <w:szCs w:val="44"/>
        </w:rPr>
        <w:t>高处作业</w:t>
      </w:r>
      <w:r>
        <w:rPr>
          <w:rFonts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rPr>
        <w:t>百日</w:t>
      </w:r>
      <w:r>
        <w:rPr>
          <w:rFonts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rPr>
        <w:t>安全</w:t>
      </w:r>
    </w:p>
    <w:p w14:paraId="195D8985">
      <w:pPr>
        <w:overflowPunct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专项整治</w:t>
      </w:r>
      <w:r>
        <w:rPr>
          <w:rFonts w:hint="eastAsia" w:ascii="方正小标宋简体" w:hAnsi="方正小标宋简体" w:eastAsia="方正小标宋简体" w:cs="方正小标宋简体"/>
          <w:sz w:val="44"/>
          <w:szCs w:val="44"/>
          <w:lang w:eastAsia="zh-CN"/>
        </w:rPr>
        <w:t>行动方案</w:t>
      </w:r>
    </w:p>
    <w:p w14:paraId="44E212FD">
      <w:pPr>
        <w:rPr>
          <w:rFonts w:ascii="Calibri" w:hAnsi="Calibri" w:eastAsia="宋体" w:cs="Times New Roman"/>
          <w:szCs w:val="24"/>
        </w:rPr>
      </w:pPr>
    </w:p>
    <w:p w14:paraId="5F249F9D">
      <w:pPr>
        <w:spacing w:line="580" w:lineRule="exact"/>
        <w:ind w:firstLine="640" w:firstLineChars="200"/>
        <w:rPr>
          <w:rFonts w:ascii="Calibri" w:hAnsi="Calibri" w:eastAsia="宋体" w:cs="Times New Roman"/>
          <w:szCs w:val="24"/>
        </w:rPr>
      </w:pPr>
      <w:r>
        <w:rPr>
          <w:rFonts w:hint="eastAsia" w:ascii="仿宋_GB2312" w:hAnsi="仿宋_GB2312" w:eastAsia="仿宋_GB2312" w:cs="仿宋_GB2312"/>
          <w:sz w:val="32"/>
          <w:szCs w:val="32"/>
        </w:rPr>
        <w:t>今年以来，我省高处坠落事故多发频发，1-7月份各行业领域共发生高处坠落事故52起、死亡53人，分别占除交通运输业以外其他行业事故的24.30%、22.36%，事故起数、死亡人数同比分别上升23.81%、20.45%，建筑、采矿、工商贸等行业均有发生，给人民群众生命财产造成重大损失。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安委办</w:t>
      </w:r>
      <w:r>
        <w:rPr>
          <w:rFonts w:hint="eastAsia" w:ascii="仿宋_GB2312" w:hAnsi="仿宋_GB2312" w:eastAsia="仿宋_GB2312" w:cs="仿宋_GB2312"/>
          <w:sz w:val="32"/>
          <w:szCs w:val="32"/>
          <w:lang w:eastAsia="zh-CN"/>
        </w:rPr>
        <w:t>关于印发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高处作业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百日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安全专项整治行动</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要求，结合我</w:t>
      </w:r>
      <w:r>
        <w:rPr>
          <w:rFonts w:hint="eastAsia" w:ascii="仿宋_GB2312" w:hAnsi="仿宋_GB2312" w:eastAsia="仿宋_GB2312" w:cs="仿宋_GB2312"/>
          <w:sz w:val="32"/>
          <w:szCs w:val="32"/>
          <w:lang w:eastAsia="zh-CN"/>
        </w:rPr>
        <w:t>县电力行业</w:t>
      </w:r>
      <w:r>
        <w:rPr>
          <w:rFonts w:hint="eastAsia" w:ascii="仿宋_GB2312" w:hAnsi="仿宋_GB2312" w:eastAsia="仿宋_GB2312" w:cs="仿宋_GB2312"/>
          <w:sz w:val="32"/>
          <w:szCs w:val="32"/>
        </w:rPr>
        <w:t>实际，决定从即日起至2024年11月底，在全</w:t>
      </w:r>
      <w:r>
        <w:rPr>
          <w:rFonts w:hint="eastAsia" w:ascii="仿宋_GB2312" w:hAnsi="仿宋_GB2312" w:eastAsia="仿宋_GB2312" w:cs="仿宋_GB2312"/>
          <w:sz w:val="32"/>
          <w:szCs w:val="32"/>
          <w:lang w:eastAsia="zh-CN"/>
        </w:rPr>
        <w:t>县电力</w:t>
      </w:r>
      <w:r>
        <w:rPr>
          <w:rFonts w:hint="eastAsia" w:ascii="仿宋_GB2312" w:hAnsi="仿宋_GB2312" w:eastAsia="仿宋_GB2312" w:cs="仿宋_GB2312"/>
          <w:sz w:val="32"/>
          <w:szCs w:val="32"/>
        </w:rPr>
        <w:t>行业领域开展高处作业“百日”安全专项整治行动</w:t>
      </w:r>
      <w:r>
        <w:rPr>
          <w:rFonts w:hint="eastAsia" w:ascii="仿宋_GB2312" w:hAnsi="仿宋_GB2312" w:eastAsia="仿宋_GB2312" w:cs="仿宋_GB2312"/>
          <w:sz w:val="32"/>
          <w:szCs w:val="32"/>
          <w:lang w:eastAsia="zh-CN"/>
        </w:rPr>
        <w:t>，工作方案</w:t>
      </w:r>
      <w:r>
        <w:rPr>
          <w:rFonts w:hint="eastAsia" w:ascii="仿宋_GB2312" w:hAnsi="仿宋_GB2312" w:eastAsia="仿宋_GB2312" w:cs="仿宋_GB2312"/>
          <w:sz w:val="32"/>
          <w:szCs w:val="32"/>
        </w:rPr>
        <w:t>如下：</w:t>
      </w:r>
    </w:p>
    <w:p w14:paraId="5A2BF9B6">
      <w:pPr>
        <w:shd w:val="clear" w:color="auto" w:fill="FFFFFF"/>
        <w:overflowPunct w:val="0"/>
        <w:spacing w:line="580" w:lineRule="exact"/>
        <w:ind w:firstLine="640" w:firstLineChars="200"/>
        <w:jc w:val="left"/>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sz w:val="32"/>
          <w:szCs w:val="32"/>
        </w:rPr>
        <w:t>一、总体要求</w:t>
      </w:r>
    </w:p>
    <w:p w14:paraId="51B64496">
      <w:pPr>
        <w:spacing w:line="580" w:lineRule="exact"/>
        <w:ind w:firstLine="640" w:firstLineChars="200"/>
        <w:rPr>
          <w:rFonts w:ascii="Calibri" w:hAnsi="Calibri" w:eastAsia="宋体" w:cs="Times New Roman"/>
          <w:szCs w:val="24"/>
        </w:rPr>
      </w:pPr>
      <w:r>
        <w:rPr>
          <w:rFonts w:hint="eastAsia" w:ascii="仿宋_GB2312" w:hAnsi="仿宋_GB2312" w:eastAsia="仿宋_GB2312" w:cs="仿宋_GB2312"/>
          <w:sz w:val="32"/>
          <w:szCs w:val="32"/>
        </w:rPr>
        <w:t>认真学习贯彻习近平总书记关于安全生产的重要论述和重要指示批示精神，认真落实党中央国务院、省委省政府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市委市政府</w:t>
      </w:r>
      <w:r>
        <w:rPr>
          <w:rFonts w:hint="eastAsia" w:ascii="仿宋_GB2312" w:hAnsi="仿宋_GB2312" w:eastAsia="仿宋_GB2312" w:cs="仿宋_GB2312"/>
          <w:sz w:val="32"/>
          <w:szCs w:val="32"/>
          <w:lang w:eastAsia="zh-CN"/>
        </w:rPr>
        <w:t>及县委县政府</w:t>
      </w:r>
      <w:r>
        <w:rPr>
          <w:rFonts w:hint="eastAsia" w:ascii="仿宋_GB2312" w:hAnsi="仿宋_GB2312" w:eastAsia="仿宋_GB2312" w:cs="仿宋_GB2312"/>
          <w:sz w:val="32"/>
          <w:szCs w:val="32"/>
        </w:rPr>
        <w:t>决策部署，牢固树立安全生产底线思维，严格落实“谁主管谁牵头、谁为主谁牵头、谁靠近谁牵头”要求，通过开展高处作业“百日”安全专项整治行动，全面排查和治理高处作业事故隐患，强化企业管理、教育培训、精准执法、事故查处、反“三违”行动等，有效预防和减少高处坠落事故的发生，为我</w:t>
      </w:r>
      <w:r>
        <w:rPr>
          <w:rFonts w:hint="eastAsia" w:ascii="仿宋_GB2312" w:hAnsi="仿宋_GB2312" w:eastAsia="仿宋_GB2312" w:cs="仿宋_GB2312"/>
          <w:sz w:val="32"/>
          <w:szCs w:val="32"/>
          <w:lang w:eastAsia="zh-CN"/>
        </w:rPr>
        <w:t>县电力行业</w:t>
      </w:r>
      <w:r>
        <w:rPr>
          <w:rFonts w:hint="eastAsia" w:ascii="仿宋_GB2312" w:hAnsi="仿宋_GB2312" w:eastAsia="仿宋_GB2312" w:cs="仿宋_GB2312"/>
          <w:sz w:val="32"/>
          <w:szCs w:val="32"/>
        </w:rPr>
        <w:t>推动高质量发展提供坚强安全保障。</w:t>
      </w:r>
    </w:p>
    <w:p w14:paraId="139D044F">
      <w:pPr>
        <w:shd w:val="clear" w:color="auto" w:fill="FFFFFF"/>
        <w:overflowPunct w:val="0"/>
        <w:spacing w:line="580" w:lineRule="exact"/>
        <w:ind w:firstLine="640" w:firstLineChars="200"/>
        <w:jc w:val="lef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二、整治时间</w:t>
      </w:r>
    </w:p>
    <w:p w14:paraId="1134BC76">
      <w:pPr>
        <w:overflowPunct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从即日起至2024年11月底结束。</w:t>
      </w:r>
    </w:p>
    <w:p w14:paraId="68D3B150">
      <w:pPr>
        <w:shd w:val="clear" w:color="auto" w:fill="FFFFFF"/>
        <w:overflowPunct w:val="0"/>
        <w:spacing w:line="580" w:lineRule="exact"/>
        <w:ind w:firstLine="640" w:firstLineChars="200"/>
        <w:jc w:val="lef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三、整治内容</w:t>
      </w:r>
    </w:p>
    <w:p w14:paraId="31F598C8">
      <w:pPr>
        <w:overflowPunct w:val="0"/>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（一）规范企业管理。</w:t>
      </w:r>
    </w:p>
    <w:p w14:paraId="00D6D4B0">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1.围绕重大事故隐患判定标准体系提升及“一行业一清单”行动，将容易忽视且易酿成事故的高处作业活动纳入安全生产重要内容。</w:t>
      </w:r>
    </w:p>
    <w:p w14:paraId="31E51355">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2.高处作业必须编制防高处坠落专项方案，制定高处坠落风险分级管控清单，隐患排查治理清单，建立高处作业项目台账，细化高处作业流程，从事高处作业前必须办理《高处作业许可证》。</w:t>
      </w:r>
    </w:p>
    <w:p w14:paraId="13EAB31F">
      <w:pPr>
        <w:shd w:val="clear" w:color="auto" w:fill="FFFFFF"/>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加强对外包外租等关联单位的安全生产指导、监督和管理，将外包外租从业人员、劳务派遣人员、灵活用工人员纳入本单位统一人事管理、统一劳动保障、统一安全培训、统一落实安全责任、统一安全检查。</w:t>
      </w:r>
    </w:p>
    <w:p w14:paraId="75142D81">
      <w:pPr>
        <w:overflowPunct w:val="0"/>
        <w:spacing w:line="58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4.加强对桥梁隧道、临边临崖等涉及高处作业运行维护活动的安全监督，采取有力措施，强化风险管控</w:t>
      </w:r>
      <w:r>
        <w:rPr>
          <w:rFonts w:hint="eastAsia" w:ascii="仿宋_GB2312" w:hAnsi="仿宋_GB2312" w:eastAsia="仿宋_GB2312" w:cs="仿宋_GB2312"/>
          <w:spacing w:val="6"/>
          <w:sz w:val="32"/>
          <w:szCs w:val="32"/>
        </w:rPr>
        <w:t>。</w:t>
      </w:r>
    </w:p>
    <w:p w14:paraId="2087B89B">
      <w:pPr>
        <w:overflowPunct w:val="0"/>
        <w:spacing w:line="58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5.要紧盯设备安装、顶棚维修、吊装作业等施工现场作业人员的安全防护，督促施工人员正确使用和佩戴安全帽、安全带、安全绳、防滑鞋等安全防护用品。</w:t>
      </w:r>
    </w:p>
    <w:p w14:paraId="291DFE9E">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高处作业人员必须严格执行定期体检合格后上岗制度，凡患有高血压、心脏病、癫痫病、恐高症或高度近视等身体状况不适合登高的人员，严禁其从事高处作业。作业基准面30米及以上作业人员，作业前必须体检。</w:t>
      </w:r>
    </w:p>
    <w:p w14:paraId="3D14FDF9">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7.悬空高处作业要规范使用安全作业平台、高空作业车、高处作业吊篮、座板式单人吊具、脚手架等，脚手板要满铺、铺稳，并做好固定。</w:t>
      </w:r>
    </w:p>
    <w:p w14:paraId="1239F20B">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8.交叉作业时，必须按指定的路线上下，禁止上下垂直作业，若必须垂直交叉作业时，坠落半径内设置硬质安全防护棚进行有效隔离防护、安全防护网或警戒隔离区等安全隔离措施。</w:t>
      </w:r>
    </w:p>
    <w:p w14:paraId="32AB8BB3">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9.在石棉瓦上作业时，应用固定的跳板或铺瓦梯。在屋面、斜坡、坝顶、吊桥、框架边沿及设备顶上等立足不稳之处作业，均应装设脚手架、栏杆或安全网。</w:t>
      </w:r>
    </w:p>
    <w:p w14:paraId="24030538">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10.严禁作业时上下抛掷工器具、材料，或大件工具及材料绑扎不牢固；严禁在无可靠安全防护设施的条件下，在屋架、桁架的上弦、支撑、檩条、挑架、挑梁、砌体、不固定的构件上行走或作业。</w:t>
      </w:r>
    </w:p>
    <w:p w14:paraId="0F0C9F78">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脚手架的搭设、拆除应严格按照专项施工方案实施，作业过程中应设警戒区域并应派专人旁站监护；外脚手架内立杆离主体结构间距超15cm应设置水平防护措施；附着式升降脚手架应按相关规范要求设置防坠落、防倾覆等措施；钢管、扣件和模板等材料和工具应码放可靠，不得放置在脚手架架体上和楼层临边处。</w:t>
      </w:r>
    </w:p>
    <w:p w14:paraId="6940307F">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12.高处作业临边工作面边沿必须设置围护设施，围护设施的高度应不低于1.2米。</w:t>
      </w:r>
    </w:p>
    <w:p w14:paraId="56F521E3">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13.六级以上大风、浓雾和大雨等恶劣天气，不得进行露天高处作业；恶劣天气过后，应对高处作业安全设施逐一检查，发现有松动、变形、损坏或脱落、漏雨、漏电等现象，应立即修理或重新设置。</w:t>
      </w:r>
    </w:p>
    <w:p w14:paraId="4C17D8DD">
      <w:pPr>
        <w:overflowPunct w:val="0"/>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（二）加强培训教育。</w:t>
      </w:r>
    </w:p>
    <w:p w14:paraId="44587940">
      <w:pPr>
        <w:shd w:val="clear" w:color="auto" w:fill="FFFFFF"/>
        <w:overflowPunct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电力</w:t>
      </w:r>
      <w:r>
        <w:rPr>
          <w:rFonts w:hint="eastAsia" w:ascii="仿宋_GB2312" w:hAnsi="仿宋_GB2312" w:eastAsia="仿宋_GB2312" w:cs="仿宋_GB2312"/>
          <w:sz w:val="32"/>
          <w:szCs w:val="32"/>
        </w:rPr>
        <w:t>行业领域生产经营单位要将高处作业安全防范纳入本企业安全教育培训内容，对有关从业人员进行专题安全教育培训</w:t>
      </w:r>
      <w:r>
        <w:rPr>
          <w:rFonts w:hint="eastAsia" w:ascii="仿宋_GB2312" w:hAnsi="仿宋_GB2312" w:eastAsia="仿宋_GB2312" w:cs="仿宋_GB2312"/>
          <w:kern w:val="0"/>
          <w:sz w:val="32"/>
          <w:szCs w:val="32"/>
        </w:rPr>
        <w:t>。</w:t>
      </w:r>
    </w:p>
    <w:p w14:paraId="5DC0B4D6">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电力</w:t>
      </w:r>
      <w:r>
        <w:rPr>
          <w:rFonts w:hint="eastAsia" w:ascii="仿宋_GB2312" w:hAnsi="仿宋_GB2312" w:eastAsia="仿宋_GB2312" w:cs="仿宋_GB2312"/>
          <w:sz w:val="32"/>
          <w:szCs w:val="32"/>
        </w:rPr>
        <w:t>行业领域安全监管部门要组织一次涉及高处作业企业主要负责人、安全管理人员的专题培训、考核，重点培训有关法律法规、作业规程、事故警示教育等内容。</w:t>
      </w:r>
    </w:p>
    <w:p w14:paraId="1E4B1F25">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高处作业人员必须经过安全培训教育并考取特种作业人员操作资格证书，从事脚手架搭设的人员必须具备有效的特种作业操作证（架子工证、登高架设证等）。严格落实省应急厅等9部门联合印发的《安全生产资格证书涉假专项治理工作实施方案》，坚决杜绝无证、假证上岗等违法违规行为。</w:t>
      </w:r>
    </w:p>
    <w:p w14:paraId="0F69CE21">
      <w:pPr>
        <w:shd w:val="clear" w:color="auto" w:fill="FFFFFF"/>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4.强化警示教育，通过在施工现场悬挂警示标语、展示警示图片等方式对作业人员进行警示教育，提醒作业人员时刻保持警惕。</w:t>
      </w:r>
    </w:p>
    <w:p w14:paraId="523B1025">
      <w:pPr>
        <w:overflowPunct w:val="0"/>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（三）强化精准执法。</w:t>
      </w:r>
    </w:p>
    <w:p w14:paraId="69C1D49C">
      <w:pPr>
        <w:shd w:val="clear" w:color="auto" w:fill="FFFFFF"/>
        <w:overflowPunct w:val="0"/>
        <w:spacing w:line="580" w:lineRule="exact"/>
        <w:ind w:firstLine="640" w:firstLineChars="200"/>
        <w:rPr>
          <w:rFonts w:ascii="仿宋_GB2312" w:hAnsi="仿宋_GB2312" w:eastAsia="仿宋_GB2312" w:cs="仿宋_GB2312"/>
          <w:sz w:val="32"/>
          <w:szCs w:val="32"/>
          <w:lang w:val="en"/>
        </w:rPr>
      </w:pPr>
      <w:r>
        <w:rPr>
          <w:rFonts w:hint="eastAsia" w:ascii="仿宋_GB2312" w:hAnsi="仿宋_GB2312" w:eastAsia="仿宋_GB2312" w:cs="仿宋_GB2312"/>
          <w:sz w:val="32"/>
          <w:szCs w:val="32"/>
        </w:rPr>
        <w:t>1.综合运用“四不两直”、明查暗访等方式，依照重大事故隐患判定标准“一行业一清单”，深入开展精准执法，按照分级分类监管的原则，在“百日”安全专项整治期间对</w:t>
      </w:r>
      <w:r>
        <w:rPr>
          <w:rFonts w:hint="eastAsia" w:ascii="仿宋_GB2312" w:hAnsi="仿宋_GB2312" w:eastAsia="仿宋_GB2312" w:cs="仿宋_GB2312"/>
          <w:sz w:val="32"/>
          <w:szCs w:val="32"/>
          <w:lang w:eastAsia="zh-CN"/>
        </w:rPr>
        <w:t>全县电力</w:t>
      </w:r>
      <w:r>
        <w:rPr>
          <w:rFonts w:hint="eastAsia" w:ascii="仿宋_GB2312" w:hAnsi="仿宋_GB2312" w:eastAsia="仿宋_GB2312" w:cs="仿宋_GB2312"/>
          <w:sz w:val="32"/>
          <w:szCs w:val="32"/>
        </w:rPr>
        <w:t>企业至少组织开展一次执法检查。</w:t>
      </w:r>
      <w:r>
        <w:rPr>
          <w:rFonts w:hint="eastAsia" w:ascii="仿宋_GB2312" w:hAnsi="仿宋_GB2312" w:eastAsia="仿宋_GB2312" w:cs="仿宋_GB2312"/>
          <w:spacing w:val="6"/>
          <w:sz w:val="32"/>
          <w:szCs w:val="32"/>
        </w:rPr>
        <w:t>要动真碰硬，</w:t>
      </w:r>
      <w:r>
        <w:rPr>
          <w:rFonts w:hint="eastAsia" w:ascii="仿宋_GB2312" w:hAnsi="仿宋_GB2312" w:eastAsia="仿宋_GB2312" w:cs="仿宋_GB2312"/>
          <w:sz w:val="32"/>
          <w:szCs w:val="32"/>
          <w:lang w:val="en"/>
        </w:rPr>
        <w:t>坚决杜绝安全监管执法“宽松软虚”。</w:t>
      </w:r>
    </w:p>
    <w:p w14:paraId="6558AC30">
      <w:pPr>
        <w:shd w:val="clear" w:color="auto" w:fill="FFFFFF"/>
        <w:overflowPunct w:val="0"/>
        <w:spacing w:line="58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pacing w:val="6"/>
          <w:sz w:val="32"/>
          <w:szCs w:val="32"/>
        </w:rPr>
        <w:t>严厉打击企业未建立高处作业项目台账、未持证上岗、未对高处作业人员进行安全教育培训、高处作业人员不系安全带、安全防护设备质量不合格、防护用品缺少等行为。</w:t>
      </w:r>
    </w:p>
    <w:p w14:paraId="76F25BF8">
      <w:pPr>
        <w:shd w:val="clear" w:color="auto" w:fill="FFFFFF"/>
        <w:overflowPunct w:val="0"/>
        <w:spacing w:line="580" w:lineRule="exact"/>
        <w:ind w:firstLine="664"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3.</w:t>
      </w:r>
      <w:r>
        <w:rPr>
          <w:rFonts w:hint="eastAsia" w:ascii="仿宋_GB2312" w:hAnsi="仿宋_GB2312" w:eastAsia="仿宋_GB2312" w:cs="仿宋_GB2312"/>
          <w:sz w:val="32"/>
          <w:szCs w:val="32"/>
        </w:rPr>
        <w:t>对严重违法行为依法采取限期整改、停产整顿、关闭取缔、上限处罚、联合惩戒，对发现的重大事故隐患要采取立案查处、追责问责、公开曝光和“一案双罚”。</w:t>
      </w:r>
    </w:p>
    <w:p w14:paraId="2548714F">
      <w:pPr>
        <w:overflowPunct w:val="0"/>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（四）严肃责任追究。</w:t>
      </w:r>
    </w:p>
    <w:p w14:paraId="7FD2D36D">
      <w:pPr>
        <w:shd w:val="clear" w:color="auto" w:fill="FFFFFF"/>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1.对发生高处作业事故的生产经营单位依法组织进行事故调查，查明事故原因，认定事故性质，分清事故责任，按照“四不放过”的原则，严肃追究相关责任人的法律责任。</w:t>
      </w:r>
    </w:p>
    <w:p w14:paraId="5093BDEC">
      <w:pPr>
        <w:shd w:val="clear" w:color="auto" w:fill="FFFFFF"/>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2.对责任落实不到位、隐患排查整治不力，以及工作滞后、推诿扯皮、敷衍塞责导致高处坠落事故屡禁不止的，要进行曝光、通报、约谈。</w:t>
      </w:r>
    </w:p>
    <w:p w14:paraId="64FDFC57">
      <w:pPr>
        <w:shd w:val="clear" w:color="auto" w:fill="FFFFFF"/>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3.对不认真履行职责，发生高处坠落安全事故的，不仅要追究企业的责任，而且要追究监管部门的责任，坚决做到“一案双查”。</w:t>
      </w:r>
    </w:p>
    <w:p w14:paraId="5CD4B1C6">
      <w:pPr>
        <w:shd w:val="clear" w:color="auto" w:fill="FFFFFF"/>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4.对瞒报、谎报等性质恶劣的，以及在“百日”安全专项整治期间发生生产安全事故要提级调查。</w:t>
      </w:r>
    </w:p>
    <w:p w14:paraId="2ADC8103">
      <w:pPr>
        <w:overflowPunct w:val="0"/>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（五）开展反“三违”行动。</w:t>
      </w:r>
    </w:p>
    <w:p w14:paraId="1A03057A">
      <w:pPr>
        <w:ind w:firstLine="640" w:firstLineChars="200"/>
        <w:rPr>
          <w:rFonts w:ascii="仿宋_GB2312" w:hAnsi="仿宋_GB2312" w:eastAsia="仿宋_GB2312" w:cs="仿宋_GB2312"/>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各电力企业要严格按照县局制定印发的</w:t>
      </w:r>
      <w:r>
        <w:rPr>
          <w:rFonts w:hint="eastAsia" w:ascii="仿宋" w:hAnsi="仿宋" w:eastAsia="仿宋" w:cs="仿宋"/>
          <w:sz w:val="32"/>
          <w:szCs w:val="32"/>
          <w:lang w:val="en-US" w:eastAsia="zh-CN"/>
        </w:rPr>
        <w:t>《关于开展电力安全生产反“三违”专项行动的通知》（盂能源</w:t>
      </w:r>
      <w:r>
        <w:rPr>
          <w:rFonts w:hint="eastAsia" w:ascii="仿宋" w:hAnsi="仿宋" w:eastAsia="仿宋" w:cs="仿宋"/>
          <w:sz w:val="32"/>
          <w:szCs w:val="32"/>
          <w:lang w:val="en-US"/>
        </w:rPr>
        <w:t>发〔202</w:t>
      </w:r>
      <w:r>
        <w:rPr>
          <w:rFonts w:hint="eastAsia" w:ascii="仿宋" w:hAnsi="仿宋" w:eastAsia="仿宋" w:cs="仿宋"/>
          <w:sz w:val="32"/>
          <w:szCs w:val="32"/>
          <w:lang w:val="en-US" w:eastAsia="zh-CN"/>
        </w:rPr>
        <w:t>4</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20号）文件要求</w:t>
      </w:r>
      <w:r>
        <w:rPr>
          <w:rFonts w:hint="eastAsia" w:ascii="仿宋" w:hAnsi="仿宋" w:eastAsia="仿宋" w:cs="仿宋"/>
          <w:sz w:val="32"/>
          <w:szCs w:val="32"/>
        </w:rPr>
        <w:t>开展反“三违”行动，要聚焦高处作业人员“三违”行为，常态化组织开展事故警示教育、应急处置、</w:t>
      </w:r>
      <w:r>
        <w:rPr>
          <w:rFonts w:ascii="仿宋_GB2312" w:hAnsi="仿宋_GB2312" w:eastAsia="仿宋_GB2312" w:cs="仿宋_GB2312"/>
          <w:sz w:val="32"/>
          <w:szCs w:val="32"/>
        </w:rPr>
        <w:t>自救互救等</w:t>
      </w:r>
      <w:r>
        <w:rPr>
          <w:rFonts w:hint="eastAsia" w:ascii="仿宋_GB2312" w:hAnsi="仿宋_GB2312" w:eastAsia="仿宋_GB2312" w:cs="仿宋_GB2312"/>
          <w:sz w:val="32"/>
          <w:szCs w:val="32"/>
        </w:rPr>
        <w:t>，编制高处作业应知应会手册，强化全员教育培训。</w:t>
      </w:r>
    </w:p>
    <w:p w14:paraId="4775FB1D">
      <w:pPr>
        <w:overflowPunct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2.扎实开展职工安全隐患和职业危害“随手拍”活动，营造全社会关心、关注、支持安全生产的浓厚氛围。</w:t>
      </w:r>
    </w:p>
    <w:p w14:paraId="4C8DCBA5">
      <w:pPr>
        <w:overflowPunct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各电力企业</w:t>
      </w:r>
      <w:r>
        <w:rPr>
          <w:rFonts w:hint="eastAsia" w:ascii="仿宋_GB2312" w:hAnsi="仿宋_GB2312" w:eastAsia="仿宋_GB2312" w:cs="仿宋_GB2312"/>
          <w:sz w:val="32"/>
          <w:szCs w:val="32"/>
        </w:rPr>
        <w:t>要畅通举报渠道，进一步健全落实安全生产举报机制，对举报重大事故隐患和突出问题的予以重奖。激励“内部吹哨人”和从业人员积极向生产经营单位报告事故隐患。</w:t>
      </w:r>
    </w:p>
    <w:p w14:paraId="4E98AA1D">
      <w:pPr>
        <w:overflowPunct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4.对“三违”人员要进行不少于1天的脱产培训，培训结束，考核合格后方可重新上岗。</w:t>
      </w:r>
    </w:p>
    <w:p w14:paraId="484049FC">
      <w:pPr>
        <w:overflowPunct w:val="0"/>
        <w:spacing w:line="580" w:lineRule="exact"/>
        <w:ind w:firstLine="64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四、工作步骤</w:t>
      </w:r>
    </w:p>
    <w:p w14:paraId="63EB2E67">
      <w:pPr>
        <w:overflowPunct w:val="0"/>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（一）动员部署阶段（即日起至</w:t>
      </w:r>
      <w:r>
        <w:rPr>
          <w:rFonts w:hint="eastAsia" w:ascii="楷体_GB2312" w:hAnsi="楷体_GB2312" w:eastAsia="楷体_GB2312" w:cs="楷体_GB2312"/>
          <w:b/>
          <w:bCs/>
          <w:sz w:val="32"/>
          <w:szCs w:val="32"/>
          <w:lang w:val="en-US" w:eastAsia="zh-CN"/>
        </w:rPr>
        <w:t>9</w:t>
      </w:r>
      <w:r>
        <w:rPr>
          <w:rFonts w:hint="eastAsia" w:ascii="楷体_GB2312" w:hAnsi="楷体_GB2312" w:eastAsia="楷体_GB2312" w:cs="楷体_GB2312"/>
          <w:b/>
          <w:bCs/>
          <w:sz w:val="32"/>
          <w:szCs w:val="32"/>
        </w:rPr>
        <w:t>月3</w:t>
      </w:r>
      <w:r>
        <w:rPr>
          <w:rFonts w:hint="eastAsia" w:ascii="楷体_GB2312" w:hAnsi="楷体_GB2312" w:eastAsia="楷体_GB2312" w:cs="楷体_GB2312"/>
          <w:b/>
          <w:bCs/>
          <w:sz w:val="32"/>
          <w:szCs w:val="32"/>
          <w:lang w:val="en-US" w:eastAsia="zh-CN"/>
        </w:rPr>
        <w:t>0</w:t>
      </w:r>
      <w:r>
        <w:rPr>
          <w:rFonts w:hint="eastAsia" w:ascii="楷体_GB2312" w:hAnsi="楷体_GB2312" w:eastAsia="楷体_GB2312" w:cs="楷体_GB2312"/>
          <w:b/>
          <w:bCs/>
          <w:sz w:val="32"/>
          <w:szCs w:val="32"/>
        </w:rPr>
        <w:t>日）</w:t>
      </w:r>
    </w:p>
    <w:p w14:paraId="5FA21EBA">
      <w:pPr>
        <w:overflowPunct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电力企业</w:t>
      </w:r>
      <w:r>
        <w:rPr>
          <w:rFonts w:hint="eastAsia" w:ascii="仿宋_GB2312" w:hAnsi="仿宋_GB2312" w:eastAsia="仿宋_GB2312" w:cs="仿宋_GB2312"/>
          <w:sz w:val="32"/>
          <w:szCs w:val="32"/>
        </w:rPr>
        <w:t>要立即部署开展高处作业“百日”安全专项整治行动，对照整治内容</w:t>
      </w:r>
      <w:r>
        <w:rPr>
          <w:rFonts w:hint="eastAsia" w:ascii="仿宋_GB2312" w:hAnsi="Calibri" w:eastAsia="仿宋_GB2312" w:cs="仿宋_GB2312"/>
          <w:sz w:val="32"/>
          <w:szCs w:val="32"/>
        </w:rPr>
        <w:t>开展</w:t>
      </w:r>
      <w:r>
        <w:rPr>
          <w:rFonts w:hint="eastAsia" w:ascii="仿宋_GB2312" w:hAnsi="仿宋_GB2312" w:eastAsia="仿宋_GB2312" w:cs="仿宋_GB2312"/>
          <w:sz w:val="32"/>
          <w:szCs w:val="32"/>
        </w:rPr>
        <w:t>自查自纠，立查立改，建立隐患排查整治台账，明确整改责任人和整改时限，实现闭环管理。</w:t>
      </w:r>
    </w:p>
    <w:p w14:paraId="16EA3CF5">
      <w:pPr>
        <w:overflowPunct w:val="0"/>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（二）监督检查阶段（10月15日至11月15日）</w:t>
      </w:r>
    </w:p>
    <w:p w14:paraId="1E46CE6E">
      <w:pPr>
        <w:overflowPunct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县能源局将综合运用“四不两直”、明查暗访等方式</w:t>
      </w:r>
      <w:r>
        <w:rPr>
          <w:rFonts w:hint="eastAsia" w:ascii="仿宋_GB2312" w:hAnsi="仿宋_GB2312" w:eastAsia="仿宋_GB2312" w:cs="仿宋_GB2312"/>
          <w:sz w:val="32"/>
          <w:szCs w:val="32"/>
        </w:rPr>
        <w:t>开展全覆盖监督检查，对发现的问题和隐患督促责任单位进行整改，并跟踪落实，确保问题隐患督促整改到位、违法违规行为处罚到位。</w:t>
      </w:r>
    </w:p>
    <w:p w14:paraId="7486B726">
      <w:pPr>
        <w:overflowPunct w:val="0"/>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（三）总结评估阶段（11月16日至11月30日）</w:t>
      </w:r>
    </w:p>
    <w:p w14:paraId="5F81E96E">
      <w:pPr>
        <w:overflowPunct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电力企业</w:t>
      </w:r>
      <w:r>
        <w:rPr>
          <w:rFonts w:hint="eastAsia" w:ascii="仿宋_GB2312" w:hAnsi="仿宋_GB2312" w:eastAsia="仿宋_GB2312" w:cs="仿宋_GB2312"/>
          <w:sz w:val="32"/>
          <w:szCs w:val="32"/>
        </w:rPr>
        <w:t>要对“百日”安全专项整治行动工作开展情况和有关经验成效进行梳理总结，提炼优化好的经验做法，转化为常态化管理措施，建立健全高处作业防范长效机制，巩固“百日”安全专项整治成果，不断提高企业安全管理水平。</w:t>
      </w:r>
    </w:p>
    <w:p w14:paraId="2BD60A2E">
      <w:pPr>
        <w:spacing w:line="580" w:lineRule="exact"/>
        <w:ind w:firstLine="640" w:firstLineChars="200"/>
        <w:outlineLvl w:val="1"/>
        <w:rPr>
          <w:rFonts w:hint="eastAsia" w:ascii="方正黑体简体" w:hAnsi="方正黑体简体" w:eastAsia="方正黑体简体" w:cs="方正黑体简体"/>
          <w:sz w:val="32"/>
          <w:szCs w:val="24"/>
        </w:rPr>
      </w:pPr>
      <w:r>
        <w:rPr>
          <w:rFonts w:hint="eastAsia" w:ascii="方正黑体简体" w:hAnsi="方正黑体简体" w:eastAsia="方正黑体简体" w:cs="方正黑体简体"/>
          <w:sz w:val="32"/>
          <w:szCs w:val="32"/>
        </w:rPr>
        <w:t>五</w:t>
      </w:r>
      <w:r>
        <w:rPr>
          <w:rFonts w:hint="eastAsia" w:ascii="方正黑体简体" w:hAnsi="方正黑体简体" w:eastAsia="方正黑体简体" w:cs="方正黑体简体"/>
          <w:sz w:val="32"/>
          <w:szCs w:val="24"/>
        </w:rPr>
        <w:t>、工作要求</w:t>
      </w:r>
    </w:p>
    <w:p w14:paraId="420A9C55">
      <w:pPr>
        <w:widowControl/>
        <w:spacing w:line="580" w:lineRule="exact"/>
        <w:ind w:firstLine="643" w:firstLineChars="200"/>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（一）提高政治站位。</w:t>
      </w:r>
      <w:r>
        <w:rPr>
          <w:rFonts w:hint="eastAsia" w:ascii="仿宋_GB2312" w:hAnsi="仿宋_GB2312" w:eastAsia="仿宋_GB2312" w:cs="仿宋_GB2312"/>
          <w:snapToGrid w:val="0"/>
          <w:color w:val="000000"/>
          <w:kern w:val="0"/>
          <w:sz w:val="32"/>
          <w:szCs w:val="32"/>
        </w:rPr>
        <w:t>各</w:t>
      </w:r>
      <w:r>
        <w:rPr>
          <w:rFonts w:hint="eastAsia" w:ascii="仿宋_GB2312" w:hAnsi="仿宋_GB2312" w:eastAsia="仿宋_GB2312" w:cs="仿宋_GB2312"/>
          <w:snapToGrid w:val="0"/>
          <w:color w:val="000000"/>
          <w:kern w:val="0"/>
          <w:sz w:val="32"/>
          <w:szCs w:val="32"/>
          <w:lang w:eastAsia="zh-CN"/>
        </w:rPr>
        <w:t>电力企业</w:t>
      </w:r>
      <w:r>
        <w:rPr>
          <w:rFonts w:hint="eastAsia" w:ascii="仿宋_GB2312" w:hAnsi="仿宋_GB2312" w:eastAsia="仿宋_GB2312" w:cs="仿宋_GB2312"/>
          <w:snapToGrid w:val="0"/>
          <w:color w:val="000000"/>
          <w:kern w:val="0"/>
          <w:sz w:val="32"/>
          <w:szCs w:val="32"/>
        </w:rPr>
        <w:t>要进一步提高政治站位，深刻认识到开展高处作业“百日”安全专项整治行动是有效预防和减少高处坠落事故发生的重要举措，是推进安全生产治本攻坚三年行动的重要抓手，</w:t>
      </w:r>
      <w:r>
        <w:rPr>
          <w:rFonts w:hint="eastAsia" w:ascii="仿宋_GB2312" w:hAnsi="仿宋_GB2312" w:eastAsia="仿宋_GB2312" w:cs="仿宋_GB2312"/>
          <w:snapToGrid w:val="0"/>
          <w:color w:val="000000"/>
          <w:kern w:val="0"/>
          <w:sz w:val="32"/>
          <w:szCs w:val="32"/>
          <w:lang w:eastAsia="zh-CN"/>
        </w:rPr>
        <w:t>各电力企业主要负责人</w:t>
      </w:r>
      <w:r>
        <w:rPr>
          <w:rFonts w:hint="eastAsia" w:ascii="仿宋_GB2312" w:hAnsi="仿宋_GB2312" w:eastAsia="仿宋_GB2312" w:cs="仿宋_GB2312"/>
          <w:snapToGrid w:val="0"/>
          <w:color w:val="000000"/>
          <w:kern w:val="0"/>
          <w:sz w:val="32"/>
          <w:szCs w:val="32"/>
        </w:rPr>
        <w:t>要勇于担当作为、层层抓好落实，推动“百日”行动取得实效。</w:t>
      </w:r>
    </w:p>
    <w:p w14:paraId="3C231A14">
      <w:pPr>
        <w:ind w:firstLine="643" w:firstLineChars="200"/>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（二）加强组织领导。</w:t>
      </w:r>
      <w:r>
        <w:rPr>
          <w:rFonts w:hint="eastAsia" w:ascii="仿宋_GB2312" w:hAnsi="仿宋_GB2312" w:eastAsia="仿宋_GB2312" w:cs="仿宋_GB2312"/>
          <w:snapToGrid w:val="0"/>
          <w:color w:val="000000"/>
          <w:kern w:val="0"/>
          <w:sz w:val="32"/>
          <w:szCs w:val="32"/>
        </w:rPr>
        <w:t>各</w:t>
      </w:r>
      <w:r>
        <w:rPr>
          <w:rFonts w:hint="eastAsia" w:ascii="仿宋_GB2312" w:hAnsi="仿宋_GB2312" w:eastAsia="仿宋_GB2312" w:cs="仿宋_GB2312"/>
          <w:snapToGrid w:val="0"/>
          <w:color w:val="000000"/>
          <w:kern w:val="0"/>
          <w:sz w:val="32"/>
          <w:szCs w:val="32"/>
          <w:lang w:eastAsia="zh-CN"/>
        </w:rPr>
        <w:t>电力企业</w:t>
      </w:r>
      <w:r>
        <w:rPr>
          <w:rFonts w:hint="eastAsia" w:ascii="仿宋_GB2312" w:hAnsi="仿宋_GB2312" w:eastAsia="仿宋_GB2312" w:cs="仿宋_GB2312"/>
          <w:snapToGrid w:val="0"/>
          <w:color w:val="000000"/>
          <w:kern w:val="0"/>
          <w:sz w:val="32"/>
          <w:szCs w:val="32"/>
        </w:rPr>
        <w:t>要高位推进高处作业“百日”安全专项整治行动，加强对高处作业排查整治工作的组织领导，周密部署，精心组织，要做到动员部署到位、责任落实到位、监督检查到位、自查整改到位，确保治理全面覆盖、不留死角。</w:t>
      </w:r>
    </w:p>
    <w:p w14:paraId="6E3F2D93">
      <w:pPr>
        <w:ind w:firstLine="643" w:firstLineChars="200"/>
        <w:rPr>
          <w:rFonts w:hint="eastAsia" w:ascii="仿宋_GB2312" w:hAnsi="仿宋_GB2312" w:eastAsia="仿宋_GB2312" w:cs="仿宋_GB2312"/>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（三）强化信息报送。</w:t>
      </w:r>
      <w:r>
        <w:rPr>
          <w:rFonts w:hint="eastAsia" w:ascii="仿宋_GB2312" w:hAnsi="仿宋_GB2312" w:eastAsia="仿宋_GB2312" w:cs="仿宋_GB2312"/>
          <w:snapToGrid w:val="0"/>
          <w:color w:val="000000"/>
          <w:kern w:val="0"/>
          <w:sz w:val="32"/>
          <w:szCs w:val="32"/>
        </w:rPr>
        <w:t>各</w:t>
      </w:r>
      <w:r>
        <w:rPr>
          <w:rFonts w:hint="eastAsia" w:ascii="仿宋_GB2312" w:hAnsi="仿宋_GB2312" w:eastAsia="仿宋_GB2312" w:cs="仿宋_GB2312"/>
          <w:snapToGrid w:val="0"/>
          <w:color w:val="000000"/>
          <w:kern w:val="0"/>
          <w:sz w:val="32"/>
          <w:szCs w:val="32"/>
          <w:lang w:eastAsia="zh-CN"/>
        </w:rPr>
        <w:t>电力企业</w:t>
      </w:r>
      <w:r>
        <w:rPr>
          <w:rFonts w:hint="eastAsia" w:ascii="仿宋_GB2312" w:hAnsi="仿宋_GB2312" w:eastAsia="仿宋_GB2312" w:cs="仿宋_GB2312"/>
          <w:snapToGrid w:val="0"/>
          <w:color w:val="000000"/>
          <w:kern w:val="0"/>
          <w:sz w:val="32"/>
          <w:szCs w:val="32"/>
        </w:rPr>
        <w:t>要于每月</w:t>
      </w:r>
      <w:r>
        <w:rPr>
          <w:rFonts w:hint="eastAsia" w:ascii="仿宋_GB2312" w:hAnsi="仿宋_GB2312" w:eastAsia="仿宋_GB2312" w:cs="仿宋_GB2312"/>
          <w:snapToGrid w:val="0"/>
          <w:color w:val="000000"/>
          <w:kern w:val="0"/>
          <w:sz w:val="32"/>
          <w:szCs w:val="32"/>
          <w:lang w:val="en-US" w:eastAsia="zh-CN"/>
        </w:rPr>
        <w:t>4</w:t>
      </w:r>
      <w:r>
        <w:rPr>
          <w:rFonts w:hint="eastAsia" w:ascii="仿宋_GB2312" w:hAnsi="仿宋_GB2312" w:eastAsia="仿宋_GB2312" w:cs="仿宋_GB2312"/>
          <w:snapToGrid w:val="0"/>
          <w:color w:val="000000"/>
          <w:kern w:val="0"/>
          <w:sz w:val="32"/>
          <w:szCs w:val="32"/>
        </w:rPr>
        <w:t>日前将上月专项</w:t>
      </w:r>
      <w:r>
        <w:rPr>
          <w:rFonts w:hint="eastAsia" w:ascii="仿宋_GB2312" w:hAnsi="仿宋_GB2312" w:eastAsia="仿宋_GB2312" w:cs="仿宋_GB2312"/>
          <w:snapToGrid w:val="0"/>
          <w:color w:val="000000"/>
          <w:kern w:val="0"/>
          <w:sz w:val="32"/>
          <w:szCs w:val="32"/>
          <w:lang w:eastAsia="zh-CN"/>
        </w:rPr>
        <w:t>自</w:t>
      </w:r>
      <w:r>
        <w:rPr>
          <w:rFonts w:hint="eastAsia" w:ascii="仿宋_GB2312" w:hAnsi="仿宋_GB2312" w:eastAsia="仿宋_GB2312" w:cs="仿宋_GB2312"/>
          <w:snapToGrid w:val="0"/>
          <w:color w:val="000000"/>
          <w:kern w:val="0"/>
          <w:sz w:val="32"/>
          <w:szCs w:val="32"/>
        </w:rPr>
        <w:t>查情况（见附件</w:t>
      </w:r>
      <w:r>
        <w:rPr>
          <w:rFonts w:hint="eastAsia" w:ascii="仿宋_GB2312" w:hAnsi="仿宋_GB2312" w:eastAsia="仿宋_GB2312" w:cs="仿宋_GB2312"/>
          <w:snapToGrid w:val="0"/>
          <w:color w:val="000000"/>
          <w:kern w:val="0"/>
          <w:sz w:val="32"/>
          <w:szCs w:val="32"/>
          <w:lang w:val="en-US" w:eastAsia="zh-CN"/>
        </w:rPr>
        <w:t>1</w:t>
      </w:r>
      <w:r>
        <w:rPr>
          <w:rFonts w:hint="eastAsia" w:ascii="仿宋_GB2312" w:hAnsi="仿宋_GB2312" w:eastAsia="仿宋_GB2312" w:cs="仿宋_GB2312"/>
          <w:snapToGrid w:val="0"/>
          <w:color w:val="000000"/>
          <w:kern w:val="0"/>
          <w:sz w:val="32"/>
          <w:szCs w:val="32"/>
        </w:rPr>
        <w:t>）报</w:t>
      </w:r>
      <w:r>
        <w:rPr>
          <w:rFonts w:hint="eastAsia" w:ascii="仿宋_GB2312" w:hAnsi="仿宋_GB2312" w:eastAsia="仿宋_GB2312" w:cs="仿宋_GB2312"/>
          <w:snapToGrid w:val="0"/>
          <w:color w:val="000000"/>
          <w:kern w:val="0"/>
          <w:sz w:val="32"/>
          <w:szCs w:val="32"/>
          <w:lang w:eastAsia="zh-CN"/>
        </w:rPr>
        <w:t>县能源局电力组</w:t>
      </w:r>
      <w:r>
        <w:rPr>
          <w:rFonts w:hint="eastAsia" w:ascii="仿宋_GB2312" w:hAnsi="仿宋_GB2312" w:eastAsia="仿宋_GB2312" w:cs="仿宋_GB2312"/>
          <w:snapToGrid w:val="0"/>
          <w:color w:val="000000"/>
          <w:kern w:val="0"/>
          <w:sz w:val="32"/>
          <w:szCs w:val="32"/>
        </w:rPr>
        <w:t>，并于11月25日前报送专项整治工作总结（包括工作开展情况、存在问题、以及下一步工作措施）。</w:t>
      </w:r>
    </w:p>
    <w:p w14:paraId="08394FF5">
      <w:pPr>
        <w:pStyle w:val="2"/>
        <w:keepNext w:val="0"/>
        <w:keepLines w:val="0"/>
        <w:pageBreakBefore w:val="0"/>
        <w:wordWrap/>
        <w:overflowPunct/>
        <w:topLinePunct w:val="0"/>
        <w:bidi w:val="0"/>
        <w:spacing w:line="520" w:lineRule="exact"/>
      </w:pPr>
    </w:p>
    <w:p w14:paraId="2A3E9E2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联系电话：</w:t>
      </w:r>
      <w:r>
        <w:rPr>
          <w:rFonts w:hint="eastAsia" w:ascii="仿宋_GB2312" w:hAnsi="仿宋_GB2312" w:eastAsia="仿宋_GB2312" w:cs="仿宋_GB2312"/>
          <w:snapToGrid w:val="0"/>
          <w:color w:val="000000"/>
          <w:kern w:val="0"/>
          <w:sz w:val="32"/>
          <w:szCs w:val="32"/>
          <w:lang w:val="en-US" w:eastAsia="zh-CN"/>
        </w:rPr>
        <w:t>8181008</w:t>
      </w:r>
    </w:p>
    <w:p w14:paraId="1BB48C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snapToGrid w:val="0"/>
          <w:color w:val="000000"/>
          <w:kern w:val="0"/>
          <w:sz w:val="32"/>
          <w:szCs w:val="32"/>
        </w:rPr>
        <w:t>邮    箱：</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"mailto:yqsyxnyj@163.com" </w:instrText>
      </w:r>
      <w:r>
        <w:rPr>
          <w:rFonts w:hint="eastAsia" w:ascii="仿宋" w:hAnsi="仿宋" w:eastAsia="仿宋" w:cs="仿宋"/>
          <w:color w:val="auto"/>
          <w:sz w:val="32"/>
          <w:szCs w:val="32"/>
          <w:u w:val="none"/>
        </w:rPr>
        <w:fldChar w:fldCharType="separate"/>
      </w:r>
      <w:r>
        <w:rPr>
          <w:rStyle w:val="18"/>
          <w:rFonts w:hint="eastAsia" w:ascii="仿宋" w:hAnsi="仿宋" w:eastAsia="仿宋" w:cs="仿宋"/>
          <w:color w:val="auto"/>
          <w:sz w:val="32"/>
          <w:szCs w:val="32"/>
          <w:u w:val="none"/>
        </w:rPr>
        <w:t>yq</w:t>
      </w:r>
      <w:r>
        <w:rPr>
          <w:rStyle w:val="18"/>
          <w:rFonts w:hint="eastAsia" w:ascii="仿宋" w:hAnsi="仿宋" w:eastAsia="仿宋" w:cs="仿宋"/>
          <w:color w:val="auto"/>
          <w:sz w:val="32"/>
          <w:szCs w:val="32"/>
          <w:u w:val="none"/>
          <w:lang w:val="en-US" w:eastAsia="zh-CN"/>
        </w:rPr>
        <w:t>s</w:t>
      </w:r>
      <w:r>
        <w:rPr>
          <w:rStyle w:val="18"/>
          <w:rFonts w:hint="eastAsia" w:ascii="仿宋" w:hAnsi="仿宋" w:eastAsia="仿宋" w:cs="仿宋"/>
          <w:color w:val="auto"/>
          <w:sz w:val="32"/>
          <w:szCs w:val="32"/>
          <w:u w:val="none"/>
        </w:rPr>
        <w:t>y</w:t>
      </w:r>
      <w:r>
        <w:rPr>
          <w:rStyle w:val="18"/>
          <w:rFonts w:hint="eastAsia" w:ascii="仿宋" w:hAnsi="仿宋" w:eastAsia="仿宋" w:cs="仿宋"/>
          <w:color w:val="auto"/>
          <w:sz w:val="32"/>
          <w:szCs w:val="32"/>
          <w:u w:val="none"/>
          <w:lang w:val="en-US" w:eastAsia="zh-CN"/>
        </w:rPr>
        <w:t>xnyj</w:t>
      </w:r>
      <w:r>
        <w:rPr>
          <w:rStyle w:val="18"/>
          <w:rFonts w:hint="eastAsia" w:ascii="仿宋" w:hAnsi="仿宋" w:eastAsia="仿宋" w:cs="仿宋"/>
          <w:color w:val="auto"/>
          <w:sz w:val="32"/>
          <w:szCs w:val="32"/>
          <w:u w:val="none"/>
        </w:rPr>
        <w:t>@163.com</w:t>
      </w:r>
      <w:r>
        <w:rPr>
          <w:rFonts w:hint="eastAsia" w:ascii="仿宋" w:hAnsi="仿宋" w:eastAsia="仿宋" w:cs="仿宋"/>
          <w:color w:val="auto"/>
          <w:sz w:val="32"/>
          <w:szCs w:val="32"/>
          <w:u w:val="none"/>
        </w:rPr>
        <w:fldChar w:fldCharType="end"/>
      </w:r>
    </w:p>
    <w:p w14:paraId="769990F8">
      <w:pPr>
        <w:pStyle w:val="2"/>
        <w:keepNext w:val="0"/>
        <w:keepLines w:val="0"/>
        <w:pageBreakBefore w:val="0"/>
        <w:wordWrap/>
        <w:overflowPunct/>
        <w:topLinePunct w:val="0"/>
        <w:bidi w:val="0"/>
        <w:spacing w:line="520" w:lineRule="exact"/>
        <w:rPr>
          <w:rFonts w:hint="eastAsia"/>
        </w:rPr>
      </w:pPr>
    </w:p>
    <w:p w14:paraId="243C36D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 w:hAnsi="仿宋" w:eastAsia="仿宋" w:cs="仿宋"/>
          <w:snapToGrid w:val="0"/>
          <w:color w:val="000000"/>
          <w:w w:val="95"/>
          <w:kern w:val="0"/>
          <w:sz w:val="32"/>
          <w:szCs w:val="32"/>
        </w:rPr>
      </w:pPr>
      <w:r>
        <w:rPr>
          <w:rFonts w:hint="eastAsia" w:ascii="仿宋" w:hAnsi="仿宋" w:eastAsia="仿宋" w:cs="仿宋"/>
          <w:snapToGrid w:val="0"/>
          <w:color w:val="000000"/>
          <w:kern w:val="0"/>
          <w:sz w:val="32"/>
          <w:szCs w:val="32"/>
        </w:rPr>
        <w:t>附件：</w:t>
      </w:r>
      <w:r>
        <w:rPr>
          <w:rFonts w:hint="eastAsia" w:ascii="仿宋" w:hAnsi="仿宋" w:eastAsia="仿宋" w:cs="仿宋"/>
          <w:snapToGrid w:val="0"/>
          <w:color w:val="000000"/>
          <w:kern w:val="0"/>
          <w:sz w:val="32"/>
          <w:szCs w:val="32"/>
          <w:lang w:val="en-US" w:eastAsia="zh-CN"/>
        </w:rPr>
        <w:t>1.</w:t>
      </w:r>
      <w:r>
        <w:rPr>
          <w:rFonts w:hint="eastAsia" w:ascii="仿宋" w:hAnsi="仿宋" w:eastAsia="仿宋" w:cs="仿宋"/>
          <w:snapToGrid w:val="0"/>
          <w:color w:val="000000"/>
          <w:w w:val="95"/>
          <w:kern w:val="0"/>
          <w:sz w:val="32"/>
          <w:szCs w:val="32"/>
        </w:rPr>
        <w:t>（</w:t>
      </w:r>
      <w:r>
        <w:rPr>
          <w:rFonts w:hint="eastAsia" w:ascii="仿宋" w:hAnsi="仿宋" w:eastAsia="仿宋" w:cs="仿宋"/>
          <w:snapToGrid w:val="0"/>
          <w:color w:val="000000"/>
          <w:w w:val="95"/>
          <w:kern w:val="0"/>
          <w:sz w:val="32"/>
          <w:szCs w:val="32"/>
          <w:lang w:val="en-US" w:eastAsia="zh-CN"/>
        </w:rPr>
        <w:t xml:space="preserve"> </w:t>
      </w:r>
      <w:r>
        <w:rPr>
          <w:rFonts w:hint="eastAsia" w:ascii="仿宋" w:hAnsi="仿宋" w:eastAsia="仿宋" w:cs="仿宋"/>
          <w:snapToGrid w:val="0"/>
          <w:color w:val="000000"/>
          <w:w w:val="95"/>
          <w:kern w:val="0"/>
          <w:sz w:val="32"/>
          <w:szCs w:val="32"/>
        </w:rPr>
        <w:t>）月</w:t>
      </w:r>
      <w:r>
        <w:rPr>
          <w:rFonts w:hint="eastAsia" w:ascii="仿宋" w:hAnsi="仿宋" w:eastAsia="仿宋" w:cs="仿宋"/>
          <w:snapToGrid w:val="0"/>
          <w:color w:val="000000"/>
          <w:w w:val="95"/>
          <w:kern w:val="0"/>
          <w:sz w:val="32"/>
          <w:szCs w:val="32"/>
          <w:lang w:eastAsia="zh-CN"/>
        </w:rPr>
        <w:t>企业</w:t>
      </w:r>
      <w:r>
        <w:rPr>
          <w:rFonts w:hint="eastAsia" w:ascii="仿宋" w:hAnsi="仿宋" w:eastAsia="仿宋" w:cs="仿宋"/>
          <w:snapToGrid w:val="0"/>
          <w:color w:val="000000"/>
          <w:w w:val="95"/>
          <w:kern w:val="0"/>
          <w:sz w:val="32"/>
          <w:szCs w:val="32"/>
        </w:rPr>
        <w:t>高处作业“百日”安全专项整治行动</w:t>
      </w:r>
      <w:r>
        <w:rPr>
          <w:rFonts w:hint="eastAsia" w:ascii="仿宋" w:hAnsi="仿宋" w:eastAsia="仿宋" w:cs="仿宋"/>
          <w:snapToGrid w:val="0"/>
          <w:color w:val="000000"/>
          <w:w w:val="95"/>
          <w:kern w:val="0"/>
          <w:sz w:val="32"/>
          <w:szCs w:val="32"/>
          <w:lang w:eastAsia="zh-CN"/>
        </w:rPr>
        <w:t>自</w:t>
      </w:r>
      <w:r>
        <w:rPr>
          <w:rFonts w:hint="eastAsia" w:ascii="仿宋" w:hAnsi="仿宋" w:eastAsia="仿宋" w:cs="仿宋"/>
          <w:snapToGrid w:val="0"/>
          <w:color w:val="000000"/>
          <w:w w:val="95"/>
          <w:kern w:val="0"/>
          <w:sz w:val="32"/>
          <w:szCs w:val="32"/>
        </w:rPr>
        <w:t>查统计表</w:t>
      </w:r>
    </w:p>
    <w:p w14:paraId="0946E1BF">
      <w:pPr>
        <w:keepNext w:val="0"/>
        <w:keepLines w:val="0"/>
        <w:pageBreakBefore w:val="0"/>
        <w:widowControl/>
        <w:kinsoku w:val="0"/>
        <w:wordWrap/>
        <w:overflowPunct/>
        <w:topLinePunct w:val="0"/>
        <w:autoSpaceDE w:val="0"/>
        <w:autoSpaceDN w:val="0"/>
        <w:bidi w:val="0"/>
        <w:adjustRightInd w:val="0"/>
        <w:snapToGrid w:val="0"/>
        <w:spacing w:line="520" w:lineRule="exact"/>
        <w:ind w:firstLine="1520" w:firstLineChars="500"/>
        <w:textAlignment w:val="baseline"/>
        <w:rPr>
          <w:rFonts w:hint="eastAsia" w:ascii="仿宋" w:hAnsi="仿宋" w:eastAsia="仿宋" w:cs="仿宋"/>
          <w:snapToGrid w:val="0"/>
          <w:color w:val="000000"/>
          <w:w w:val="95"/>
          <w:kern w:val="0"/>
          <w:sz w:val="32"/>
          <w:szCs w:val="32"/>
        </w:rPr>
      </w:pPr>
      <w:r>
        <w:rPr>
          <w:rFonts w:hint="eastAsia" w:ascii="仿宋" w:hAnsi="仿宋" w:eastAsia="仿宋" w:cs="仿宋"/>
          <w:snapToGrid w:val="0"/>
          <w:color w:val="000000"/>
          <w:w w:val="95"/>
          <w:kern w:val="0"/>
          <w:sz w:val="32"/>
          <w:szCs w:val="32"/>
          <w:lang w:val="en-US" w:eastAsia="zh-CN"/>
        </w:rPr>
        <w:t>2.</w:t>
      </w:r>
      <w:r>
        <w:rPr>
          <w:rFonts w:hint="eastAsia" w:ascii="仿宋" w:hAnsi="仿宋" w:eastAsia="仿宋" w:cs="仿宋"/>
          <w:snapToGrid w:val="0"/>
          <w:color w:val="000000"/>
          <w:w w:val="95"/>
          <w:kern w:val="0"/>
          <w:sz w:val="32"/>
          <w:szCs w:val="32"/>
        </w:rPr>
        <w:t>（</w:t>
      </w:r>
      <w:r>
        <w:rPr>
          <w:rFonts w:hint="eastAsia" w:ascii="仿宋" w:hAnsi="仿宋" w:eastAsia="仿宋" w:cs="仿宋"/>
          <w:snapToGrid w:val="0"/>
          <w:color w:val="000000"/>
          <w:w w:val="95"/>
          <w:kern w:val="0"/>
          <w:sz w:val="32"/>
          <w:szCs w:val="32"/>
          <w:lang w:val="en-US" w:eastAsia="zh-CN"/>
        </w:rPr>
        <w:t xml:space="preserve"> </w:t>
      </w:r>
      <w:r>
        <w:rPr>
          <w:rFonts w:hint="eastAsia" w:ascii="仿宋" w:hAnsi="仿宋" w:eastAsia="仿宋" w:cs="仿宋"/>
          <w:snapToGrid w:val="0"/>
          <w:color w:val="000000"/>
          <w:w w:val="95"/>
          <w:kern w:val="0"/>
          <w:sz w:val="32"/>
          <w:szCs w:val="32"/>
        </w:rPr>
        <w:t>）月高处作业“百日”安全专项整治行动</w:t>
      </w:r>
      <w:r>
        <w:rPr>
          <w:rFonts w:hint="eastAsia" w:ascii="仿宋" w:hAnsi="仿宋" w:eastAsia="仿宋" w:cs="仿宋"/>
          <w:snapToGrid w:val="0"/>
          <w:color w:val="000000"/>
          <w:w w:val="95"/>
          <w:kern w:val="0"/>
          <w:sz w:val="32"/>
          <w:szCs w:val="32"/>
          <w:lang w:eastAsia="zh-CN"/>
        </w:rPr>
        <w:t>自</w:t>
      </w:r>
      <w:r>
        <w:rPr>
          <w:rFonts w:hint="eastAsia" w:ascii="仿宋" w:hAnsi="仿宋" w:eastAsia="仿宋" w:cs="仿宋"/>
          <w:snapToGrid w:val="0"/>
          <w:color w:val="000000"/>
          <w:w w:val="95"/>
          <w:kern w:val="0"/>
          <w:sz w:val="32"/>
          <w:szCs w:val="32"/>
        </w:rPr>
        <w:t>查统计表</w:t>
      </w:r>
    </w:p>
    <w:p w14:paraId="3A9D59C2">
      <w:pPr>
        <w:pStyle w:val="2"/>
        <w:keepNext w:val="0"/>
        <w:keepLines w:val="0"/>
        <w:pageBreakBefore w:val="0"/>
        <w:wordWrap/>
        <w:overflowPunct/>
        <w:topLinePunct w:val="0"/>
        <w:bidi w:val="0"/>
        <w:spacing w:line="520" w:lineRule="exact"/>
        <w:rPr>
          <w:rFonts w:hint="default" w:eastAsia="仿宋_GB2312"/>
          <w:lang w:val="en-US" w:eastAsia="zh-CN"/>
        </w:rPr>
      </w:pPr>
    </w:p>
    <w:p w14:paraId="53AF9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pPr>
    </w:p>
    <w:p w14:paraId="63CAE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盂县能源局</w:t>
      </w:r>
    </w:p>
    <w:p w14:paraId="4953E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
        </w:rPr>
        <w:t>                                   2024年9月4日</w:t>
      </w:r>
    </w:p>
    <w:p w14:paraId="39ED3BC1">
      <w:pPr>
        <w:keepNext w:val="0"/>
        <w:keepLines w:val="0"/>
        <w:pageBreakBefore w:val="0"/>
        <w:widowControl w:val="0"/>
        <w:kinsoku/>
        <w:wordWrap/>
        <w:overflowPunct/>
        <w:topLinePunct w:val="0"/>
        <w:autoSpaceDE/>
        <w:autoSpaceDN/>
        <w:bidi w:val="0"/>
        <w:adjustRightInd/>
        <w:snapToGrid/>
        <w:spacing w:line="400" w:lineRule="exact"/>
        <w:ind w:firstLine="4160" w:firstLineChars="1300"/>
        <w:textAlignment w:val="auto"/>
        <w:rPr>
          <w:rFonts w:hint="eastAsia" w:ascii="仿宋_GB2312" w:hAnsi="仿宋_GB2312" w:eastAsia="仿宋_GB2312" w:cs="仿宋_GB2312"/>
          <w:sz w:val="32"/>
          <w:szCs w:val="32"/>
          <w:lang w:val="en-US" w:eastAsia="zh-CN"/>
        </w:rPr>
      </w:pPr>
    </w:p>
    <w:p w14:paraId="1A47E024">
      <w:pPr>
        <w:keepNext w:val="0"/>
        <w:keepLines w:val="0"/>
        <w:pageBreakBefore w:val="0"/>
        <w:widowControl w:val="0"/>
        <w:kinsoku/>
        <w:wordWrap/>
        <w:overflowPunct/>
        <w:topLinePunct w:val="0"/>
        <w:autoSpaceDE/>
        <w:autoSpaceDN/>
        <w:bidi w:val="0"/>
        <w:adjustRightInd/>
        <w:snapToGrid/>
        <w:spacing w:line="400" w:lineRule="exact"/>
        <w:ind w:firstLine="4160" w:firstLineChars="1300"/>
        <w:textAlignment w:val="auto"/>
        <w:rPr>
          <w:rFonts w:hint="eastAsia" w:ascii="仿宋_GB2312" w:hAnsi="仿宋_GB2312" w:eastAsia="仿宋_GB2312" w:cs="仿宋_GB2312"/>
          <w:sz w:val="32"/>
          <w:szCs w:val="32"/>
          <w:lang w:val="en-US" w:eastAsia="zh-CN"/>
        </w:rPr>
      </w:pPr>
    </w:p>
    <w:p w14:paraId="4EBDD1BE">
      <w:pPr>
        <w:keepNext w:val="0"/>
        <w:keepLines w:val="0"/>
        <w:pageBreakBefore w:val="0"/>
        <w:widowControl w:val="0"/>
        <w:kinsoku/>
        <w:wordWrap/>
        <w:overflowPunct/>
        <w:topLinePunct w:val="0"/>
        <w:autoSpaceDE/>
        <w:autoSpaceDN/>
        <w:bidi w:val="0"/>
        <w:adjustRightInd/>
        <w:snapToGrid/>
        <w:spacing w:line="460" w:lineRule="exact"/>
        <w:textAlignment w:val="auto"/>
      </w:pPr>
    </w:p>
    <w:p w14:paraId="7B1D67A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27305</wp:posOffset>
                </wp:positionV>
                <wp:extent cx="55435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43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5pt;margin-top:2.15pt;height:0.05pt;width:436.5pt;z-index:251659264;mso-width-relative:page;mso-height-relative:page;" filled="f" stroked="t" coordsize="21600,21600" o:gfxdata="UEsDBAoAAAAAAIdO4kAAAAAAAAAAAAAAAAAEAAAAZHJzL1BLAwQUAAAACACHTuJA7PWrY9UAAAAH&#10;AQAADwAAAGRycy9kb3ducmV2LnhtbE2OPU/DQBBEeyT+w2mRaKLkzk4UBcfnFIA7GhIQ7cbe2Ba+&#10;Pcd3+YBfz1JBOZrRm5dvrq5XZxpD59lCMjOgiCtfd9xYeNuV0xWoEJFr7D2ThS8KsClub3LMan/h&#10;VzpvY6MEwiFDC22MQ6Z1qFpyGGZ+IJbu4EeHUeLY6HrEi8Bdr1Njltphx/LQ4kCPLVWf25OzEMp3&#10;Opbfk2piPuaNp/T49PKM1t7fJWYNKtI1/o3hV1/UoRCnvT9xHVRvYZqkiUwtLOagpF8tzQOoveQF&#10;6CLX//2LH1BLAwQUAAAACACHTuJAOU0Bav0BAAD0AwAADgAAAGRycy9lMm9Eb2MueG1srVPNjtMw&#10;EL4j8Q6W7zRtl6zYqOketiwXBJVgH2DqOIkl/8njNu1L8AJI3ODEkTtvw/IYjJ1SluXSAzk4Y8/M&#10;N/N9Hi+u90aznQyonK35bDLlTFrhGmW7mt+9v332gjOMYBvQzsqaHyTy6+XTJ4vBV3LueqcbGRiB&#10;WKwGX/M+Rl8VBYpeGsCJ89KSs3XBQKRt6IomwEDoRhfz6fSyGFxofHBCItLpanTyI2I4B9C1rRJy&#10;5cTWSBtH1CA1RKKEvfLIl7nbtpUivm1blJHpmhPTmFcqQvYmrcVyAVUXwPdKHFuAc1p4xMmAslT0&#10;BLWCCGwb1D9QRong0LVxIpwpRiJZEWIxmz7S5l0PXmYuJDX6k+j4/2DFm906MNXUvOTMgqELv//4&#10;7ceHzz+/f6L1/usXViaRBo8Vxd7YdTju0K9DYrxvg0l/4sL2WdjDSVi5j0zQYVk+vyhL0lyQ7/Ii&#10;IxZ/Un3A+Eo6w5JRc61sYg0V7F5jpHIU+jskHWvLhppflXNqWQCNYEtXT6bxRANtl3PRadXcKq1T&#10;BoZuc6MD20Eag/wlUoT7V1gqsgLsx7jsGgekl9C8tA2LB08CWXoXPLVgZMOZlvSMkkWAUEVQ+pxI&#10;Kq1tSpB5SI88k8qjrsnauOZAl7P1QXU96TLLPScPDUPu/ji4adoe7sl++Fi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9atj1QAAAAcBAAAPAAAAAAAAAAEAIAAAACIAAABkcnMvZG93bnJldi54&#10;bWxQSwECFAAUAAAACACHTuJAOU0Bav0BAAD0AwAADgAAAAAAAAABACAAAAAkAQAAZHJzL2Uyb0Rv&#10;Yy54bWxQSwUGAAAAAAYABgBZAQAAkw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0"/>
          <w:szCs w:val="30"/>
          <w:lang w:eastAsia="zh-CN"/>
        </w:rPr>
        <w:t xml:space="preserve">盂县能源局办公室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val="en-US" w:eastAsia="zh-CN"/>
        </w:rPr>
        <w:t>2024年9月4日</w:t>
      </w:r>
      <w:r>
        <w:rPr>
          <w:rFonts w:hint="eastAsia" w:ascii="仿宋_GB2312" w:hAnsi="仿宋_GB2312" w:eastAsia="仿宋_GB2312" w:cs="仿宋_GB2312"/>
          <w:sz w:val="30"/>
          <w:szCs w:val="30"/>
          <w:lang w:eastAsia="zh-CN"/>
        </w:rPr>
        <w:t>印发</w:t>
      </w:r>
    </w:p>
    <w:p w14:paraId="30E39AF6">
      <w:pPr>
        <w:pStyle w:val="2"/>
        <w:rPr>
          <w:rFonts w:hint="eastAsia" w:ascii="仿宋_GB2312" w:hAnsi="仿宋_GB2312" w:eastAsia="仿宋_GB2312" w:cs="仿宋_GB2312"/>
          <w:sz w:val="32"/>
          <w:szCs w:val="32"/>
        </w:rPr>
        <w:sectPr>
          <w:footerReference r:id="rId3" w:type="default"/>
          <w:pgSz w:w="11906" w:h="16838"/>
          <w:pgMar w:top="1440" w:right="1800" w:bottom="1667" w:left="1800" w:header="851" w:footer="992" w:gutter="0"/>
          <w:pgNumType w:fmt="decimal"/>
          <w:cols w:space="425" w:num="1"/>
          <w:docGrid w:type="lines" w:linePitch="312" w:charSpace="0"/>
        </w:sect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95885</wp:posOffset>
                </wp:positionV>
                <wp:extent cx="55435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43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8pt;margin-top:7.55pt;height:0.05pt;width:436.5pt;z-index:251660288;mso-width-relative:page;mso-height-relative:page;" filled="f" stroked="t" coordsize="21600,21600" o:gfxdata="UEsDBAoAAAAAAIdO4kAAAAAAAAAAAAAAAAAEAAAAZHJzL1BLAwQUAAAACACHTuJAUppPNdYAAAAI&#10;AQAADwAAAGRycy9kb3ducmV2LnhtbE2PvU7DQBCEeyTe4bRINFFydiKF2PE5BeCOhgCi3fgW24pv&#10;z/FdfuDp2VRQ7sxo9ptic3G9OtEYOs8G0lkCirj2tuPGwPtbNV2BChHZYu+ZDHxTgE15e1Ngbv2Z&#10;X+m0jY2SEg45GmhjHHKtQ92SwzDzA7F4X350GOUcG21HPEu56/U8SZbaYcfyocWBHluq99ujMxCq&#10;DzpUP5N6knwuGk/zw9PLMxpzf5cma1CRLvEvDFd8QYdSmHb+yDao3sA0SyUp+oMsEH+1XGSgdlch&#10;A10W+v+A8hdQSwMEFAAAAAgAh07iQDmVrkr6AQAA9AMAAA4AAABkcnMvZTJvRG9jLnhtbK1TzY7T&#10;MBC+I/EOlu80bZesIGq6hy3LBcFKwANMHSex5D953KZ9CV4AiRucOHLnbVgeg7ETyrJceiAHZ+z5&#10;/Hm+z+PV1cFotpcBlbM1X8zmnEkrXKNsV/P3726ePOMMI9gGtLOy5keJ/Gr9+NFq8JVcut7pRgZG&#10;JBarwde8j9FXRYGilwZw5ry0lGxdMBBpGrqiCTAQu9HFcj6/LAYXGh+ckIi0uhmTfGIM5xC6tlVC&#10;bpzYGWnjyBqkhkiSsFce+TpX27ZSxDdtizIyXXNSGvNIh1C8TWOxXkHVBfC9ElMJcE4JDzQZUJYO&#10;PVFtIALbBfUPlVEiOHRtnAlnilFIdoRULOYPvHnbg5dZC1mN/mQ6/j9a8Xp/G5hqqBM4s2Dowu8+&#10;fvvx4fPP759ovPv6hS2SSYPHirDX9jZMM/S3ISk+tMGkP2lhh2zs8WSsPEQmaLEsn16UJXkuKHd5&#10;USbG4s9WHzC+lM6wFNRcK5tUQwX7VxhH6G9IWtaWDTV/Xi5LIgRqwZaunkLjSQbaLu9Fp1Vzo7RO&#10;OzB022sd2B5SG+RvKuEvWDpkA9iPuJxKMKh6Cc0L27B49GSQpXfBUwlGNpxpSc8oRRkZQelzkKRe&#10;20Qtc5NOOpPLo68p2rrmSJez80F1PfmSL6JIGWqGbODUuKnb7s8pvv9Y1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ppPNdYAAAAIAQAADwAAAAAAAAABACAAAAAiAAAAZHJzL2Rvd25yZXYueG1s&#10;UEsBAhQAFAAAAAgAh07iQDmVrkr6AQAA9AMAAA4AAAAAAAAAAQAgAAAAJQEAAGRycy9lMm9Eb2Mu&#10;eG1sUEsFBgAAAAAGAAYAWQEAAJEFAAAAAA==&#10;">
                <v:fill on="f" focussize="0,0"/>
                <v:stroke color="#000000" joinstyle="round"/>
                <v:imagedata o:title=""/>
                <o:lock v:ext="edit" aspectratio="f"/>
              </v:line>
            </w:pict>
          </mc:Fallback>
        </mc:AlternateContent>
      </w:r>
    </w:p>
    <w:p w14:paraId="7362C5DA">
      <w:pPr>
        <w:spacing w:line="580" w:lineRule="exact"/>
        <w:rPr>
          <w:rFonts w:hint="eastAsia" w:ascii="黑体" w:hAnsi="黑体" w:eastAsia="黑体" w:cs="黑体"/>
          <w:sz w:val="32"/>
          <w:szCs w:val="32"/>
        </w:rPr>
      </w:pPr>
    </w:p>
    <w:p w14:paraId="5C1D7F5B">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8D24DCB">
      <w:pPr>
        <w:pStyle w:val="2"/>
        <w:rPr>
          <w:rFonts w:hint="eastAsia"/>
          <w:lang w:val="en-US" w:eastAsia="zh-CN"/>
        </w:rPr>
      </w:pPr>
    </w:p>
    <w:p w14:paraId="0F622A8F">
      <w:pPr>
        <w:spacing w:line="580" w:lineRule="exact"/>
        <w:ind w:firstLine="880" w:firstLineChars="200"/>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（）月</w:t>
      </w:r>
      <w:r>
        <w:rPr>
          <w:rFonts w:hint="eastAsia" w:ascii="方正小标宋简体" w:hAnsi="方正小标宋简体" w:eastAsia="方正小标宋简体" w:cs="方正小标宋简体"/>
          <w:sz w:val="44"/>
          <w:szCs w:val="44"/>
          <w:lang w:eastAsia="zh-CN"/>
        </w:rPr>
        <w:t>企业</w:t>
      </w:r>
      <w:r>
        <w:rPr>
          <w:rFonts w:hint="eastAsia" w:ascii="方正小标宋简体" w:hAnsi="方正小标宋简体" w:eastAsia="方正小标宋简体" w:cs="方正小标宋简体"/>
          <w:sz w:val="44"/>
          <w:szCs w:val="44"/>
        </w:rPr>
        <w:t>高处作业“百日”安全专项整治行动检查统计表</w:t>
      </w:r>
    </w:p>
    <w:p w14:paraId="3178D443">
      <w:pPr>
        <w:pStyle w:val="2"/>
      </w:pPr>
    </w:p>
    <w:tbl>
      <w:tblPr>
        <w:tblStyle w:val="14"/>
        <w:tblW w:w="13225" w:type="dxa"/>
        <w:jc w:val="center"/>
        <w:tblLayout w:type="fixed"/>
        <w:tblCellMar>
          <w:top w:w="15" w:type="dxa"/>
          <w:left w:w="15" w:type="dxa"/>
          <w:bottom w:w="15" w:type="dxa"/>
          <w:right w:w="15" w:type="dxa"/>
        </w:tblCellMar>
      </w:tblPr>
      <w:tblGrid>
        <w:gridCol w:w="2727"/>
        <w:gridCol w:w="2655"/>
        <w:gridCol w:w="1512"/>
        <w:gridCol w:w="1353"/>
        <w:gridCol w:w="556"/>
        <w:gridCol w:w="1676"/>
        <w:gridCol w:w="2746"/>
      </w:tblGrid>
      <w:tr w14:paraId="4D6D41B4">
        <w:tblPrEx>
          <w:tblCellMar>
            <w:top w:w="15" w:type="dxa"/>
            <w:left w:w="15" w:type="dxa"/>
            <w:bottom w:w="15" w:type="dxa"/>
            <w:right w:w="15" w:type="dxa"/>
          </w:tblCellMar>
        </w:tblPrEx>
        <w:trPr>
          <w:trHeight w:val="1020" w:hRule="atLeast"/>
          <w:jc w:val="center"/>
        </w:trPr>
        <w:tc>
          <w:tcPr>
            <w:tcW w:w="2727"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D0592">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出动检查组（个）</w:t>
            </w:r>
          </w:p>
        </w:tc>
        <w:tc>
          <w:tcPr>
            <w:tcW w:w="5520" w:type="dxa"/>
            <w:gridSpan w:val="3"/>
            <w:tcBorders>
              <w:top w:val="single" w:color="000000" w:sz="4" w:space="0"/>
              <w:left w:val="single" w:color="000000" w:sz="4" w:space="0"/>
              <w:bottom w:val="single" w:color="000000" w:sz="4" w:space="0"/>
              <w:right w:val="single" w:color="000000" w:sz="4" w:space="0"/>
            </w:tcBorders>
            <w:noWrap w:val="0"/>
            <w:vAlign w:val="center"/>
          </w:tcPr>
          <w:p w14:paraId="5876786C">
            <w:pPr>
              <w:widowControl/>
              <w:spacing w:line="580" w:lineRule="exact"/>
              <w:jc w:val="center"/>
              <w:textAlignment w:val="center"/>
              <w:rPr>
                <w:rFonts w:hint="eastAsia" w:ascii="黑体" w:hAnsi="黑体" w:eastAsia="黑体" w:cs="黑体"/>
                <w:bCs/>
                <w:color w:val="000000"/>
                <w:kern w:val="0"/>
                <w:sz w:val="28"/>
                <w:szCs w:val="28"/>
                <w:lang w:bidi="ar"/>
              </w:rPr>
            </w:pPr>
            <w:r>
              <w:rPr>
                <w:rFonts w:hint="eastAsia" w:ascii="黑体" w:hAnsi="黑体" w:eastAsia="黑体" w:cs="黑体"/>
                <w:bCs/>
                <w:color w:val="000000"/>
                <w:kern w:val="0"/>
                <w:sz w:val="28"/>
                <w:szCs w:val="28"/>
                <w:lang w:bidi="ar"/>
              </w:rPr>
              <w:t xml:space="preserve">发现隐患（条）          </w:t>
            </w:r>
          </w:p>
          <w:p w14:paraId="1B4C0ED5">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其中：</w:t>
            </w:r>
          </w:p>
        </w:tc>
        <w:tc>
          <w:tcPr>
            <w:tcW w:w="4978" w:type="dxa"/>
            <w:gridSpan w:val="3"/>
            <w:tcBorders>
              <w:top w:val="single" w:color="000000" w:sz="4" w:space="0"/>
              <w:left w:val="single" w:color="000000" w:sz="4" w:space="0"/>
              <w:bottom w:val="single" w:color="000000" w:sz="4" w:space="0"/>
              <w:right w:val="single" w:color="000000" w:sz="4" w:space="0"/>
            </w:tcBorders>
            <w:noWrap w:val="0"/>
            <w:vAlign w:val="center"/>
          </w:tcPr>
          <w:p w14:paraId="2CD52C48">
            <w:pPr>
              <w:widowControl/>
              <w:spacing w:line="580" w:lineRule="exact"/>
              <w:jc w:val="center"/>
              <w:textAlignment w:val="center"/>
              <w:rPr>
                <w:rFonts w:hint="eastAsia" w:ascii="黑体" w:hAnsi="黑体" w:eastAsia="黑体" w:cs="黑体"/>
                <w:bCs/>
                <w:color w:val="000000"/>
                <w:kern w:val="0"/>
                <w:sz w:val="28"/>
                <w:szCs w:val="28"/>
                <w:lang w:bidi="ar"/>
              </w:rPr>
            </w:pPr>
            <w:r>
              <w:rPr>
                <w:rFonts w:hint="eastAsia" w:ascii="黑体" w:hAnsi="黑体" w:eastAsia="黑体" w:cs="黑体"/>
                <w:bCs/>
                <w:color w:val="000000"/>
                <w:kern w:val="0"/>
                <w:sz w:val="28"/>
                <w:szCs w:val="28"/>
                <w:lang w:bidi="ar"/>
              </w:rPr>
              <w:t xml:space="preserve">已整改隐患（条）         </w:t>
            </w:r>
          </w:p>
          <w:p w14:paraId="689B0FEA">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其中：</w:t>
            </w:r>
          </w:p>
        </w:tc>
      </w:tr>
      <w:tr w14:paraId="1A4E6F1C">
        <w:tblPrEx>
          <w:tblCellMar>
            <w:top w:w="15" w:type="dxa"/>
            <w:left w:w="15" w:type="dxa"/>
            <w:bottom w:w="15" w:type="dxa"/>
            <w:right w:w="15" w:type="dxa"/>
          </w:tblCellMar>
        </w:tblPrEx>
        <w:trPr>
          <w:trHeight w:val="1140" w:hRule="atLeast"/>
          <w:jc w:val="center"/>
        </w:trPr>
        <w:tc>
          <w:tcPr>
            <w:tcW w:w="2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5F248">
            <w:pPr>
              <w:widowControl/>
              <w:spacing w:line="580" w:lineRule="exact"/>
              <w:jc w:val="center"/>
              <w:rPr>
                <w:rFonts w:ascii="宋体" w:hAnsi="宋体" w:eastAsia="宋体" w:cs="宋体"/>
                <w:b/>
                <w:color w:val="000000"/>
                <w:sz w:val="28"/>
                <w:szCs w:val="28"/>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C819B5F">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一般隐患（条）</w:t>
            </w:r>
          </w:p>
        </w:tc>
        <w:tc>
          <w:tcPr>
            <w:tcW w:w="2865" w:type="dxa"/>
            <w:gridSpan w:val="2"/>
            <w:tcBorders>
              <w:top w:val="single" w:color="000000" w:sz="4" w:space="0"/>
              <w:left w:val="single" w:color="000000" w:sz="4" w:space="0"/>
              <w:bottom w:val="single" w:color="000000" w:sz="4" w:space="0"/>
              <w:right w:val="single" w:color="000000" w:sz="4" w:space="0"/>
            </w:tcBorders>
            <w:noWrap w:val="0"/>
            <w:vAlign w:val="center"/>
          </w:tcPr>
          <w:p w14:paraId="7B5D5C07">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重大隐患（条）</w:t>
            </w: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3958A492">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一般隐患（条）</w:t>
            </w:r>
          </w:p>
        </w:tc>
        <w:tc>
          <w:tcPr>
            <w:tcW w:w="2746" w:type="dxa"/>
            <w:tcBorders>
              <w:top w:val="single" w:color="000000" w:sz="4" w:space="0"/>
              <w:left w:val="single" w:color="000000" w:sz="4" w:space="0"/>
              <w:bottom w:val="single" w:color="000000" w:sz="4" w:space="0"/>
              <w:right w:val="single" w:color="000000" w:sz="4" w:space="0"/>
            </w:tcBorders>
            <w:noWrap w:val="0"/>
            <w:vAlign w:val="center"/>
          </w:tcPr>
          <w:p w14:paraId="525F1B9F">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重大隐患（条）</w:t>
            </w:r>
          </w:p>
        </w:tc>
      </w:tr>
      <w:tr w14:paraId="52DB271B">
        <w:tblPrEx>
          <w:tblCellMar>
            <w:top w:w="15" w:type="dxa"/>
            <w:left w:w="15" w:type="dxa"/>
            <w:bottom w:w="15" w:type="dxa"/>
            <w:right w:w="15" w:type="dxa"/>
          </w:tblCellMar>
        </w:tblPrEx>
        <w:trPr>
          <w:trHeight w:val="1276" w:hRule="atLeast"/>
          <w:jc w:val="center"/>
        </w:trPr>
        <w:tc>
          <w:tcPr>
            <w:tcW w:w="2727" w:type="dxa"/>
            <w:tcBorders>
              <w:top w:val="single" w:color="000000" w:sz="4" w:space="0"/>
              <w:left w:val="single" w:color="000000" w:sz="4" w:space="0"/>
              <w:bottom w:val="single" w:color="000000" w:sz="4" w:space="0"/>
              <w:right w:val="single" w:color="000000" w:sz="4" w:space="0"/>
            </w:tcBorders>
            <w:noWrap w:val="0"/>
            <w:vAlign w:val="center"/>
          </w:tcPr>
          <w:p w14:paraId="70FC5B9E">
            <w:pPr>
              <w:widowControl/>
              <w:spacing w:line="580" w:lineRule="exact"/>
              <w:rPr>
                <w:rFonts w:ascii="宋体" w:hAnsi="宋体" w:eastAsia="宋体" w:cs="宋体"/>
                <w:color w:val="000000"/>
                <w:sz w:val="22"/>
              </w:rPr>
            </w:pP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D67AA8A">
            <w:pPr>
              <w:widowControl/>
              <w:spacing w:line="580" w:lineRule="exact"/>
              <w:rPr>
                <w:rFonts w:ascii="宋体" w:hAnsi="宋体" w:eastAsia="宋体" w:cs="宋体"/>
                <w:color w:val="000000"/>
                <w:sz w:val="22"/>
              </w:rPr>
            </w:pPr>
          </w:p>
        </w:tc>
        <w:tc>
          <w:tcPr>
            <w:tcW w:w="2865" w:type="dxa"/>
            <w:gridSpan w:val="2"/>
            <w:tcBorders>
              <w:top w:val="single" w:color="000000" w:sz="4" w:space="0"/>
              <w:left w:val="single" w:color="000000" w:sz="4" w:space="0"/>
              <w:bottom w:val="single" w:color="000000" w:sz="4" w:space="0"/>
              <w:right w:val="single" w:color="000000" w:sz="4" w:space="0"/>
            </w:tcBorders>
            <w:noWrap w:val="0"/>
            <w:vAlign w:val="center"/>
          </w:tcPr>
          <w:p w14:paraId="55EB5E6B">
            <w:pPr>
              <w:widowControl/>
              <w:spacing w:line="580" w:lineRule="exact"/>
              <w:rPr>
                <w:rFonts w:ascii="宋体" w:hAnsi="宋体" w:eastAsia="宋体" w:cs="宋体"/>
                <w:color w:val="000000"/>
                <w:sz w:val="22"/>
              </w:rPr>
            </w:pPr>
          </w:p>
        </w:tc>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343F9BAD">
            <w:pPr>
              <w:widowControl/>
              <w:spacing w:line="580" w:lineRule="exact"/>
              <w:rPr>
                <w:rFonts w:ascii="宋体" w:hAnsi="宋体" w:eastAsia="宋体" w:cs="宋体"/>
                <w:color w:val="000000"/>
                <w:sz w:val="22"/>
              </w:rPr>
            </w:pPr>
          </w:p>
        </w:tc>
        <w:tc>
          <w:tcPr>
            <w:tcW w:w="2746" w:type="dxa"/>
            <w:tcBorders>
              <w:top w:val="single" w:color="000000" w:sz="4" w:space="0"/>
              <w:left w:val="single" w:color="000000" w:sz="4" w:space="0"/>
              <w:bottom w:val="single" w:color="000000" w:sz="4" w:space="0"/>
              <w:right w:val="single" w:color="000000" w:sz="4" w:space="0"/>
            </w:tcBorders>
            <w:noWrap w:val="0"/>
            <w:vAlign w:val="center"/>
          </w:tcPr>
          <w:p w14:paraId="06C6A901">
            <w:pPr>
              <w:widowControl/>
              <w:spacing w:line="580" w:lineRule="exact"/>
              <w:rPr>
                <w:rFonts w:ascii="宋体" w:hAnsi="宋体" w:eastAsia="宋体" w:cs="宋体"/>
                <w:color w:val="000000"/>
                <w:sz w:val="22"/>
              </w:rPr>
            </w:pPr>
          </w:p>
        </w:tc>
      </w:tr>
      <w:tr w14:paraId="4C0ED5DB">
        <w:tblPrEx>
          <w:tblCellMar>
            <w:top w:w="15" w:type="dxa"/>
            <w:left w:w="15" w:type="dxa"/>
            <w:bottom w:w="15" w:type="dxa"/>
            <w:right w:w="15" w:type="dxa"/>
          </w:tblCellMar>
        </w:tblPrEx>
        <w:trPr>
          <w:gridAfter w:val="2"/>
          <w:wAfter w:w="4422" w:type="dxa"/>
          <w:trHeight w:val="780" w:hRule="atLeast"/>
          <w:jc w:val="center"/>
        </w:trPr>
        <w:tc>
          <w:tcPr>
            <w:tcW w:w="2727" w:type="dxa"/>
            <w:noWrap w:val="0"/>
            <w:vAlign w:val="center"/>
          </w:tcPr>
          <w:p w14:paraId="30825D0A">
            <w:pPr>
              <w:widowControl/>
              <w:spacing w:line="580" w:lineRule="exact"/>
              <w:jc w:val="left"/>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填报单位：</w:t>
            </w:r>
          </w:p>
        </w:tc>
        <w:tc>
          <w:tcPr>
            <w:tcW w:w="4167" w:type="dxa"/>
            <w:gridSpan w:val="2"/>
            <w:noWrap w:val="0"/>
            <w:vAlign w:val="center"/>
          </w:tcPr>
          <w:p w14:paraId="58A9242E">
            <w:pPr>
              <w:widowControl/>
              <w:spacing w:line="580" w:lineRule="exact"/>
              <w:rPr>
                <w:rFonts w:ascii="黑体" w:hAnsi="黑体" w:eastAsia="黑体" w:cs="黑体"/>
                <w:color w:val="000000"/>
                <w:sz w:val="28"/>
                <w:szCs w:val="28"/>
              </w:rPr>
            </w:pPr>
          </w:p>
        </w:tc>
        <w:tc>
          <w:tcPr>
            <w:tcW w:w="1909" w:type="dxa"/>
            <w:gridSpan w:val="2"/>
            <w:noWrap w:val="0"/>
            <w:vAlign w:val="center"/>
          </w:tcPr>
          <w:p w14:paraId="39D762E5">
            <w:pPr>
              <w:widowControl/>
              <w:spacing w:line="580" w:lineRule="exact"/>
              <w:rPr>
                <w:rFonts w:ascii="黑体" w:hAnsi="黑体" w:eastAsia="黑体" w:cs="黑体"/>
                <w:color w:val="000000"/>
                <w:sz w:val="28"/>
                <w:szCs w:val="28"/>
              </w:rPr>
            </w:pPr>
          </w:p>
        </w:tc>
      </w:tr>
    </w:tbl>
    <w:p w14:paraId="6F47E276">
      <w:pPr>
        <w:spacing w:line="580" w:lineRule="exact"/>
        <w:rPr>
          <w:rFonts w:ascii="仿宋_GB2312" w:hAnsi="仿宋_GB2312" w:eastAsia="仿宋_GB2312" w:cs="仿宋_GB2312"/>
          <w:sz w:val="32"/>
          <w:szCs w:val="32"/>
        </w:rPr>
      </w:pPr>
    </w:p>
    <w:p w14:paraId="59608743">
      <w:pPr>
        <w:pStyle w:val="2"/>
        <w:rPr>
          <w:rFonts w:ascii="仿宋_GB2312" w:hAnsi="仿宋_GB2312" w:eastAsia="仿宋_GB2312" w:cs="仿宋_GB2312"/>
          <w:sz w:val="32"/>
          <w:szCs w:val="32"/>
        </w:rPr>
      </w:pPr>
    </w:p>
    <w:p w14:paraId="315FEA2B">
      <w:pPr>
        <w:rPr>
          <w:rFonts w:ascii="仿宋_GB2312" w:hAnsi="仿宋_GB2312" w:eastAsia="仿宋_GB2312" w:cs="仿宋_GB2312"/>
          <w:sz w:val="32"/>
          <w:szCs w:val="32"/>
        </w:rPr>
        <w:sectPr>
          <w:footerReference r:id="rId4" w:type="default"/>
          <w:pgSz w:w="16838" w:h="11906" w:orient="landscape"/>
          <w:pgMar w:top="1531" w:right="1797" w:bottom="1531" w:left="1797" w:header="851" w:footer="992" w:gutter="0"/>
          <w:pgNumType w:fmt="numberInDash"/>
          <w:cols w:space="720" w:num="1"/>
          <w:docGrid w:type="lines" w:linePitch="315" w:charSpace="0"/>
        </w:sectPr>
      </w:pPr>
    </w:p>
    <w:p w14:paraId="165FFDB4">
      <w:pPr>
        <w:spacing w:line="580" w:lineRule="exact"/>
        <w:rPr>
          <w:rFonts w:hint="eastAsia" w:ascii="黑体" w:hAnsi="黑体" w:eastAsia="黑体" w:cs="黑体"/>
          <w:sz w:val="32"/>
          <w:szCs w:val="32"/>
        </w:rPr>
      </w:pPr>
    </w:p>
    <w:p w14:paraId="3D096511">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 xml:space="preserve">2 </w:t>
      </w:r>
    </w:p>
    <w:p w14:paraId="0B82EBA1">
      <w:pPr>
        <w:pStyle w:val="2"/>
        <w:rPr>
          <w:rFonts w:hint="default"/>
          <w:lang w:val="en-US" w:eastAsia="zh-CN"/>
        </w:rPr>
      </w:pPr>
    </w:p>
    <w:p w14:paraId="73754D67">
      <w:pPr>
        <w:spacing w:line="580" w:lineRule="exact"/>
        <w:ind w:firstLine="8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（）月高处作业“百日”安全专项整治行动检查统计表</w:t>
      </w:r>
    </w:p>
    <w:p w14:paraId="42DA106D">
      <w:pPr>
        <w:pStyle w:val="2"/>
      </w:pPr>
    </w:p>
    <w:tbl>
      <w:tblPr>
        <w:tblStyle w:val="14"/>
        <w:tblW w:w="14000" w:type="dxa"/>
        <w:jc w:val="center"/>
        <w:tblLayout w:type="fixed"/>
        <w:tblCellMar>
          <w:top w:w="15" w:type="dxa"/>
          <w:left w:w="15" w:type="dxa"/>
          <w:bottom w:w="15" w:type="dxa"/>
          <w:right w:w="15" w:type="dxa"/>
        </w:tblCellMar>
      </w:tblPr>
      <w:tblGrid>
        <w:gridCol w:w="1732"/>
        <w:gridCol w:w="2243"/>
        <w:gridCol w:w="1250"/>
        <w:gridCol w:w="1296"/>
        <w:gridCol w:w="1257"/>
        <w:gridCol w:w="1256"/>
        <w:gridCol w:w="966"/>
        <w:gridCol w:w="1025"/>
        <w:gridCol w:w="1000"/>
        <w:gridCol w:w="1975"/>
      </w:tblGrid>
      <w:tr w14:paraId="6A3727FD">
        <w:tblPrEx>
          <w:tblCellMar>
            <w:top w:w="15" w:type="dxa"/>
            <w:left w:w="15" w:type="dxa"/>
            <w:bottom w:w="15" w:type="dxa"/>
            <w:right w:w="15" w:type="dxa"/>
          </w:tblCellMar>
        </w:tblPrEx>
        <w:trPr>
          <w:trHeight w:val="1020" w:hRule="atLeast"/>
          <w:jc w:val="center"/>
        </w:trPr>
        <w:tc>
          <w:tcPr>
            <w:tcW w:w="1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00423E">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出动检查组（个）</w:t>
            </w:r>
          </w:p>
        </w:tc>
        <w:tc>
          <w:tcPr>
            <w:tcW w:w="22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BEDEA">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检查企业或项目（个）</w:t>
            </w:r>
          </w:p>
        </w:tc>
        <w:tc>
          <w:tcPr>
            <w:tcW w:w="2546" w:type="dxa"/>
            <w:gridSpan w:val="2"/>
            <w:tcBorders>
              <w:top w:val="single" w:color="000000" w:sz="4" w:space="0"/>
              <w:left w:val="single" w:color="000000" w:sz="4" w:space="0"/>
              <w:bottom w:val="single" w:color="000000" w:sz="4" w:space="0"/>
              <w:right w:val="single" w:color="000000" w:sz="4" w:space="0"/>
            </w:tcBorders>
            <w:noWrap w:val="0"/>
            <w:vAlign w:val="center"/>
          </w:tcPr>
          <w:p w14:paraId="2217EE51">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发现隐患（条）            其中：</w:t>
            </w:r>
          </w:p>
        </w:tc>
        <w:tc>
          <w:tcPr>
            <w:tcW w:w="2513" w:type="dxa"/>
            <w:gridSpan w:val="2"/>
            <w:tcBorders>
              <w:top w:val="single" w:color="000000" w:sz="4" w:space="0"/>
              <w:left w:val="single" w:color="000000" w:sz="4" w:space="0"/>
              <w:bottom w:val="single" w:color="000000" w:sz="4" w:space="0"/>
              <w:right w:val="single" w:color="000000" w:sz="4" w:space="0"/>
            </w:tcBorders>
            <w:noWrap w:val="0"/>
            <w:vAlign w:val="center"/>
          </w:tcPr>
          <w:p w14:paraId="01DB1262">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已整改隐患（条）         其中：</w:t>
            </w:r>
          </w:p>
        </w:tc>
        <w:tc>
          <w:tcPr>
            <w:tcW w:w="2991" w:type="dxa"/>
            <w:gridSpan w:val="3"/>
            <w:tcBorders>
              <w:top w:val="single" w:color="000000" w:sz="4" w:space="0"/>
              <w:left w:val="single" w:color="000000" w:sz="4" w:space="0"/>
              <w:bottom w:val="single" w:color="000000" w:sz="4" w:space="0"/>
              <w:right w:val="single" w:color="000000" w:sz="4" w:space="0"/>
            </w:tcBorders>
            <w:noWrap w:val="0"/>
            <w:vAlign w:val="center"/>
          </w:tcPr>
          <w:p w14:paraId="42811778">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立案查处（个）</w:t>
            </w:r>
          </w:p>
        </w:tc>
        <w:tc>
          <w:tcPr>
            <w:tcW w:w="19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6E14B">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事故提级调查（起）</w:t>
            </w:r>
          </w:p>
        </w:tc>
      </w:tr>
      <w:tr w14:paraId="1A3EBBD4">
        <w:tblPrEx>
          <w:tblCellMar>
            <w:top w:w="15" w:type="dxa"/>
            <w:left w:w="15" w:type="dxa"/>
            <w:bottom w:w="15" w:type="dxa"/>
            <w:right w:w="15" w:type="dxa"/>
          </w:tblCellMar>
        </w:tblPrEx>
        <w:trPr>
          <w:trHeight w:val="1140" w:hRule="atLeast"/>
          <w:jc w:val="center"/>
        </w:trPr>
        <w:tc>
          <w:tcPr>
            <w:tcW w:w="1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19D70">
            <w:pPr>
              <w:widowControl/>
              <w:spacing w:line="580" w:lineRule="exact"/>
              <w:jc w:val="center"/>
              <w:rPr>
                <w:rFonts w:ascii="宋体" w:hAnsi="宋体" w:eastAsia="宋体" w:cs="宋体"/>
                <w:b/>
                <w:color w:val="000000"/>
                <w:sz w:val="28"/>
                <w:szCs w:val="28"/>
              </w:rPr>
            </w:pPr>
          </w:p>
        </w:tc>
        <w:tc>
          <w:tcPr>
            <w:tcW w:w="2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26F59">
            <w:pPr>
              <w:widowControl/>
              <w:spacing w:line="580" w:lineRule="exact"/>
              <w:jc w:val="center"/>
              <w:rPr>
                <w:rFonts w:ascii="宋体" w:hAnsi="宋体" w:eastAsia="宋体" w:cs="宋体"/>
                <w:b/>
                <w:color w:val="000000"/>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86C9FCC">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一般隐患（条）</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666AD05">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重大隐患（条）</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78CCB7D7">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一般隐患（条）</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E95DD4F">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重大隐患（条）</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CD75138">
            <w:pPr>
              <w:widowControl/>
              <w:spacing w:line="580" w:lineRule="exact"/>
              <w:jc w:val="center"/>
              <w:textAlignment w:val="center"/>
              <w:rPr>
                <w:rFonts w:ascii="黑体" w:hAnsi="黑体" w:eastAsia="黑体" w:cs="黑体"/>
                <w:bCs/>
                <w:color w:val="000000"/>
                <w:kern w:val="0"/>
                <w:sz w:val="28"/>
                <w:szCs w:val="28"/>
                <w:lang w:bidi="ar"/>
              </w:rPr>
            </w:pPr>
            <w:r>
              <w:rPr>
                <w:rFonts w:hint="eastAsia" w:ascii="黑体" w:hAnsi="黑体" w:eastAsia="黑体" w:cs="黑体"/>
                <w:bCs/>
                <w:color w:val="000000"/>
                <w:kern w:val="0"/>
                <w:sz w:val="28"/>
                <w:szCs w:val="28"/>
                <w:lang w:bidi="ar"/>
              </w:rPr>
              <w:t>追责</w:t>
            </w:r>
          </w:p>
          <w:p w14:paraId="6B77F45E">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问责</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2366FCD">
            <w:pPr>
              <w:widowControl/>
              <w:spacing w:line="580" w:lineRule="exact"/>
              <w:jc w:val="center"/>
              <w:textAlignment w:val="center"/>
              <w:rPr>
                <w:rFonts w:ascii="黑体" w:hAnsi="黑体" w:eastAsia="黑体" w:cs="黑体"/>
                <w:bCs/>
                <w:color w:val="000000"/>
                <w:kern w:val="0"/>
                <w:sz w:val="28"/>
                <w:szCs w:val="28"/>
                <w:lang w:bidi="ar"/>
              </w:rPr>
            </w:pPr>
            <w:r>
              <w:rPr>
                <w:rFonts w:hint="eastAsia" w:ascii="黑体" w:hAnsi="黑体" w:eastAsia="黑体" w:cs="黑体"/>
                <w:bCs/>
                <w:color w:val="000000"/>
                <w:kern w:val="0"/>
                <w:sz w:val="28"/>
                <w:szCs w:val="28"/>
                <w:lang w:bidi="ar"/>
              </w:rPr>
              <w:t>公开</w:t>
            </w:r>
          </w:p>
          <w:p w14:paraId="6E599D3F">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曝光</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90F0814">
            <w:pPr>
              <w:widowControl/>
              <w:spacing w:line="580" w:lineRule="exact"/>
              <w:jc w:val="center"/>
              <w:textAlignment w:val="center"/>
              <w:rPr>
                <w:rFonts w:ascii="黑体" w:hAnsi="黑体" w:eastAsia="黑体" w:cs="黑体"/>
                <w:bCs/>
                <w:color w:val="000000"/>
                <w:kern w:val="0"/>
                <w:sz w:val="28"/>
                <w:szCs w:val="28"/>
                <w:lang w:bidi="ar"/>
              </w:rPr>
            </w:pPr>
            <w:r>
              <w:rPr>
                <w:rFonts w:hint="eastAsia" w:ascii="黑体" w:hAnsi="黑体" w:eastAsia="黑体" w:cs="黑体"/>
                <w:bCs/>
                <w:color w:val="000000"/>
                <w:kern w:val="0"/>
                <w:sz w:val="28"/>
                <w:szCs w:val="28"/>
                <w:lang w:bidi="ar"/>
              </w:rPr>
              <w:t>一案</w:t>
            </w:r>
          </w:p>
          <w:p w14:paraId="151F7238">
            <w:pPr>
              <w:widowControl/>
              <w:spacing w:line="58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双罚</w:t>
            </w:r>
          </w:p>
        </w:tc>
        <w:tc>
          <w:tcPr>
            <w:tcW w:w="19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087F5">
            <w:pPr>
              <w:widowControl/>
              <w:spacing w:line="580" w:lineRule="exact"/>
              <w:jc w:val="center"/>
              <w:rPr>
                <w:rFonts w:ascii="宋体" w:hAnsi="宋体" w:eastAsia="宋体" w:cs="宋体"/>
                <w:b/>
                <w:color w:val="000000"/>
                <w:sz w:val="28"/>
                <w:szCs w:val="28"/>
              </w:rPr>
            </w:pPr>
          </w:p>
        </w:tc>
      </w:tr>
      <w:tr w14:paraId="7186582F">
        <w:tblPrEx>
          <w:tblCellMar>
            <w:top w:w="15" w:type="dxa"/>
            <w:left w:w="15" w:type="dxa"/>
            <w:bottom w:w="15" w:type="dxa"/>
            <w:right w:w="15" w:type="dxa"/>
          </w:tblCellMar>
        </w:tblPrEx>
        <w:trPr>
          <w:trHeight w:val="1276" w:hRule="atLeast"/>
          <w:jc w:val="center"/>
        </w:trPr>
        <w:tc>
          <w:tcPr>
            <w:tcW w:w="1732" w:type="dxa"/>
            <w:tcBorders>
              <w:top w:val="single" w:color="000000" w:sz="4" w:space="0"/>
              <w:left w:val="single" w:color="000000" w:sz="4" w:space="0"/>
              <w:bottom w:val="single" w:color="000000" w:sz="4" w:space="0"/>
              <w:right w:val="single" w:color="000000" w:sz="4" w:space="0"/>
            </w:tcBorders>
            <w:noWrap w:val="0"/>
            <w:vAlign w:val="center"/>
          </w:tcPr>
          <w:p w14:paraId="71D5F8B3">
            <w:pPr>
              <w:widowControl/>
              <w:spacing w:line="580" w:lineRule="exact"/>
              <w:rPr>
                <w:rFonts w:ascii="宋体" w:hAnsi="宋体" w:eastAsia="宋体" w:cs="宋体"/>
                <w:color w:val="000000"/>
                <w:sz w:val="22"/>
              </w:rPr>
            </w:pPr>
          </w:p>
        </w:tc>
        <w:tc>
          <w:tcPr>
            <w:tcW w:w="2243" w:type="dxa"/>
            <w:tcBorders>
              <w:top w:val="single" w:color="000000" w:sz="4" w:space="0"/>
              <w:left w:val="single" w:color="000000" w:sz="4" w:space="0"/>
              <w:bottom w:val="single" w:color="000000" w:sz="4" w:space="0"/>
              <w:right w:val="single" w:color="000000" w:sz="4" w:space="0"/>
            </w:tcBorders>
            <w:noWrap w:val="0"/>
            <w:vAlign w:val="center"/>
          </w:tcPr>
          <w:p w14:paraId="16E40DD4">
            <w:pPr>
              <w:widowControl/>
              <w:spacing w:line="580" w:lineRule="exact"/>
              <w:rPr>
                <w:rFonts w:ascii="宋体" w:hAnsi="宋体" w:eastAsia="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1768E7A">
            <w:pPr>
              <w:widowControl/>
              <w:spacing w:line="580" w:lineRule="exact"/>
              <w:rPr>
                <w:rFonts w:ascii="宋体" w:hAnsi="宋体" w:eastAsia="宋体" w:cs="宋体"/>
                <w:color w:val="000000"/>
                <w:sz w:val="22"/>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1D769CA">
            <w:pPr>
              <w:widowControl/>
              <w:spacing w:line="580" w:lineRule="exact"/>
              <w:rPr>
                <w:rFonts w:ascii="宋体" w:hAnsi="宋体" w:eastAsia="宋体" w:cs="宋体"/>
                <w:color w:val="000000"/>
                <w:sz w:val="22"/>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57A0F809">
            <w:pPr>
              <w:widowControl/>
              <w:spacing w:line="580" w:lineRule="exact"/>
              <w:rPr>
                <w:rFonts w:ascii="宋体" w:hAnsi="宋体" w:eastAsia="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5A3EB11">
            <w:pPr>
              <w:widowControl/>
              <w:spacing w:line="580" w:lineRule="exact"/>
              <w:rPr>
                <w:rFonts w:ascii="宋体" w:hAnsi="宋体" w:eastAsia="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1B3691E">
            <w:pPr>
              <w:widowControl/>
              <w:spacing w:line="580" w:lineRule="exact"/>
              <w:rPr>
                <w:rFonts w:ascii="宋体" w:hAnsi="宋体" w:eastAsia="宋体" w:cs="宋体"/>
                <w:color w:val="000000"/>
                <w:sz w:val="22"/>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0AD9F9F">
            <w:pPr>
              <w:widowControl/>
              <w:spacing w:line="580" w:lineRule="exact"/>
              <w:rPr>
                <w:rFonts w:ascii="宋体" w:hAnsi="宋体" w:eastAsia="宋体" w:cs="宋体"/>
                <w:color w:val="000000"/>
                <w:sz w:val="22"/>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81062EF">
            <w:pPr>
              <w:widowControl/>
              <w:spacing w:line="580" w:lineRule="exact"/>
              <w:rPr>
                <w:rFonts w:ascii="宋体" w:hAnsi="宋体" w:eastAsia="宋体" w:cs="宋体"/>
                <w:color w:val="000000"/>
                <w:sz w:val="22"/>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6A718E91">
            <w:pPr>
              <w:widowControl/>
              <w:spacing w:line="580" w:lineRule="exact"/>
              <w:rPr>
                <w:rFonts w:ascii="宋体" w:hAnsi="宋体" w:eastAsia="宋体" w:cs="宋体"/>
                <w:color w:val="000000"/>
                <w:sz w:val="22"/>
              </w:rPr>
            </w:pPr>
          </w:p>
        </w:tc>
      </w:tr>
      <w:tr w14:paraId="44EFF493">
        <w:tblPrEx>
          <w:tblCellMar>
            <w:top w:w="15" w:type="dxa"/>
            <w:left w:w="15" w:type="dxa"/>
            <w:bottom w:w="15" w:type="dxa"/>
            <w:right w:w="15" w:type="dxa"/>
          </w:tblCellMar>
        </w:tblPrEx>
        <w:trPr>
          <w:trHeight w:val="780" w:hRule="atLeast"/>
          <w:jc w:val="center"/>
        </w:trPr>
        <w:tc>
          <w:tcPr>
            <w:tcW w:w="1732" w:type="dxa"/>
            <w:noWrap w:val="0"/>
            <w:vAlign w:val="center"/>
          </w:tcPr>
          <w:p w14:paraId="5D97426A">
            <w:pPr>
              <w:widowControl/>
              <w:spacing w:line="580" w:lineRule="exact"/>
              <w:jc w:val="left"/>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填报单位：</w:t>
            </w:r>
          </w:p>
        </w:tc>
        <w:tc>
          <w:tcPr>
            <w:tcW w:w="4789" w:type="dxa"/>
            <w:gridSpan w:val="3"/>
            <w:noWrap w:val="0"/>
            <w:vAlign w:val="center"/>
          </w:tcPr>
          <w:p w14:paraId="00E981A9">
            <w:pPr>
              <w:widowControl/>
              <w:spacing w:line="580" w:lineRule="exact"/>
              <w:jc w:val="center"/>
              <w:rPr>
                <w:rFonts w:ascii="黑体" w:hAnsi="黑体" w:eastAsia="黑体" w:cs="黑体"/>
                <w:color w:val="000000"/>
                <w:sz w:val="28"/>
                <w:szCs w:val="28"/>
              </w:rPr>
            </w:pPr>
          </w:p>
        </w:tc>
        <w:tc>
          <w:tcPr>
            <w:tcW w:w="1257" w:type="dxa"/>
            <w:noWrap w:val="0"/>
            <w:vAlign w:val="center"/>
          </w:tcPr>
          <w:p w14:paraId="7B77A613">
            <w:pPr>
              <w:widowControl/>
              <w:spacing w:line="580" w:lineRule="exact"/>
              <w:rPr>
                <w:rFonts w:ascii="黑体" w:hAnsi="黑体" w:eastAsia="黑体" w:cs="黑体"/>
                <w:color w:val="000000"/>
                <w:sz w:val="28"/>
                <w:szCs w:val="28"/>
              </w:rPr>
            </w:pPr>
          </w:p>
        </w:tc>
        <w:tc>
          <w:tcPr>
            <w:tcW w:w="1256" w:type="dxa"/>
            <w:noWrap w:val="0"/>
            <w:vAlign w:val="center"/>
          </w:tcPr>
          <w:p w14:paraId="781CCCD5">
            <w:pPr>
              <w:widowControl/>
              <w:spacing w:line="580" w:lineRule="exact"/>
              <w:rPr>
                <w:rFonts w:ascii="黑体" w:hAnsi="黑体" w:eastAsia="黑体" w:cs="黑体"/>
                <w:color w:val="000000"/>
                <w:sz w:val="28"/>
                <w:szCs w:val="28"/>
              </w:rPr>
            </w:pPr>
          </w:p>
        </w:tc>
        <w:tc>
          <w:tcPr>
            <w:tcW w:w="966" w:type="dxa"/>
            <w:noWrap w:val="0"/>
            <w:vAlign w:val="center"/>
          </w:tcPr>
          <w:p w14:paraId="1A8717BE">
            <w:pPr>
              <w:widowControl/>
              <w:spacing w:line="580" w:lineRule="exact"/>
              <w:rPr>
                <w:rFonts w:ascii="黑体" w:hAnsi="黑体" w:eastAsia="黑体" w:cs="黑体"/>
                <w:color w:val="000000"/>
                <w:sz w:val="28"/>
                <w:szCs w:val="28"/>
              </w:rPr>
            </w:pPr>
          </w:p>
        </w:tc>
        <w:tc>
          <w:tcPr>
            <w:tcW w:w="4000" w:type="dxa"/>
            <w:gridSpan w:val="3"/>
            <w:noWrap w:val="0"/>
            <w:vAlign w:val="center"/>
          </w:tcPr>
          <w:p w14:paraId="155C1874">
            <w:pPr>
              <w:widowControl/>
              <w:spacing w:line="580" w:lineRule="exact"/>
              <w:jc w:val="left"/>
              <w:rPr>
                <w:rFonts w:ascii="黑体" w:hAnsi="黑体" w:eastAsia="黑体" w:cs="黑体"/>
                <w:color w:val="000000"/>
                <w:sz w:val="28"/>
                <w:szCs w:val="28"/>
              </w:rPr>
            </w:pPr>
            <w:r>
              <w:rPr>
                <w:rFonts w:hint="eastAsia" w:ascii="黑体" w:hAnsi="黑体" w:eastAsia="黑体" w:cs="黑体"/>
                <w:color w:val="000000"/>
                <w:kern w:val="0"/>
                <w:sz w:val="28"/>
                <w:szCs w:val="28"/>
                <w:lang w:bidi="ar"/>
              </w:rPr>
              <w:t>填报时间：</w:t>
            </w:r>
          </w:p>
        </w:tc>
      </w:tr>
    </w:tbl>
    <w:p w14:paraId="6223BC34">
      <w:pPr>
        <w:pStyle w:val="2"/>
        <w:rPr>
          <w:rFonts w:hint="eastAsia" w:ascii="仿宋_GB2312" w:hAnsi="仿宋_GB2312" w:eastAsia="仿宋_GB2312" w:cs="仿宋_GB2312"/>
          <w:sz w:val="32"/>
          <w:szCs w:val="32"/>
          <w:lang w:val="en-US" w:eastAsia="zh-CN"/>
        </w:rPr>
      </w:pPr>
    </w:p>
    <w:sectPr>
      <w:footerReference r:id="rId5" w:type="default"/>
      <w:pgSz w:w="16838" w:h="11906" w:orient="landscape"/>
      <w:pgMar w:top="1800" w:right="1440" w:bottom="1800" w:left="166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7EA7">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843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9D769">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TcwNDBiMjNjNWZjNjkyYzliNjhjMGYzM2M4MzgifQ=="/>
  </w:docVars>
  <w:rsids>
    <w:rsidRoot w:val="033433B0"/>
    <w:rsid w:val="02557439"/>
    <w:rsid w:val="033433B0"/>
    <w:rsid w:val="05CA44E8"/>
    <w:rsid w:val="065A7D2B"/>
    <w:rsid w:val="06B5505E"/>
    <w:rsid w:val="06F36EEC"/>
    <w:rsid w:val="08D835F0"/>
    <w:rsid w:val="09815C56"/>
    <w:rsid w:val="09D0587C"/>
    <w:rsid w:val="0D035DE3"/>
    <w:rsid w:val="0EB83A78"/>
    <w:rsid w:val="11CF1096"/>
    <w:rsid w:val="11ED44F6"/>
    <w:rsid w:val="16306CB4"/>
    <w:rsid w:val="17023688"/>
    <w:rsid w:val="1AD043FC"/>
    <w:rsid w:val="1C874394"/>
    <w:rsid w:val="1DCD4C8E"/>
    <w:rsid w:val="1E166D34"/>
    <w:rsid w:val="1E6D77C6"/>
    <w:rsid w:val="217841BB"/>
    <w:rsid w:val="21A70879"/>
    <w:rsid w:val="25895CF9"/>
    <w:rsid w:val="25C46928"/>
    <w:rsid w:val="25D75FFF"/>
    <w:rsid w:val="299824CF"/>
    <w:rsid w:val="29CD010F"/>
    <w:rsid w:val="2AA902C1"/>
    <w:rsid w:val="2BE55012"/>
    <w:rsid w:val="2D8572C2"/>
    <w:rsid w:val="2EC60C00"/>
    <w:rsid w:val="30D663E9"/>
    <w:rsid w:val="31634B0B"/>
    <w:rsid w:val="3286627C"/>
    <w:rsid w:val="34850A80"/>
    <w:rsid w:val="34DD3524"/>
    <w:rsid w:val="357902B9"/>
    <w:rsid w:val="35C14BB5"/>
    <w:rsid w:val="370A7D19"/>
    <w:rsid w:val="37E369CE"/>
    <w:rsid w:val="39E73198"/>
    <w:rsid w:val="3A9B23D7"/>
    <w:rsid w:val="3B635894"/>
    <w:rsid w:val="3C0E030A"/>
    <w:rsid w:val="3EB23990"/>
    <w:rsid w:val="43536642"/>
    <w:rsid w:val="43A04842"/>
    <w:rsid w:val="4B3756F4"/>
    <w:rsid w:val="4B5F13B8"/>
    <w:rsid w:val="4E1B7317"/>
    <w:rsid w:val="4EF656CF"/>
    <w:rsid w:val="51C07848"/>
    <w:rsid w:val="5372544F"/>
    <w:rsid w:val="559367FE"/>
    <w:rsid w:val="55AA5EB9"/>
    <w:rsid w:val="5C6D3A07"/>
    <w:rsid w:val="5FD11E9D"/>
    <w:rsid w:val="605D09EF"/>
    <w:rsid w:val="606F769D"/>
    <w:rsid w:val="62BF7188"/>
    <w:rsid w:val="663520A3"/>
    <w:rsid w:val="6A2F5543"/>
    <w:rsid w:val="6AC46303"/>
    <w:rsid w:val="6BC06917"/>
    <w:rsid w:val="6E972ABE"/>
    <w:rsid w:val="6EE05917"/>
    <w:rsid w:val="6F7D04C7"/>
    <w:rsid w:val="70A10FBF"/>
    <w:rsid w:val="71C106DA"/>
    <w:rsid w:val="71CF7E6C"/>
    <w:rsid w:val="75597714"/>
    <w:rsid w:val="75664928"/>
    <w:rsid w:val="759D6863"/>
    <w:rsid w:val="78F11C4C"/>
    <w:rsid w:val="79ED0C95"/>
    <w:rsid w:val="7FFC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sz w:val="32"/>
      <w:szCs w:val="32"/>
    </w:rPr>
  </w:style>
  <w:style w:type="paragraph" w:styleId="5">
    <w:name w:val="table of authorities"/>
    <w:basedOn w:val="1"/>
    <w:next w:val="1"/>
    <w:autoRedefine/>
    <w:qFormat/>
    <w:uiPriority w:val="0"/>
    <w:pPr>
      <w:ind w:left="420" w:leftChars="200"/>
    </w:pPr>
    <w:rPr>
      <w:rFonts w:hint="eastAsia"/>
    </w:rPr>
  </w:style>
  <w:style w:type="paragraph" w:styleId="6">
    <w:name w:val="Normal Indent"/>
    <w:basedOn w:val="1"/>
    <w:autoRedefine/>
    <w:qFormat/>
    <w:uiPriority w:val="0"/>
    <w:pPr>
      <w:ind w:firstLine="420" w:firstLineChars="200"/>
    </w:pPr>
    <w:rPr>
      <w:rFonts w:ascii="Calibri" w:hAnsi="Calibri" w:eastAsia="仿宋"/>
      <w:sz w:val="32"/>
    </w:rPr>
  </w:style>
  <w:style w:type="paragraph" w:styleId="7">
    <w:name w:val="Body Text Indent"/>
    <w:basedOn w:val="1"/>
    <w:next w:val="6"/>
    <w:autoRedefine/>
    <w:unhideWhenUsed/>
    <w:qFormat/>
    <w:uiPriority w:val="99"/>
    <w:pPr>
      <w:spacing w:after="120"/>
      <w:ind w:left="420" w:leftChars="200"/>
    </w:pPr>
  </w:style>
  <w:style w:type="paragraph" w:styleId="8">
    <w:name w:val="Plain Text"/>
    <w:basedOn w:val="1"/>
    <w:next w:val="1"/>
    <w:autoRedefine/>
    <w:qFormat/>
    <w:uiPriority w:val="0"/>
    <w:rPr>
      <w:rFonts w:ascii="宋体" w:hAnsi="Courier New" w:eastAsia="宋体" w:cs="Times New Roman"/>
    </w:rPr>
  </w:style>
  <w:style w:type="paragraph" w:styleId="9">
    <w:name w:val="Body Text Indent 2"/>
    <w:basedOn w:val="1"/>
    <w:autoRedefine/>
    <w:qFormat/>
    <w:uiPriority w:val="99"/>
    <w:pPr>
      <w:spacing w:after="120" w:line="480" w:lineRule="auto"/>
      <w:ind w:left="420" w:leftChars="200"/>
    </w:p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next w:val="1"/>
    <w:autoRedefine/>
    <w:unhideWhenUsed/>
    <w:qFormat/>
    <w:uiPriority w:val="99"/>
    <w:pPr>
      <w:spacing w:before="100" w:beforeAutospacing="1" w:after="0"/>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Hyperlink"/>
    <w:basedOn w:val="16"/>
    <w:autoRedefine/>
    <w:qFormat/>
    <w:uiPriority w:val="0"/>
    <w:rPr>
      <w:color w:val="0000FF"/>
      <w:u w:val="single"/>
    </w:rPr>
  </w:style>
  <w:style w:type="paragraph" w:customStyle="1" w:styleId="19">
    <w:name w:val="正文首行缩进 21"/>
    <w:basedOn w:val="20"/>
    <w:next w:val="12"/>
    <w:autoRedefine/>
    <w:qFormat/>
    <w:uiPriority w:val="0"/>
    <w:pPr>
      <w:widowControl/>
      <w:ind w:firstLine="200" w:firstLineChars="200"/>
      <w:jc w:val="left"/>
    </w:pPr>
    <w:rPr>
      <w:rFonts w:ascii="Calibri" w:hAnsi="Calibri" w:eastAsia="仿宋_GB2312" w:cs="Calibri"/>
      <w:kern w:val="0"/>
      <w:sz w:val="24"/>
      <w:szCs w:val="24"/>
    </w:rPr>
  </w:style>
  <w:style w:type="paragraph" w:customStyle="1" w:styleId="20">
    <w:name w:val="正文文本缩进1"/>
    <w:basedOn w:val="1"/>
    <w:autoRedefine/>
    <w:qFormat/>
    <w:uiPriority w:val="0"/>
    <w:pPr>
      <w:ind w:left="200" w:leftChars="200"/>
    </w:pPr>
    <w:rPr>
      <w:rFonts w:ascii="Calibri" w:hAnsi="Calibri" w:eastAsia="宋体" w:cs="Times New Roman"/>
    </w:rPr>
  </w:style>
  <w:style w:type="character" w:customStyle="1" w:styleId="21">
    <w:name w:val="NormalCharacter"/>
    <w:autoRedefine/>
    <w:qFormat/>
    <w:uiPriority w:val="0"/>
    <w:rPr>
      <w:rFonts w:ascii="Calibri" w:hAnsi="Calibri" w:eastAsia="宋体" w:cs="Times New Roman"/>
      <w:color w:val="auto"/>
      <w:kern w:val="2"/>
      <w:sz w:val="21"/>
      <w:szCs w:val="24"/>
      <w:lang w:val="en-US" w:eastAsia="zh-CN" w:bidi="ar-SA"/>
    </w:rPr>
  </w:style>
  <w:style w:type="table" w:customStyle="1" w:styleId="22">
    <w:name w:val="Table Normal"/>
    <w:autoRedefine/>
    <w:unhideWhenUsed/>
    <w:qFormat/>
    <w:uiPriority w:val="0"/>
    <w:tblPr>
      <w:tblCellMar>
        <w:top w:w="0" w:type="dxa"/>
        <w:left w:w="0" w:type="dxa"/>
        <w:bottom w:w="0" w:type="dxa"/>
        <w:right w:w="0" w:type="dxa"/>
      </w:tblCellMar>
    </w:tblPr>
  </w:style>
  <w:style w:type="paragraph" w:customStyle="1" w:styleId="23">
    <w:name w:val="正文缩进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1892</Words>
  <Characters>1909</Characters>
  <Lines>0</Lines>
  <Paragraphs>0</Paragraphs>
  <TotalTime>4</TotalTime>
  <ScaleCrop>false</ScaleCrop>
  <LinksUpToDate>false</LinksUpToDate>
  <CharactersWithSpaces>2021</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2022-10-04T02:59:00Z</dcterms:created>
  <dc:creator>Administrator</dc:creator>
  <cp:lastModifiedBy>Administrator</cp:lastModifiedBy>
  <cp:lastPrinted>2024-01-26T01:33:00Z</cp:lastPrinted>
  <dcterms:modified xsi:type="dcterms:W3CDTF">2024-09-04T01:47:59Z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65170DAEC634447AB1F4C4F76B6E7AFE_13</vt:lpwstr>
  </property>
</Properties>
</file>