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3FD009">
      <w:pPr>
        <w:keepNext w:val="0"/>
        <w:keepLines w:val="0"/>
        <w:pageBreakBefore w:val="0"/>
        <w:widowControl w:val="0"/>
        <w:kinsoku/>
        <w:wordWrap/>
        <w:overflowPunct/>
        <w:topLinePunct w:val="0"/>
        <w:autoSpaceDE/>
        <w:autoSpaceDN/>
        <w:bidi w:val="0"/>
        <w:adjustRightInd/>
        <w:snapToGrid/>
        <w:spacing w:line="560" w:lineRule="exact"/>
        <w:textAlignment w:val="auto"/>
      </w:pPr>
    </w:p>
    <w:p w14:paraId="7A67166D">
      <w:pPr>
        <w:keepNext w:val="0"/>
        <w:keepLines w:val="0"/>
        <w:pageBreakBefore w:val="0"/>
        <w:widowControl w:val="0"/>
        <w:kinsoku/>
        <w:wordWrap/>
        <w:overflowPunct/>
        <w:topLinePunct w:val="0"/>
        <w:autoSpaceDE/>
        <w:autoSpaceDN/>
        <w:bidi w:val="0"/>
        <w:adjustRightInd/>
        <w:snapToGrid/>
        <w:spacing w:line="560" w:lineRule="exact"/>
        <w:ind w:left="0" w:firstLine="0" w:firstLineChars="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秀水镇养老服务突出问题整治工作情况</w:t>
      </w:r>
    </w:p>
    <w:p w14:paraId="2B9EBD5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cs="Times New Roman"/>
          <w:b/>
          <w:bCs/>
          <w:sz w:val="28"/>
          <w:szCs w:val="22"/>
          <w:lang w:val="en-US" w:eastAsia="zh-CN"/>
        </w:rPr>
      </w:pPr>
    </w:p>
    <w:p w14:paraId="0F34605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截至2026年8月，秀水镇在册户籍人口60岁以上老人共8791人，80岁以上老年人共888人：其中80-89岁802人，每人每年900元高龄津贴，90-94岁68人，每人每年1700元高龄津贴，95-99岁14人，每人每年2100元高龄津贴，100岁以上4人，每人每年3600元高龄津贴。全镇共有分散供养特困人员126人，集中供养特困人员17人。</w:t>
      </w:r>
    </w:p>
    <w:p w14:paraId="29CE68A0">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今年以来，镇民政所对辖区内独居、空巢、失能、留守老年人不断开展关爱探访活动，实地查看老年人的生活质量、生活困难、生活现状以及进行防止发生侵害</w:t>
      </w:r>
      <w:bookmarkStart w:id="0" w:name="_GoBack"/>
      <w:r>
        <w:rPr>
          <w:rFonts w:hint="eastAsia" w:ascii="方正仿宋_GB2312" w:hAnsi="方正仿宋_GB2312" w:eastAsia="方正仿宋_GB2312" w:cs="方正仿宋_GB2312"/>
          <w:sz w:val="32"/>
          <w:szCs w:val="32"/>
          <w:lang w:val="en-US" w:eastAsia="zh-CN"/>
        </w:rPr>
        <w:t>老年人权益</w:t>
      </w:r>
      <w:bookmarkEnd w:id="0"/>
      <w:r>
        <w:rPr>
          <w:rFonts w:hint="eastAsia" w:ascii="方正仿宋_GB2312" w:hAnsi="方正仿宋_GB2312" w:eastAsia="方正仿宋_GB2312" w:cs="方正仿宋_GB2312"/>
          <w:sz w:val="32"/>
          <w:szCs w:val="32"/>
          <w:lang w:val="en-US" w:eastAsia="zh-CN"/>
        </w:rPr>
        <w:t>等政策的宣讲，通过32次入户走访，共32人享受了探访关爱服务，通过走访发现共性问题：很多老人不愿意去敬老院的主要原因是认为住在敬老院不如自己家出行方便，针对很多适宜居住敬老院的老人，我们通过让其去敬老院免费体验试住的方式让其真切感受一下是否选择集中供养的方式来保障自己的养老生活质量。</w:t>
      </w:r>
    </w:p>
    <w:p w14:paraId="04900E3E">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秀水镇辖区内有中心敬老院1家（目前居住着17名特困人员）、日间照料中心6家：姜村、西兰、南坪、泥河、刘村、西白水。其中：刘村日间照料中心因采煤沉陷区有安全隐患，整村搬迁处于停用状态、西白水村日间照料中心因旧址拆除重建后尚未启用，以上两村停止运营后未领取运营经费。剩余4个日间照料中心正常营业，均不供餐。</w:t>
      </w:r>
    </w:p>
    <w:p w14:paraId="2380E41D">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color w:val="auto"/>
          <w:sz w:val="32"/>
          <w:szCs w:val="32"/>
          <w:lang w:val="en-US" w:eastAsia="zh-CN"/>
        </w:rPr>
        <w:t>2025年以来，重点从消防安全、食品安全、医养结合、服务质量、应急保障、制度执行与养老资金补贴的发放使用情况等方面排查风险点，</w:t>
      </w:r>
      <w:r>
        <w:rPr>
          <w:rFonts w:hint="eastAsia" w:ascii="方正仿宋_GB2312" w:hAnsi="方正仿宋_GB2312" w:eastAsia="方正仿宋_GB2312" w:cs="方正仿宋_GB2312"/>
          <w:sz w:val="32"/>
          <w:szCs w:val="32"/>
          <w:lang w:val="en-US" w:eastAsia="zh-CN"/>
        </w:rPr>
        <w:t>一体贯通突出问题治理与解决民生实事，整改消防设施维护、应急通道管理等问题13个，已全部整改完成，切实筑牢养老机构消防安全防线，确保安全平稳运行。建立了《秀水镇日间照料中心消防安全管理制度》，在敬老院开展了“银发剪暖”关爱探访行动，随后又联合秀水镇卫生院在敬老院开展了义诊活动，在姜村日间照料中心开展了“助老换新清扫行动”。</w:t>
      </w:r>
    </w:p>
    <w:p w14:paraId="2518F28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b w:val="0"/>
          <w:bCs w:val="0"/>
          <w:sz w:val="32"/>
          <w:szCs w:val="32"/>
          <w:highlight w:val="none"/>
          <w:lang w:val="en-US" w:eastAsia="zh-CN"/>
        </w:rPr>
      </w:pPr>
      <w:r>
        <w:rPr>
          <w:rFonts w:hint="eastAsia" w:ascii="方正仿宋_GB2312" w:hAnsi="方正仿宋_GB2312" w:eastAsia="方正仿宋_GB2312" w:cs="方正仿宋_GB2312"/>
          <w:b w:val="0"/>
          <w:bCs w:val="0"/>
          <w:sz w:val="32"/>
          <w:szCs w:val="32"/>
          <w:highlight w:val="none"/>
          <w:lang w:val="en-US" w:eastAsia="zh-CN"/>
        </w:rPr>
        <w:t>截至2026年8月，秀水镇建章立制1个（加强对敬老院集中供养特困人员零花钱管理使用监管工作细则），发现并整改问题25个，办理了28件民生实事。</w:t>
      </w:r>
    </w:p>
    <w:p w14:paraId="03FF0A44">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2026年将积极配合</w:t>
      </w:r>
      <w:r>
        <w:rPr>
          <w:rFonts w:hint="eastAsia" w:ascii="方正仿宋_GB2312" w:hAnsi="方正仿宋_GB2312" w:eastAsia="方正仿宋_GB2312" w:cs="方正仿宋_GB2312"/>
          <w:color w:val="auto"/>
          <w:sz w:val="32"/>
          <w:szCs w:val="32"/>
          <w:lang w:val="en-US" w:eastAsia="zh-CN"/>
        </w:rPr>
        <w:t>上级部门对秀水镇中心敬老院的</w:t>
      </w:r>
      <w:r>
        <w:rPr>
          <w:rFonts w:hint="eastAsia" w:ascii="方正仿宋_GB2312" w:hAnsi="方正仿宋_GB2312" w:eastAsia="方正仿宋_GB2312" w:cs="方正仿宋_GB2312"/>
          <w:sz w:val="32"/>
          <w:szCs w:val="32"/>
          <w:lang w:val="en-US" w:eastAsia="zh-CN"/>
        </w:rPr>
        <w:t>提质改造工程，推动养老服务提质升级。按照标准化建设要求优化功能分区、完善基础设施、翻新装修公共区域、更新升级适老化设施设备，增设20张养老床位和老年康复室、医疗室，做优医养结合服务，满足健康养老需求。目前秀水镇中心敬老院提质改造已完成了消防疏散楼梯、自动喷淋灭火系统、烟感报警器的安装，正在改造前楼室内卫生间与院内消防水箱。</w:t>
      </w:r>
    </w:p>
    <w:p w14:paraId="0B96DD68">
      <w:pPr>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ascii="方正仿宋_GB2312" w:hAnsi="方正仿宋_GB2312" w:eastAsia="方正仿宋_GB2312" w:cs="方正仿宋_GB2312"/>
          <w:sz w:val="32"/>
          <w:szCs w:val="32"/>
          <w:lang w:val="en-US" w:eastAsia="zh-CN"/>
        </w:rPr>
      </w:pPr>
      <w:r>
        <w:rPr>
          <w:rFonts w:hint="eastAsia" w:ascii="方正仿宋_GB2312" w:hAnsi="方正仿宋_GB2312" w:eastAsia="方正仿宋_GB2312" w:cs="方正仿宋_GB2312"/>
          <w:sz w:val="32"/>
          <w:szCs w:val="32"/>
          <w:lang w:val="en-US" w:eastAsia="zh-CN"/>
        </w:rPr>
        <w:t>下一步将继续</w:t>
      </w:r>
      <w:r>
        <w:rPr>
          <w:rFonts w:hint="eastAsia" w:ascii="方正仿宋_GB2312" w:hAnsi="方正仿宋_GB2312" w:eastAsia="方正仿宋_GB2312" w:cs="方正仿宋_GB2312"/>
          <w:color w:val="auto"/>
          <w:sz w:val="32"/>
          <w:szCs w:val="32"/>
          <w:lang w:val="en-US" w:eastAsia="zh-CN"/>
        </w:rPr>
        <w:t>从5个方面16项重点进行整治：（一）养老机构安全管理问题：养老机构的消防安全、食品安全、建筑安全、医疗卫生等问题；（二）养老服务资金项目问题：虚报冒领运营补贴和供养资金问题、高龄津贴、护理补贴等未按规定发放或者错发、适老化改造价格虚高、医养结合、居家服务“一包了之”等问题；（三）养老服务供需不匹配问题：农村养老服务能力差难题、服务队伍建设滞后、服务设施供给不足等问题；（四）养老服务政策落地不到位问题：养老服务市场监管不规范等问题：（五）侵害老年人权益问题等方面排查风险点。持续开展关爱老年人活动与分散特困人员的助老志愿服务活动。</w:t>
      </w:r>
    </w:p>
    <w:sectPr>
      <w:footerReference r:id="rId5" w:type="default"/>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altName w:val="宋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Lucida Sans">
    <w:altName w:val="Lucida Sans Unicode"/>
    <w:panose1 w:val="020B0602030504020204"/>
    <w:charset w:val="00"/>
    <w:family w:val="auto"/>
    <w:pitch w:val="default"/>
    <w:sig w:usb0="00000000" w:usb1="00000000" w:usb2="00000000" w:usb3="00000000" w:csb0="20000001" w:csb1="00000000"/>
    <w:embedRegular r:id="rId1" w:fontKey="{C043FE1D-0E85-48A3-971C-01766D984FD2}"/>
  </w:font>
  <w:font w:name="Lucida Sans Unicode">
    <w:panose1 w:val="020B0602030504020204"/>
    <w:charset w:val="00"/>
    <w:family w:val="auto"/>
    <w:pitch w:val="default"/>
    <w:sig w:usb0="80001AFF" w:usb1="0000396B" w:usb2="00000000" w:usb3="00000000" w:csb0="200000BF" w:csb1="D7F70000"/>
  </w:font>
  <w:font w:name="仿宋_GB2312">
    <w:altName w:val="微软雅黑"/>
    <w:panose1 w:val="02010609030101010101"/>
    <w:charset w:val="86"/>
    <w:family w:val="modern"/>
    <w:pitch w:val="default"/>
    <w:sig w:usb0="00000000" w:usb1="00000000" w:usb2="00000000" w:usb3="00000000" w:csb0="00040000" w:csb1="00000000"/>
  </w:font>
  <w:font w:name="方正小标宋简体">
    <w:panose1 w:val="02010600010101010101"/>
    <w:charset w:val="86"/>
    <w:family w:val="auto"/>
    <w:pitch w:val="default"/>
    <w:sig w:usb0="00000001" w:usb1="080E0000" w:usb2="00000000" w:usb3="00000000" w:csb0="00040000" w:csb1="00000000"/>
    <w:embedRegular r:id="rId2" w:fontKey="{52419831-41DF-4658-8204-47CFF74DBE6C}"/>
  </w:font>
  <w:font w:name="方正仿宋_GB2312">
    <w:panose1 w:val="02000000000000000000"/>
    <w:charset w:val="86"/>
    <w:family w:val="auto"/>
    <w:pitch w:val="default"/>
    <w:sig w:usb0="A00002BF" w:usb1="184F6CFA" w:usb2="00000012" w:usb3="00000000" w:csb0="00040001" w:csb1="00000000"/>
    <w:embedRegular r:id="rId3" w:fontKey="{2C613C95-4406-45F3-BEA1-7C59074864FE}"/>
  </w:font>
  <w:font w:name="WPSEMBED1">
    <w:panose1 w:val="0201060001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94A0E">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401955" cy="355600"/>
              <wp:effectExtent l="0" t="0" r="0" b="0"/>
              <wp:wrapNone/>
              <wp:docPr id="1" name="文本框 1"/>
              <wp:cNvGraphicFramePr/>
              <a:graphic xmlns:a="http://schemas.openxmlformats.org/drawingml/2006/main">
                <a:graphicData uri="http://schemas.microsoft.com/office/word/2010/wordprocessingShape">
                  <wps:wsp>
                    <wps:cNvSpPr/>
                    <wps:spPr>
                      <a:xfrm>
                        <a:off x="0" y="0"/>
                        <a:ext cx="401761" cy="355600"/>
                      </a:xfrm>
                      <a:prstGeom prst="rect">
                        <a:avLst/>
                      </a:prstGeom>
                      <a:noFill/>
                      <a:ln w="6350" cap="flat" cmpd="sng">
                        <a:noFill/>
                        <a:prstDash val="solid"/>
                        <a:round/>
                      </a:ln>
                      <a:effectLst/>
                    </wps:spPr>
                    <wps:txbx>
                      <w:txbxContent>
                        <w:p w14:paraId="56A17B03">
                          <w:pPr>
                            <w:pStyle w:val="5"/>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wps:txbx>
                    <wps:bodyPr vert="horz" wrap="none" lIns="0" tIns="0" rIns="0" bIns="0" anchor="t" anchorCtr="0" upright="0">
                      <a:spAutoFit/>
                    </wps:bodyPr>
                  </wps:wsp>
                </a:graphicData>
              </a:graphic>
            </wp:anchor>
          </w:drawing>
        </mc:Choice>
        <mc:Fallback>
          <w:pict>
            <v:rect id="文本框 1" o:spid="_x0000_s1026" o:spt="1" style="position:absolute;left:0pt;margin-top:0pt;height:28pt;width:31.65pt;mso-position-horizontal:center;mso-position-horizontal-relative:margin;mso-wrap-style:none;z-index:251659264;mso-width-relative:page;mso-height-relative:page;" filled="f" stroked="f" coordsize="21600,21600" o:gfxdata="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">
              <v:fill on="f" focussize="0,0"/>
              <v:stroke on="f" weight="0.5pt" joinstyle="round"/>
              <v:imagedata o:title=""/>
              <o:lock v:ext="edit" aspectratio="f"/>
              <v:textbox inset="0mm,0mm,0mm,0mm" style="mso-fit-shape-to-text:t;">
                <w:txbxContent>
                  <w:p w14:paraId="56A17B03">
                    <w:pPr>
                      <w:pStyle w:val="5"/>
                    </w:pPr>
                    <w:r>
                      <w:rPr>
                        <w:sz w:val="24"/>
                        <w:szCs w:val="24"/>
                      </w:rPr>
                      <w:fldChar w:fldCharType="begin"/>
                    </w:r>
                    <w:r>
                      <w:rPr>
                        <w:sz w:val="24"/>
                        <w:szCs w:val="24"/>
                      </w:rPr>
                      <w:instrText xml:space="preserve"> PAGE  \* MERGEFORMAT </w:instrText>
                    </w:r>
                    <w:r>
                      <w:rPr>
                        <w:sz w:val="24"/>
                        <w:szCs w:val="24"/>
                      </w:rPr>
                      <w:fldChar w:fldCharType="separate"/>
                    </w:r>
                    <w:r>
                      <w:rPr>
                        <w:sz w:val="24"/>
                        <w:szCs w:val="24"/>
                      </w:rPr>
                      <w:t>1</w:t>
                    </w:r>
                    <w:r>
                      <w:rPr>
                        <w:sz w:val="24"/>
                        <w:szCs w:val="24"/>
                      </w:rPr>
                      <w:fldChar w:fldCharType="end"/>
                    </w:r>
                  </w:p>
                </w:txbxContent>
              </v:textbox>
            </v:rect>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1"/>
  <w:bordersDoNotSurroundFooter w:val="1"/>
  <w:documentProtection w:enforcement="0"/>
  <w:defaultTabStop w:val="420"/>
  <w:drawingGridHorizontalSpacing w:val="16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
  <w:rsids>
    <w:rsidRoot w:val="00000000"/>
    <w:rsid w:val="02955E4D"/>
    <w:rsid w:val="1E3B5B2B"/>
    <w:rsid w:val="53F73A6F"/>
    <w:rsid w:val="5A260858"/>
    <w:rsid w:val="68C320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Lucida Sans"/>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Arial"/>
      <w:kern w:val="2"/>
      <w:sz w:val="32"/>
      <w:szCs w:val="24"/>
      <w:lang w:val="en-US" w:eastAsia="zh-CN" w:bidi="ar-SA"/>
    </w:rPr>
  </w:style>
  <w:style w:type="paragraph" w:styleId="2">
    <w:name w:val="heading 1"/>
    <w:basedOn w:val="1"/>
    <w:next w:val="1"/>
    <w:link w:val="9"/>
    <w:qFormat/>
    <w:uiPriority w:val="0"/>
    <w:pPr>
      <w:spacing w:beforeAutospacing="0" w:afterAutospacing="0"/>
      <w:jc w:val="center"/>
      <w:outlineLvl w:val="0"/>
    </w:pPr>
    <w:rPr>
      <w:rFonts w:ascii="宋体" w:hAnsi="宋体" w:eastAsia="方正小标宋简体" w:cs="宋体"/>
      <w:kern w:val="44"/>
      <w:sz w:val="44"/>
      <w:szCs w:val="48"/>
    </w:rPr>
  </w:style>
  <w:style w:type="paragraph" w:styleId="3">
    <w:name w:val="heading 2"/>
    <w:basedOn w:val="1"/>
    <w:next w:val="1"/>
    <w:link w:val="10"/>
    <w:qFormat/>
    <w:uiPriority w:val="0"/>
    <w:pPr>
      <w:keepNext/>
      <w:keepLines/>
      <w:spacing w:before="260" w:beforeAutospacing="0" w:after="260" w:afterAutospacing="0" w:line="413" w:lineRule="auto"/>
      <w:outlineLvl w:val="1"/>
    </w:pPr>
    <w:rPr>
      <w:rFonts w:ascii="Arial" w:hAnsi="Arial" w:eastAsia="黑体"/>
      <w:sz w:val="32"/>
    </w:rPr>
  </w:style>
  <w:style w:type="paragraph" w:styleId="4">
    <w:name w:val="heading 3"/>
    <w:basedOn w:val="1"/>
    <w:next w:val="1"/>
    <w:link w:val="11"/>
    <w:qFormat/>
    <w:uiPriority w:val="0"/>
    <w:pPr>
      <w:keepNext/>
      <w:keepLines/>
      <w:spacing w:beforeAutospacing="0" w:afterAutospacing="0" w:line="560" w:lineRule="exact"/>
      <w:outlineLvl w:val="2"/>
    </w:pPr>
    <w:rPr>
      <w:b/>
    </w:rPr>
  </w:style>
  <w:style w:type="character" w:default="1" w:styleId="8">
    <w:name w:val="Default Paragraph Font"/>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9">
    <w:name w:val="heading 1 Char"/>
    <w:basedOn w:val="8"/>
    <w:link w:val="2"/>
    <w:qFormat/>
    <w:uiPriority w:val="0"/>
    <w:rPr>
      <w:rFonts w:ascii="宋体" w:hAnsi="宋体" w:eastAsia="方正小标宋简体" w:cs="宋体"/>
      <w:kern w:val="44"/>
      <w:sz w:val="44"/>
      <w:szCs w:val="48"/>
      <w:lang w:val="en-US" w:eastAsia="zh-CN" w:bidi="ar-SA"/>
    </w:rPr>
  </w:style>
  <w:style w:type="character" w:customStyle="1" w:styleId="10">
    <w:name w:val="heading 2 Char"/>
    <w:basedOn w:val="8"/>
    <w:link w:val="3"/>
    <w:qFormat/>
    <w:uiPriority w:val="0"/>
    <w:rPr>
      <w:rFonts w:ascii="Arial" w:hAnsi="Arial" w:eastAsia="黑体" w:cs="Arial"/>
      <w:kern w:val="2"/>
      <w:sz w:val="32"/>
      <w:szCs w:val="24"/>
      <w:lang w:val="en-US" w:eastAsia="zh-CN" w:bidi="ar-SA"/>
    </w:rPr>
  </w:style>
  <w:style w:type="character" w:customStyle="1" w:styleId="11">
    <w:name w:val="heading 3 Char"/>
    <w:basedOn w:val="8"/>
    <w:link w:val="4"/>
    <w:uiPriority w:val="0"/>
    <w:rPr>
      <w:rFonts w:ascii="Times New Roman" w:hAnsi="Times New Roman" w:eastAsia="仿宋_GB2312" w:cs="Arial"/>
      <w:b/>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3.xml"/><Relationship Id="rId8" Type="http://schemas.openxmlformats.org/officeDocument/2006/relationships/customXml" Target="../customXml/item2.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rgbClr val="000000"/>
      </a:dk1>
      <a:lt1>
        <a:srgbClr val="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
        <a:ea typeface=""/>
        <a:cs typeface=""/>
      </a:majorFont>
      <a:minorFont>
        <a:latin typeface=""/>
        <a:ea typeface=""/>
        <a:cs typeface=""/>
      </a:minorFont>
    </a:fontScheme>
    <a:fmtScheme name="WPS">
      <a:fillStyleLst>
        <a:solidFill>
          <a:schemeClr val="phClr"/>
        </a:solidFill>
        <a:gradFill rotWithShape="1">
          <a:gsLst>
            <a:gs pos="0">
              <a:schemeClr val="phClr">
                <a:lumOff val="17500"/>
              </a:schemeClr>
            </a:gs>
            <a:gs pos="100000">
              <a:schemeClr val="phClr"/>
            </a:gs>
          </a:gsLst>
          <a:lin ang="2700000" scaled="1"/>
        </a:gradFill>
        <a:gradFill rotWithShape="1">
          <a:gsLst>
            <a:gs pos="0">
              <a:schemeClr val="phClr">
                <a:hueOff val="-2520000"/>
              </a:schemeClr>
            </a:gs>
            <a:gs pos="100000">
              <a:schemeClr val="phClr"/>
            </a:gs>
          </a:gsLst>
          <a:lin ang="2700000" scaled="1"/>
        </a:gradFill>
      </a:fillStyleLst>
      <a:lnStyleLst>
        <a:ln w="12700" cap="flat" cmpd="sng">
          <a:solidFill>
            <a:schemeClr val="phClr"/>
          </a:solidFill>
          <a:prstDash val="solid"/>
          <a:miter/>
        </a:ln>
        <a:ln w="12700" cap="flat" cmpd="sng">
          <a:solidFill>
            <a:schemeClr val="phClr"/>
          </a:solidFill>
          <a:prstDash val="solid"/>
          <a:miter/>
        </a:ln>
        <a:ln w="12700" cap="flat" cmpd="sng">
          <a:gradFill rotWithShape="1">
            <a:gsLst>
              <a:gs pos="0">
                <a:schemeClr val="phClr">
                  <a:hueOff val="-4200000"/>
                </a:schemeClr>
              </a:gs>
              <a:gs pos="100000">
                <a:schemeClr val="phClr"/>
              </a:gs>
            </a:gsLst>
            <a:lin ang="2700000" scaled="1"/>
          </a:gradFill>
          <a:prstDash val="solid"/>
          <a:miter/>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2745"/>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1"/>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ustomData xmlns="http://www.yozosoft.com.cn/officeDocument/2016/customData">
  <customProps>
    <docPr revisions="3 0 5 0 0 0 1 0 0 0 26650 1 1 1 1 1"/>
    <sectPr/>
  </customProps>
</customData>
</file>

<file path=customXml/item3.xml><?xml version="1.0" encoding="utf-8"?>
<contractReview xmlns="http://schemas.wps.cn/vas-ai-hub/contract-review">
  <reviewItems>
    <reviewItem>
      <errorID>fb75af54-9010-4b3a-9e77-3c22ba219ece</errorID>
      <errorWord>老年权益</errorWord>
      <group>L1_Knowledge</group>
      <groupName>知识性问题</groupName>
      <ability>L2_Knowledge</ability>
      <abilityName>其他知识</abilityName>
      <candidateList>
        <item>老年人权益</item>
      </candidateList>
      <explain/>
      <paraID>29CE68A0</paraID>
      <start>70</start>
      <end>75</end>
      <status>modified</status>
      <modifiedWord>老年人权益</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18F53A-8589-4A70-980A-9C165625E7DC}">
  <ds:schemaRefs/>
</ds:datastoreItem>
</file>

<file path=customXml/itemProps3.xml><?xml version="1.0" encoding="utf-8"?>
<ds:datastoreItem xmlns:ds="http://schemas.openxmlformats.org/officeDocument/2006/customXml" ds:itemID="{28abe7e3-3555-4cd8-98e9-88f0714ac1bb}">
  <ds:schemaRefs/>
</ds:datastoreItem>
</file>

<file path=docProps/app.xml><?xml version="1.0" encoding="utf-8"?>
<Properties xmlns="http://schemas.openxmlformats.org/officeDocument/2006/extended-properties" xmlns:vt="http://schemas.openxmlformats.org/officeDocument/2006/docPropsVTypes">
  <Template>Normal.eit</Template>
  <Pages>2</Pages>
  <Words>1251</Words>
  <Characters>1310</Characters>
  <Lines>0</Lines>
  <Paragraphs>12</Paragraphs>
  <TotalTime>43</TotalTime>
  <ScaleCrop>false</ScaleCrop>
  <LinksUpToDate>false</LinksUpToDate>
  <CharactersWithSpaces>1310</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2021-11-26T03:21:00Z</dcterms:created>
  <dc:creator>Administrator</dc:creator>
  <cp:lastModifiedBy>淡定</cp:lastModifiedBy>
  <cp:lastPrinted>2026-09-11T08:29:00Z</cp:lastPrinted>
  <dcterms:modified xsi:type="dcterms:W3CDTF">2026-09-14T07:51:58Z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C571F9ACED6F43709B8DDD7997EFD75D_13</vt:lpwstr>
  </property>
  <property fmtid="{D5CDD505-2E9C-101B-9397-08002B2CF9AE}" pid="4" name="KSOTemplateDocerSaveRecord">
    <vt:lpwstr>eyJoZGlkIjoiOTJkYTY3Y2FiMzRjZWY5MzA3M2FlZWM5ZWNjNWVjM2UiLCJ1c2VySWQiOiIzNDI3NTg4OTEifQ==</vt:lpwstr>
  </property>
</Properties>
</file>