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9D3AF">
      <w:pPr>
        <w:tabs>
          <w:tab w:val="left" w:pos="3103"/>
        </w:tabs>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高庄村日间照料中心陪餐</w:t>
      </w:r>
    </w:p>
    <w:p w14:paraId="4008CF66">
      <w:pPr>
        <w:tabs>
          <w:tab w:val="left" w:pos="832"/>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为切实筑牢老年食堂食品安全防线，及时掌握老年人就餐体验，倾听就餐老人意见建议，高庄村日间照料中心严格落实管理人员陪餐制度，常态化开展陪餐工作。</w:t>
      </w:r>
    </w:p>
    <w:p w14:paraId="74941440">
      <w:pPr>
        <w:tabs>
          <w:tab w:val="left" w:pos="703"/>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8月19日西潘乡分管民政副乡长和民政办负责人在高庄村日间照料中心进行陪餐，了解到高庄村日间照料中心结合实际制定管理人员轮流陪餐排班表，明确陪餐人员、陪餐时间，保障每餐有管理人员参与陪餐。陪餐人员坚持与老年人同时、同桌、同餐就餐，就餐过程中重点查验餐食温度、菜品软硬、口味、分量，检查餐具卫生、就餐环境及食品留样情况，主动与老人交流，了解对菜品、供餐服务的意见诉求。现场如实填写陪餐记录表，详细记录菜品情况、老人反馈、发现问题，做到现场记录、不事后补填。</w:t>
      </w:r>
    </w:p>
    <w:p w14:paraId="096737EF">
      <w:pPr>
        <w:tabs>
          <w:tab w:val="left" w:pos="532"/>
          <w:tab w:val="left" w:pos="703"/>
        </w:tabs>
        <w:bidi w:val="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drawing>
          <wp:inline distT="0" distB="0" distL="114300" distR="114300">
            <wp:extent cx="2529840" cy="1897380"/>
            <wp:effectExtent l="0" t="0" r="3810" b="7620"/>
            <wp:docPr id="4" name="图片 4" descr="4165eb1f21b2f7f9fc6d7307a7f942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165eb1f21b2f7f9fc6d7307a7f9421e"/>
                    <pic:cNvPicPr>
                      <a:picLocks noChangeAspect="1"/>
                    </pic:cNvPicPr>
                  </pic:nvPicPr>
                  <pic:blipFill>
                    <a:blip r:embed="rId4"/>
                    <a:stretch>
                      <a:fillRect/>
                    </a:stretch>
                  </pic:blipFill>
                  <pic:spPr>
                    <a:xfrm>
                      <a:off x="0" y="0"/>
                      <a:ext cx="2529840" cy="1897380"/>
                    </a:xfrm>
                    <a:prstGeom prst="rect">
                      <a:avLst/>
                    </a:prstGeom>
                  </pic:spPr>
                </pic:pic>
              </a:graphicData>
            </a:graphic>
          </wp:inline>
        </w:drawing>
      </w:r>
      <w:r>
        <w:rPr>
          <w:rFonts w:hint="eastAsia" w:ascii="宋体" w:hAnsi="宋体" w:eastAsia="宋体" w:cs="宋体"/>
          <w:sz w:val="32"/>
          <w:szCs w:val="32"/>
          <w:lang w:val="en-US" w:eastAsia="zh-CN"/>
        </w:rPr>
        <w:tab/>
      </w:r>
      <w:r>
        <w:rPr>
          <w:rFonts w:hint="eastAsia" w:ascii="宋体" w:hAnsi="宋体" w:eastAsia="宋体" w:cs="宋体"/>
          <w:sz w:val="32"/>
          <w:szCs w:val="32"/>
          <w:lang w:val="en-US" w:eastAsia="zh-CN"/>
        </w:rPr>
        <w:drawing>
          <wp:inline distT="0" distB="0" distL="114300" distR="114300">
            <wp:extent cx="2539365" cy="1905000"/>
            <wp:effectExtent l="0" t="0" r="13335" b="0"/>
            <wp:docPr id="5" name="图片 5" descr="360478d7fc6cf6217c70129480647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60478d7fc6cf6217c70129480647896"/>
                    <pic:cNvPicPr>
                      <a:picLocks noChangeAspect="1"/>
                    </pic:cNvPicPr>
                  </pic:nvPicPr>
                  <pic:blipFill>
                    <a:blip r:embed="rId5"/>
                    <a:stretch>
                      <a:fillRect/>
                    </a:stretch>
                  </pic:blipFill>
                  <pic:spPr>
                    <a:xfrm>
                      <a:off x="0" y="0"/>
                      <a:ext cx="2539365" cy="1905000"/>
                    </a:xfrm>
                    <a:prstGeom prst="rect">
                      <a:avLst/>
                    </a:prstGeom>
                  </pic:spPr>
                </pic:pic>
              </a:graphicData>
            </a:graphic>
          </wp:inline>
        </w:drawing>
      </w:r>
    </w:p>
    <w:p w14:paraId="4E09F32F">
      <w:pPr>
        <w:tabs>
          <w:tab w:val="left" w:pos="703"/>
        </w:tabs>
        <w:bidi w:val="0"/>
        <w:ind w:firstLine="640" w:firstLineChars="200"/>
        <w:jc w:val="left"/>
        <w:rPr>
          <w:rFonts w:hint="eastAsia" w:ascii="宋体" w:hAnsi="宋体" w:eastAsia="宋体" w:cs="宋体"/>
          <w:sz w:val="32"/>
          <w:szCs w:val="32"/>
          <w:lang w:val="en-US" w:eastAsia="zh-CN"/>
        </w:rPr>
      </w:pPr>
    </w:p>
    <w:p w14:paraId="7D974BC7">
      <w:pPr>
        <w:tabs>
          <w:tab w:val="left" w:pos="703"/>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针对陪餐中收集到的意见和排查发现的问题，建立问题清单，落实整改闭环管理，能立即整改的当场督促整改；不能及时处置的明确整改时限，后续跟踪回访，持续优化菜品</w:t>
      </w:r>
      <w:bookmarkStart w:id="0" w:name="_GoBack"/>
      <w:bookmarkEnd w:id="0"/>
      <w:r>
        <w:rPr>
          <w:rFonts w:hint="eastAsia" w:ascii="宋体" w:hAnsi="宋体" w:eastAsia="宋体" w:cs="宋体"/>
          <w:sz w:val="32"/>
          <w:szCs w:val="32"/>
          <w:lang w:val="en-US" w:eastAsia="zh-CN"/>
        </w:rPr>
        <w:t>搭配与供餐服务。同时将陪餐履职情况纳入管理人员绩效考核，定期开展自查，严防陪餐流于形式、频次不足等问题，切实发挥陪餐监督作用，守护老年人“舌尖上的安全”，不断提升老年人就餐满意度和获得感。</w:t>
      </w:r>
    </w:p>
    <w:p w14:paraId="572485C7">
      <w:pPr>
        <w:tabs>
          <w:tab w:val="left" w:pos="703"/>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下一步，高庄村日间照料中心将持续抓实陪餐长效管理，严格执行陪餐排班计划，不断规范陪餐流程，做实意见收集和问题整改，用心做好老年助餐服务，切实把养老助餐惠民政策落到实处。</w:t>
      </w:r>
    </w:p>
    <w:p w14:paraId="2E78299F">
      <w:pPr>
        <w:jc w:val="center"/>
        <w:rPr>
          <w:rFonts w:hint="eastAsia" w:ascii="仿宋" w:hAnsi="仿宋" w:eastAsia="仿宋" w:cs="仿宋"/>
          <w:b/>
          <w:bCs/>
          <w:color w:val="C00000"/>
          <w:sz w:val="72"/>
          <w:szCs w:val="72"/>
          <w:lang w:val="en-US" w:eastAsia="zh-CN"/>
        </w:rPr>
      </w:pPr>
    </w:p>
    <w:p w14:paraId="0D7E6C4C">
      <w:pPr>
        <w:jc w:val="center"/>
        <w:rPr>
          <w:rFonts w:hint="eastAsia" w:ascii="仿宋" w:hAnsi="仿宋" w:eastAsia="仿宋" w:cs="仿宋"/>
          <w:b/>
          <w:bCs/>
          <w:color w:val="C00000"/>
          <w:sz w:val="72"/>
          <w:szCs w:val="72"/>
          <w:lang w:val="en-US" w:eastAsia="zh-CN"/>
        </w:rPr>
      </w:pPr>
    </w:p>
    <w:p w14:paraId="5DF94E09">
      <w:pPr>
        <w:jc w:val="center"/>
        <w:rPr>
          <w:rFonts w:hint="eastAsia" w:ascii="仿宋" w:hAnsi="仿宋" w:eastAsia="仿宋" w:cs="仿宋"/>
          <w:b/>
          <w:bCs/>
          <w:color w:val="C00000"/>
          <w:sz w:val="72"/>
          <w:szCs w:val="72"/>
          <w:lang w:val="en-US" w:eastAsia="zh-CN"/>
        </w:rPr>
      </w:pPr>
    </w:p>
    <w:p w14:paraId="4F190061">
      <w:pPr>
        <w:jc w:val="center"/>
        <w:rPr>
          <w:rFonts w:hint="eastAsia" w:ascii="仿宋" w:hAnsi="仿宋" w:eastAsia="仿宋" w:cs="仿宋"/>
          <w:b/>
          <w:bCs/>
          <w:color w:val="C00000"/>
          <w:sz w:val="72"/>
          <w:szCs w:val="72"/>
          <w:lang w:val="en-US" w:eastAsia="zh-CN"/>
        </w:rPr>
      </w:pPr>
    </w:p>
    <w:p w14:paraId="61C9A313">
      <w:pPr>
        <w:jc w:val="center"/>
        <w:rPr>
          <w:rFonts w:hint="eastAsia" w:ascii="仿宋" w:hAnsi="仿宋" w:eastAsia="仿宋" w:cs="仿宋"/>
          <w:b/>
          <w:bCs/>
          <w:color w:val="C00000"/>
          <w:sz w:val="72"/>
          <w:szCs w:val="72"/>
          <w:lang w:val="en-US" w:eastAsia="zh-CN"/>
        </w:rPr>
      </w:pPr>
    </w:p>
    <w:p w14:paraId="70B54040">
      <w:pPr>
        <w:jc w:val="center"/>
        <w:rPr>
          <w:rFonts w:hint="eastAsia" w:ascii="仿宋" w:hAnsi="仿宋" w:eastAsia="仿宋" w:cs="仿宋"/>
          <w:b/>
          <w:bCs/>
          <w:color w:val="C00000"/>
          <w:sz w:val="72"/>
          <w:szCs w:val="72"/>
          <w:lang w:val="en-US" w:eastAsia="zh-CN"/>
        </w:rPr>
      </w:pPr>
    </w:p>
    <w:p w14:paraId="10ED91B1">
      <w:pPr>
        <w:jc w:val="center"/>
        <w:rPr>
          <w:rFonts w:hint="eastAsia" w:ascii="仿宋" w:hAnsi="仿宋" w:eastAsia="仿宋" w:cs="仿宋"/>
          <w:b/>
          <w:bCs/>
          <w:color w:val="C00000"/>
          <w:sz w:val="72"/>
          <w:szCs w:val="72"/>
          <w:lang w:val="en-US" w:eastAsia="zh-CN"/>
        </w:rPr>
      </w:pPr>
    </w:p>
    <w:p w14:paraId="519B429A">
      <w:pPr>
        <w:tabs>
          <w:tab w:val="left" w:pos="1282"/>
        </w:tabs>
        <w:bidi w:val="0"/>
        <w:jc w:val="left"/>
        <w:rPr>
          <w:rFonts w:hint="eastAsia" w:ascii="宋体" w:hAnsi="宋体" w:eastAsia="宋体" w:cs="宋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667B8"/>
    <w:rsid w:val="01FA47FF"/>
    <w:rsid w:val="037741C1"/>
    <w:rsid w:val="06306644"/>
    <w:rsid w:val="08DF474E"/>
    <w:rsid w:val="09075A53"/>
    <w:rsid w:val="0C6F5DE9"/>
    <w:rsid w:val="148F527B"/>
    <w:rsid w:val="168455DB"/>
    <w:rsid w:val="1F66307C"/>
    <w:rsid w:val="29200224"/>
    <w:rsid w:val="29455AB0"/>
    <w:rsid w:val="2EFA078F"/>
    <w:rsid w:val="3428494C"/>
    <w:rsid w:val="350727B3"/>
    <w:rsid w:val="35EB470E"/>
    <w:rsid w:val="37C36E66"/>
    <w:rsid w:val="3CF47AC1"/>
    <w:rsid w:val="3F9A4950"/>
    <w:rsid w:val="444430DC"/>
    <w:rsid w:val="44446782"/>
    <w:rsid w:val="4783216D"/>
    <w:rsid w:val="50EB0ACD"/>
    <w:rsid w:val="53B75FCA"/>
    <w:rsid w:val="540463E4"/>
    <w:rsid w:val="55DE3FB8"/>
    <w:rsid w:val="579F6C87"/>
    <w:rsid w:val="59AD307A"/>
    <w:rsid w:val="658D354B"/>
    <w:rsid w:val="723914F7"/>
    <w:rsid w:val="7A7B08FF"/>
    <w:rsid w:val="7C036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383a5063-434e-4eff-a875-59aaf48b58f4}">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567</Words>
  <Characters>568</Characters>
  <Lines>0</Lines>
  <Paragraphs>0</Paragraphs>
  <TotalTime>11</TotalTime>
  <ScaleCrop>false</ScaleCrop>
  <LinksUpToDate>false</LinksUpToDate>
  <CharactersWithSpaces>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2025-04-13T02:55:00Z</dcterms:created>
  <dc:creator>lenovo</dc:creator>
  <cp:lastModifiedBy>赵强</cp:lastModifiedBy>
  <cp:lastPrinted>2026-09-14T06:34:46Z</cp:lastPrinted>
  <dcterms:modified xsi:type="dcterms:W3CDTF">2026-09-14T06:35:15Z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eyJoZGlkIjoiMTkwZGMxNjY5NzdlNTAzNmUwMzIxNjJjNDBjMDc2MGMiLCJ1c2VySWQiOiI0NTg1OTc0NTAifQ==</vt:lpwstr>
  </property>
  <property fmtid="{D5CDD505-2E9C-101B-9397-08002B2CF9AE}" pid="4" name="ICV">
    <vt:lpwstr>35A55DBED9CD470B83FC6C1293D1EEEB_13</vt:lpwstr>
  </property>
</Properties>
</file>