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0CD68">
      <w:pPr>
        <w:spacing w:line="240" w:lineRule="auto"/>
        <w:ind w:left="0" w:firstLine="0" w:firstLineChars="0"/>
        <w:jc w:val="center"/>
        <w:rPr>
          <w:rFonts w:hint="eastAsia" w:ascii="方正小标宋简体" w:hAnsi="方正小标宋简体" w:eastAsia="方正小标宋简体" w:cs="方正小标宋简体"/>
          <w:b w:val="0"/>
          <w:bCs/>
          <w:sz w:val="44"/>
          <w:szCs w:val="44"/>
          <w:lang w:eastAsia="zh-CN"/>
        </w:rPr>
      </w:pPr>
    </w:p>
    <w:p w14:paraId="52414869">
      <w:pPr>
        <w:spacing w:line="240" w:lineRule="auto"/>
        <w:ind w:left="0" w:firstLine="0" w:firstLineChars="0"/>
        <w:jc w:val="center"/>
        <w:rPr>
          <w:rFonts w:hint="eastAsia" w:ascii="仿宋_GB2312" w:hAnsi="仿宋_GB2312" w:eastAsia="仿宋_GB2312" w:cs="仿宋_GB2312"/>
          <w:b w:val="0"/>
          <w:bCs/>
          <w:sz w:val="44"/>
          <w:szCs w:val="44"/>
          <w:lang w:val="en-US" w:eastAsia="zh-CN"/>
        </w:rPr>
      </w:pPr>
      <w:r>
        <w:rPr>
          <w:rFonts w:hint="eastAsia" w:ascii="仿宋_GB2312" w:hAnsi="仿宋_GB2312" w:eastAsia="仿宋_GB2312" w:cs="仿宋_GB2312"/>
          <w:b w:val="0"/>
          <w:bCs/>
          <w:sz w:val="44"/>
          <w:szCs w:val="44"/>
          <w:lang w:val="en-US" w:eastAsia="zh-CN"/>
        </w:rPr>
        <w:t xml:space="preserve">                              B</w:t>
      </w:r>
    </w:p>
    <w:p w14:paraId="32D90B9E">
      <w:pPr>
        <w:spacing w:line="240" w:lineRule="auto"/>
        <w:ind w:firstLine="0" w:firstLineChars="0"/>
        <w:jc w:val="center"/>
        <w:rPr>
          <w:rFonts w:hint="eastAsia" w:ascii="仿宋" w:hAnsi="仿宋" w:eastAsia="仿宋" w:cs="仿宋"/>
          <w:b/>
          <w:bCs/>
          <w:i w:val="0"/>
          <w:iCs w:val="0"/>
          <w:kern w:val="2"/>
          <w:sz w:val="36"/>
          <w:szCs w:val="36"/>
          <w:u w:val="none"/>
          <w:lang w:val="en-US" w:eastAsia="zh-CN" w:bidi="ar-SA"/>
        </w:rPr>
      </w:pPr>
      <w:r>
        <w:rPr>
          <w:rFonts w:hint="eastAsia" w:ascii="仿宋" w:hAnsi="仿宋" w:eastAsia="仿宋" w:cs="仿宋"/>
          <w:b/>
          <w:bCs/>
          <w:i w:val="0"/>
          <w:iCs w:val="0"/>
          <w:kern w:val="2"/>
          <w:sz w:val="36"/>
          <w:szCs w:val="36"/>
          <w:u w:val="none"/>
          <w:lang w:val="en-US" w:eastAsia="zh-CN" w:bidi="ar-SA"/>
        </w:rPr>
        <w:t>对政协盂县第十届委员六次会议第83号提案的答复</w:t>
      </w:r>
    </w:p>
    <w:p w14:paraId="02B4F2F0">
      <w:pPr>
        <w:spacing w:line="240" w:lineRule="auto"/>
        <w:ind w:firstLine="0" w:firstLineChars="0"/>
        <w:jc w:val="center"/>
        <w:rPr>
          <w:rFonts w:hint="eastAsia" w:ascii="仿宋" w:hAnsi="仿宋" w:eastAsia="仿宋" w:cs="仿宋"/>
          <w:b/>
          <w:bCs/>
          <w:i w:val="0"/>
          <w:iCs w:val="0"/>
          <w:kern w:val="2"/>
          <w:sz w:val="36"/>
          <w:szCs w:val="36"/>
          <w:u w:val="none"/>
          <w:lang w:val="en-US" w:eastAsia="zh-CN" w:bidi="ar-SA"/>
        </w:rPr>
      </w:pPr>
      <w:bookmarkStart w:id="5" w:name="_GoBack"/>
      <w:bookmarkEnd w:id="5"/>
    </w:p>
    <w:p w14:paraId="253CF32A">
      <w:pPr>
        <w:keepNext w:val="0"/>
        <w:keepLines w:val="0"/>
        <w:pageBreakBefore w:val="0"/>
        <w:widowControl w:val="0"/>
        <w:kinsoku/>
        <w:wordWrap/>
        <w:overflowPunct/>
        <w:topLinePunct w:val="0"/>
        <w:autoSpaceDE/>
        <w:autoSpaceDN/>
        <w:bidi w:val="0"/>
        <w:adjustRightInd/>
        <w:snapToGrid/>
        <w:spacing w:line="560" w:lineRule="exact"/>
        <w:ind w:lef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韩鹏委员</w:t>
      </w:r>
      <w:r>
        <w:rPr>
          <w:rFonts w:hint="eastAsia" w:ascii="仿宋_GB2312" w:hAnsi="仿宋_GB2312" w:eastAsia="仿宋_GB2312" w:cs="仿宋_GB2312"/>
          <w:sz w:val="32"/>
          <w:szCs w:val="32"/>
        </w:rPr>
        <w:t>：</w:t>
      </w:r>
    </w:p>
    <w:p w14:paraId="506F4A3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关于系统推进县域文体赛事体系建设，全面激活城乡发展活力的建议》收悉。首先，衷心感谢您对我县县域发展和文体事业高质量发展的关心与支持！您的建议立足盂县实际、站位高远、思路清晰，精准把握了文体赛事与城乡发展的内在联系，深刻指出了当前我县文体赛事体系建设中存在的短板不足，提出的举措具体务实、针对性强，为我们进一步补齐工作短板、激发城乡发展活力提供了重要参考和有力指引。</w:t>
      </w:r>
    </w:p>
    <w:p w14:paraId="1DB26D8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近年来，我县始终坚持</w:t>
      </w:r>
      <w:r>
        <w:rPr>
          <w:rFonts w:hint="eastAsia" w:ascii="仿宋_GB2312" w:hAnsi="仿宋_GB2312" w:eastAsia="仿宋_GB2312" w:cs="仿宋_GB2312"/>
          <w:sz w:val="32"/>
          <w:szCs w:val="32"/>
          <w:lang w:eastAsia="zh-CN"/>
        </w:rPr>
        <w:t>以人民为中心的发展思想</w:t>
      </w:r>
      <w:r>
        <w:rPr>
          <w:rFonts w:hint="eastAsia" w:ascii="仿宋_GB2312" w:hAnsi="仿宋_GB2312" w:eastAsia="仿宋_GB2312" w:cs="仿宋_GB2312"/>
          <w:sz w:val="32"/>
          <w:szCs w:val="32"/>
        </w:rPr>
        <w:t>，深入实施全民健身国家战略，立足县域资源禀赋，统筹推进文体赛事开展和文体设施建设，先后举办各类群众性文体赛事、特色节庆赛事等百余场，逐步推动文体赛事向乡镇、村社下沉，在丰富群众精神文化生活、凝聚城乡发展合力、提升县域知名度等方面取得了一定成效。但正如您所指出的，我县文体赛事体系建设仍存在诸多不足：赛事布局不够均衡，城乡赛事资源配置差距较为明显，偏远乡村赛事供给不足；赛事品牌特色不突出，同质化现象较为普遍，缺乏具有盂县辨识度的核心赛事IP；赛事融合发展深度不够，与文旅、农业、商贸等产业联动不足，“以赛兴城、以赛促产”效应未能充分释放；赛事保障机制不够健全，专业人才短缺、市场化运作程度不高、资金投入多元性不足等问题，制约了赛事体系持续健康发展，未能充分发挥文体赛事激活城乡发展活力的核心作用。</w:t>
      </w:r>
    </w:p>
    <w:p w14:paraId="4AE383E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您提出的建议，结合我县“核心集聚、重点辐射、均衡覆盖”的公共健身娱乐场所布局规划，紧扣地域特点、人口分布和资源禀赋，细化落实举措、破解发展难题，着力推动县域文体赛事体系系统化建设，充分释放赛事赋能城乡发展的强大动能，现答复如下：</w:t>
      </w:r>
    </w:p>
    <w:p w14:paraId="106DF40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1"/>
        <w:rPr>
          <w:rFonts w:hint="eastAsia" w:ascii="方正黑体_GBK" w:hAnsi="方正黑体_GBK" w:eastAsia="方正黑体_GBK" w:cs="方正黑体_GBK"/>
          <w:b w:val="0"/>
          <w:bCs/>
          <w:sz w:val="32"/>
          <w:szCs w:val="32"/>
        </w:rPr>
      </w:pPr>
      <w:bookmarkStart w:id="0" w:name="heading_0"/>
      <w:r>
        <w:rPr>
          <w:rFonts w:hint="eastAsia" w:ascii="方正黑体_GBK" w:hAnsi="方正黑体_GBK" w:eastAsia="方正黑体_GBK" w:cs="方正黑体_GBK"/>
          <w:b w:val="0"/>
          <w:bCs/>
          <w:sz w:val="32"/>
          <w:szCs w:val="32"/>
        </w:rPr>
        <w:t>一、优化赛事布局，构建城乡联动的赛事体系</w:t>
      </w:r>
      <w:bookmarkEnd w:id="0"/>
    </w:p>
    <w:p w14:paraId="6BD437B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因地制宜、统筹兼顾、全民参与”原则，结合我县地域划分和城乡发展实际，构建“县城引领、乡镇联动、村社扎根”的三级赛事布局，推动赛事资源向乡村延伸、向基层下沉，实现城乡赛事全覆盖、群众就近能参与。</w:t>
      </w:r>
    </w:p>
    <w:p w14:paraId="0F1E19C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做强县城核心赛事。以秀水镇为核心，依托县城文体场馆、公园绿地等优质资源，打造1-2个具有盂县辨识度的核心赛事IP，重点培育篮球联赛、健身操大赛、民俗文化赛事等特色品牌，积极申办市级及以上高水平群众性赛事，提升赛事影响力和吸引力。同时，完善赛事配套服务，优化赛场周边交通、停车、餐饮等保障设施，提升群众参赛、观赛体验，打造县域赛事“标杆阵地”。</w:t>
      </w:r>
    </w:p>
    <w:p w14:paraId="3D91F38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二是做优乡镇特色赛事。立足</w:t>
      </w:r>
      <w:r>
        <w:rPr>
          <w:rFonts w:hint="eastAsia" w:ascii="仿宋_GB2312" w:hAnsi="仿宋_GB2312" w:eastAsia="仿宋_GB2312" w:cs="仿宋_GB2312"/>
          <w:sz w:val="32"/>
          <w:szCs w:val="32"/>
          <w:lang w:eastAsia="zh-CN"/>
        </w:rPr>
        <w:t>秀水、</w:t>
      </w:r>
      <w:r>
        <w:rPr>
          <w:rFonts w:hint="eastAsia" w:ascii="仿宋_GB2312" w:hAnsi="仿宋_GB2312" w:eastAsia="仿宋_GB2312" w:cs="仿宋_GB2312"/>
          <w:sz w:val="32"/>
          <w:szCs w:val="32"/>
        </w:rPr>
        <w:t>南娄镇、孙家庄镇等7个重点乡镇的资源禀赋和人口规模，每个乡镇打造1-2个本土特色赛事品牌，结合地域文化、农耕特色、产业优势，举办乡村篮球赛、农耕趣味赛事、户外徒步大会等群众喜闻乐见的赛事活动。建立乡镇赛事联动机制，定期组织跨乡镇赛事交流，提升乡镇赛事品质，发挥乡镇赛事辐射带动作用，打通赛事服务“最后一公里”。</w:t>
      </w:r>
    </w:p>
    <w:p w14:paraId="78452E4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三是做实村社基层赛事。针对仙人乡、</w:t>
      </w:r>
      <w:r>
        <w:rPr>
          <w:rFonts w:hint="eastAsia" w:ascii="仿宋_GB2312" w:hAnsi="仿宋_GB2312" w:eastAsia="仿宋_GB2312" w:cs="仿宋_GB2312"/>
          <w:sz w:val="32"/>
          <w:szCs w:val="32"/>
          <w:lang w:eastAsia="zh-CN"/>
        </w:rPr>
        <w:t>梁家寨</w:t>
      </w:r>
      <w:r>
        <w:rPr>
          <w:rFonts w:hint="eastAsia" w:ascii="仿宋_GB2312" w:hAnsi="仿宋_GB2312" w:eastAsia="仿宋_GB2312" w:cs="仿宋_GB2312"/>
          <w:sz w:val="32"/>
          <w:szCs w:val="32"/>
        </w:rPr>
        <w:t>等偏远乡村及全县各村社，推行“小型化、常态化、娱乐化”赛事模式，鼓励村社自发组织邻里友谊赛、小型趣味健身赛、民俗文体活动等，培育群众身边的赛事品牌。兼顾老年人、青少年、残疾人等特殊群体，设置适配性赛事项目，确保赛事惠及全民，激发群众参与热情，营造“人人爱运动、个个能参赛”的良好氛围。</w:t>
      </w:r>
    </w:p>
    <w:p w14:paraId="0981D9B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1"/>
        <w:rPr>
          <w:rFonts w:hint="eastAsia" w:ascii="方正黑体_GBK" w:hAnsi="方正黑体_GBK" w:eastAsia="方正黑体_GBK" w:cs="方正黑体_GBK"/>
          <w:b w:val="0"/>
          <w:bCs/>
          <w:sz w:val="32"/>
          <w:szCs w:val="32"/>
        </w:rPr>
      </w:pPr>
      <w:bookmarkStart w:id="1" w:name="heading_1"/>
      <w:r>
        <w:rPr>
          <w:rFonts w:hint="eastAsia" w:ascii="方正黑体_GBK" w:hAnsi="方正黑体_GBK" w:eastAsia="方正黑体_GBK" w:cs="方正黑体_GBK"/>
          <w:b w:val="0"/>
          <w:bCs/>
          <w:sz w:val="32"/>
          <w:szCs w:val="32"/>
        </w:rPr>
        <w:t>二、打造特色品牌，提升赛事核心影响力</w:t>
      </w:r>
      <w:bookmarkEnd w:id="1"/>
    </w:p>
    <w:p w14:paraId="3BB635E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特色化、差异化、品牌化”发展思路，深挖盂县本土文化底蕴和资源优势，推动文体赛事与本土文化深度融合，打造一批有特色、有影响力、有生命力的赛事品牌，以品牌赛事凝聚人气、汇聚商气、激活活力。</w:t>
      </w:r>
    </w:p>
    <w:p w14:paraId="6D0372E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深挖本土文化内涵。将盂县非遗文化、民俗风情、传统技艺、农耕文化等融入赛事全过程，在赛事开幕式、闭幕式中展示非遗表演、民俗节目，在赛事间隙设置传统手工艺体验、地方美食展销等环节，让赛事既有“竞技味”，更有“文化味”“乡土味”。重点打造民俗文化赛事、农耕体育赛事等特色品牌，彰显盂县地域特色，增强赛事的吸引力和辨识度。</w:t>
      </w:r>
    </w:p>
    <w:p w14:paraId="65BD75F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丰富赛事品类供给。兼顾竞技性与群众性、专业性与娱乐性，重点培育球类、跑步、健身操等普及性赛事，积极引入瑜伽、骑行、库钓等新兴赛事项目，满足不同群体的多样化赛事需求。聚焦青少年成长，举办校园文体赛事、青少年体育训练营，培育体育后备人才；聚焦全民健身，举办全民健身日、体育节等主题赛事活动，推动赛事与健身服务深度融合。</w:t>
      </w:r>
    </w:p>
    <w:p w14:paraId="7ABD8A2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强化赛事品牌运营。加强对特色赛事品牌的包装、宣传和推广，构建“线上+线下”联动的宣传矩阵，提升赛事知名度和影响力。引入专业赛事运营理念，规范赛事组织流程，提升赛事专业化水平，推动特色赛事品牌常态化、规模化发展，力争将1-2个特色赛事打造成为市级乃至省级知名赛事品牌，以品牌赛事为名片，提升盂县县域知名度和美誉度。</w:t>
      </w:r>
    </w:p>
    <w:p w14:paraId="5A78166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1"/>
        <w:rPr>
          <w:rFonts w:hint="eastAsia" w:ascii="方正黑体_GBK" w:hAnsi="方正黑体_GBK" w:eastAsia="方正黑体_GBK" w:cs="方正黑体_GBK"/>
          <w:b w:val="0"/>
          <w:bCs/>
          <w:sz w:val="32"/>
          <w:szCs w:val="32"/>
        </w:rPr>
      </w:pPr>
      <w:bookmarkStart w:id="2" w:name="heading_2"/>
      <w:r>
        <w:rPr>
          <w:rFonts w:hint="eastAsia" w:ascii="方正黑体_GBK" w:hAnsi="方正黑体_GBK" w:eastAsia="方正黑体_GBK" w:cs="方正黑体_GBK"/>
          <w:b w:val="0"/>
          <w:bCs/>
          <w:sz w:val="32"/>
          <w:szCs w:val="32"/>
        </w:rPr>
        <w:t>三、深化融合发展，释放赛事赋能发展动能</w:t>
      </w:r>
      <w:bookmarkEnd w:id="2"/>
    </w:p>
    <w:p w14:paraId="01A259C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赛事搭台、产业唱戏、城乡受益”的理念，打破产业壁垒，推动文体赛事与文旅、农业、商贸、乡村振兴等深度融合，延伸赛事产业链、价值链，让赛事活力转化为城乡发展动力，实现“办赛惠民、以赛促融、以赛兴城”。</w:t>
      </w:r>
    </w:p>
    <w:p w14:paraId="7F102F6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推动“赛事+文旅”融合。以赛事为纽带，串联我县水泉公园、建设森林公园、刘家寨湿地公园等旅游景点、乡村民宿、特色农庄等资源，推出“赛事+旅游”精品线路，吸引参赛选手、观众走进盂县、游览盂县，带动乡村旅游发展。结合赛事举办，开展文旅促销活动，发放文旅优惠券，撬动旅游消费潜力，实现赛事与文旅发展双向赋能。</w:t>
      </w:r>
    </w:p>
    <w:p w14:paraId="3313BF6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推动“赛事+农业”融合。结合我县农耕文化和特色农产品优势，举办农耕趣味赛事、农产品展销会等活动，在赛事现场设置农特产品摊位，展示、销售盂县特色农产品，提升农产品知名度和销量，带动农民增收。依托高深山现代农业生态园等资源，打造“赛事+农耕体验”特色场景，推动赛事与现代农业深度融合，助力乡村振兴。</w:t>
      </w:r>
    </w:p>
    <w:p w14:paraId="23AC8F9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推动“赛事+商贸”融合。依托赛事集聚的人气，举办商业展销、品牌推广等活动，在赛场外同步开设运动市集、特色商品展销区，引入赛事官方特许商品、潮流品牌及本地特色产品，拓展“观赛+餐饮购物”消费新场景，拉动城乡消费增长。鼓励本地企业参与赛事赞助、运营，推动赛事与本土产业深度联动，培育赛事相关新业态，为县域经济增长开辟新赛道。</w:t>
      </w:r>
    </w:p>
    <w:p w14:paraId="011170C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1"/>
        <w:rPr>
          <w:rFonts w:hint="eastAsia" w:ascii="方正黑体_GBK" w:hAnsi="方正黑体_GBK" w:eastAsia="方正黑体_GBK" w:cs="方正黑体_GBK"/>
          <w:b w:val="0"/>
          <w:bCs/>
          <w:sz w:val="32"/>
          <w:szCs w:val="32"/>
        </w:rPr>
      </w:pPr>
      <w:bookmarkStart w:id="3" w:name="heading_3"/>
      <w:r>
        <w:rPr>
          <w:rFonts w:hint="eastAsia" w:ascii="方正黑体_GBK" w:hAnsi="方正黑体_GBK" w:eastAsia="方正黑体_GBK" w:cs="方正黑体_GBK"/>
          <w:b w:val="0"/>
          <w:bCs/>
          <w:sz w:val="32"/>
          <w:szCs w:val="32"/>
        </w:rPr>
        <w:t>四、强化保障支撑，健全赛事长效运行机制</w:t>
      </w:r>
      <w:bookmarkEnd w:id="3"/>
    </w:p>
    <w:p w14:paraId="2C663CA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立足赛事体系建设长远需求，强化组织、资金、人才、设施四大保障，健全完善各项工作机制，推动县域文体赛事体系建设规范化、长效化开展，确保各项举措落地见效。</w:t>
      </w:r>
    </w:p>
    <w:p w14:paraId="4C8380C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强化组织保障，凝聚工作合力。成立由县委、县政府牵头，县文旅局、县体育局、县财政局等相关部门及各镇乡政府为成员的县域文体赛事体系建设工作领导小组，明确职责分工、细化工作任务，形成“上下联动、左右协同、齐抓共管”的工作格局。建立定期会商机制，每季度召开工作推进会，研究解决赛事体系建设中的困难和问题，统筹推进赛事布局、品牌打造、融合发展等工作。</w:t>
      </w:r>
    </w:p>
    <w:p w14:paraId="317BD9B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强化资金保障，拓宽投入渠道。构建“政府主导、市场参与、社会补充”的多元资金投入机制，将文体赛事体系建设、赛事组织举办资金纳入县级财政年度预算，重点保障重点赛事、基层赛事和品牌赛事发展。积极向上级部门争取资金扶持，鼓励企业、社会组织、爱心人士参与赛事赞助、捐赠，引入专业赛事运营公司，探索市场化运作模式，降低政府投入压力，提升赛事运营效益。</w:t>
      </w:r>
    </w:p>
    <w:p w14:paraId="55DCDB8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强化人才保障，提升专业水平。培育一支“专业型+复合型+群众性”的赛事人才队伍，定期组织赛事策划、组织、裁判、运营等专业人员培训，邀请行业专家开展指导，提升人才专业能力。挖掘本土文化能人、体育爱好者，培育基层赛事组织者、文体辅导员，充实基层赛事人才力量。出台优惠政策，吸引文体领域专业人才、高校毕业生扎根盂县，参与赛事体系建设和赛事运营管理，为赛事体系建设提供智力支撑。</w:t>
      </w:r>
    </w:p>
    <w:p w14:paraId="76E2E3C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强化设施保障，夯实赛事基础。结合我县公共健身娱乐场所布局优化工作，持续加大文体设施建设投入，统筹推进县城文体中心、乡镇综合健身广场、村社健身点等设施建设，完善赛事举办所需场地、器材等设施，为赛事开展提供坚实支撑。加强现有文体设施的管理维护，推动设施向社会免费或低收费开放，提高设施利用率，确保赛事活动顺利开展。推进文体设施智慧化升级，打造智慧赛事场景，提升赛事服务品质。</w:t>
      </w:r>
    </w:p>
    <w:p w14:paraId="762FBE0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1"/>
        <w:rPr>
          <w:rFonts w:hint="eastAsia" w:ascii="方正黑体_GBK" w:hAnsi="方正黑体_GBK" w:eastAsia="方正黑体_GBK" w:cs="方正黑体_GBK"/>
          <w:b w:val="0"/>
          <w:bCs/>
          <w:sz w:val="32"/>
          <w:szCs w:val="32"/>
        </w:rPr>
      </w:pPr>
      <w:bookmarkStart w:id="4" w:name="heading_4"/>
      <w:r>
        <w:rPr>
          <w:rFonts w:hint="eastAsia" w:ascii="方正黑体_GBK" w:hAnsi="方正黑体_GBK" w:eastAsia="方正黑体_GBK" w:cs="方正黑体_GBK"/>
          <w:b w:val="0"/>
          <w:bCs/>
          <w:sz w:val="32"/>
          <w:szCs w:val="32"/>
        </w:rPr>
        <w:t>五、健全长效机制，推动工作常态化提升</w:t>
      </w:r>
      <w:bookmarkEnd w:id="4"/>
    </w:p>
    <w:p w14:paraId="2B25C8A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立足长远发展，不断健全完善各项工作机制，强化监督考核，推动县域文体赛事体系建设持续提升、久久为功，充分发挥赛事激活城乡发展活力的核心作用。</w:t>
      </w:r>
    </w:p>
    <w:p w14:paraId="75CE72D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健全考核激励机制。将县域文体赛事体系建设工作纳入相关部门、各镇乡政府绩效考核，细化考核指标，定期开展考核评估，对工作成效显著、群众满意度高的单位和个人给予表彰奖励；对工作不力、问题突出、整改不到位的，予以通报批评、督促整改，倒逼责任落实。</w:t>
      </w:r>
    </w:p>
    <w:p w14:paraId="297ED41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健全赛事管理机制。制定县域文体赛事管理办法，规范赛事申报、组织、安全保障、运营等流程，加强赛事安全监管，防范赛事风险，确保赛事安全有序开展。建立赛事评价反馈机制，广泛听取群众、参赛选手、赞助商等各方意见建议，及时优化赛事组织流程、提升赛事品质。</w:t>
      </w:r>
    </w:p>
    <w:p w14:paraId="364A1CE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健全宣传推广机制。依托县融媒体中心、微信公众号、视频号、抖音等新媒体平台，构建“赛前预热、赛中引爆、赛后长尾”的三维宣传模式，开展赛事直播、精彩瞬间回放、赛事解读等宣传活动，扩大赛事影响力。对接中央、省、市主流媒体，提升赛事和盂县县域知名度，营造“人人关注赛事、人人参与赛事”的浓厚氛围。</w:t>
      </w:r>
    </w:p>
    <w:p w14:paraId="0DF4328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一步，我县将以您的建议为契机，持续强化责任落实、细化工作举措、健全长效机制，着力破解县域文体赛事体系建设中的短板难题，不断完善赛事布局、打造特色品牌、深化融合发展，充分发挥文体赛事凝聚人心、激活动能、推动发展的重要作用，全面激发城乡发展活力，推动我县文体事业和县域高质量发展深度融合，为建设宜居宜业和美盂县注入强劲文体动能。</w:t>
      </w:r>
    </w:p>
    <w:p w14:paraId="472492E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再次感谢您对我县县域发展和文体事业发展的关心、支持和监督！恳请您继续关注我县各项工作，多提宝贵意见和建议，助力我县各项事业持续健康发展。</w:t>
      </w:r>
    </w:p>
    <w:p w14:paraId="7DC0AEE3">
      <w:pPr>
        <w:bidi w:val="0"/>
        <w:rPr>
          <w:rFonts w:hint="eastAsia" w:asciiTheme="minorHAnsi" w:hAnsiTheme="minorHAnsi" w:eastAsiaTheme="minorEastAsia" w:cstheme="minorBidi"/>
          <w:sz w:val="21"/>
          <w:szCs w:val="22"/>
        </w:rPr>
      </w:pPr>
    </w:p>
    <w:p w14:paraId="4ED1C78E">
      <w:pPr>
        <w:bidi w:val="0"/>
        <w:rPr>
          <w:rFonts w:hint="eastAsia"/>
        </w:rPr>
      </w:pPr>
    </w:p>
    <w:p w14:paraId="2373B12D">
      <w:pPr>
        <w:bidi w:val="0"/>
        <w:rPr>
          <w:rFonts w:hint="eastAsia"/>
        </w:rPr>
      </w:pPr>
    </w:p>
    <w:p w14:paraId="321F418D">
      <w:pPr>
        <w:bidi w:val="0"/>
        <w:rPr>
          <w:rFonts w:hint="eastAsia"/>
        </w:rPr>
      </w:pPr>
    </w:p>
    <w:p w14:paraId="1FCBFEB9">
      <w:pPr>
        <w:keepNext w:val="0"/>
        <w:keepLines w:val="0"/>
        <w:pageBreakBefore w:val="0"/>
        <w:widowControl w:val="0"/>
        <w:kinsoku/>
        <w:wordWrap/>
        <w:overflowPunct/>
        <w:topLinePunct w:val="0"/>
        <w:autoSpaceDE/>
        <w:autoSpaceDN/>
        <w:bidi w:val="0"/>
        <w:adjustRightInd/>
        <w:snapToGrid/>
        <w:spacing w:line="560" w:lineRule="exact"/>
        <w:ind w:right="945" w:rightChars="450" w:firstLine="0"/>
        <w:jc w:val="right"/>
        <w:textAlignment w:val="auto"/>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 xml:space="preserve">            盂县卫生健康和体育局</w:t>
      </w:r>
    </w:p>
    <w:p w14:paraId="3F974773">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rPr>
      </w:pPr>
    </w:p>
    <w:p w14:paraId="4E3400C7">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eastAsia="仿宋_GB2312"/>
          <w:sz w:val="32"/>
          <w:szCs w:val="32"/>
        </w:rPr>
      </w:pPr>
      <w:r>
        <w:rPr>
          <w:rFonts w:hint="eastAsia" w:ascii="仿宋_GB2312" w:hAnsi="仿宋_GB2312" w:eastAsia="仿宋_GB2312"/>
          <w:sz w:val="32"/>
        </w:rPr>
        <w:t xml:space="preserve">                         </w:t>
      </w:r>
      <w:r>
        <w:rPr>
          <w:rFonts w:hint="eastAsia" w:ascii="仿宋_GB2312" w:hAnsi="仿宋_GB2312" w:eastAsia="仿宋_GB2312"/>
          <w:sz w:val="32"/>
          <w:lang w:eastAsia="zh-CN"/>
        </w:rPr>
        <w:t xml:space="preserve">  </w:t>
      </w:r>
    </w:p>
    <w:p w14:paraId="0B017B81">
      <w:pPr>
        <w:keepNext w:val="0"/>
        <w:keepLines w:val="0"/>
        <w:pageBreakBefore w:val="0"/>
        <w:widowControl w:val="0"/>
        <w:tabs>
          <w:tab w:val="left" w:pos="770"/>
        </w:tabs>
        <w:kinsoku/>
        <w:wordWrap/>
        <w:overflowPunct/>
        <w:topLinePunct w:val="0"/>
        <w:autoSpaceDE/>
        <w:autoSpaceDN/>
        <w:bidi w:val="0"/>
        <w:adjustRightInd/>
        <w:snapToGrid/>
        <w:spacing w:line="560" w:lineRule="exact"/>
        <w:jc w:val="left"/>
        <w:textAlignment w:val="auto"/>
        <w:rPr>
          <w:rFonts w:hint="eastAsia" w:eastAsiaTheme="minorEastAsia"/>
          <w:lang w:eastAsia="zh-CN"/>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6EB970D-15E6-4DD9-8EC0-AF3E2A8B817D}"/>
  </w:font>
  <w:font w:name="方正小标宋简体">
    <w:panose1 w:val="03000509000000000000"/>
    <w:charset w:val="86"/>
    <w:family w:val="auto"/>
    <w:pitch w:val="default"/>
    <w:sig w:usb0="00000001" w:usb1="080E0000" w:usb2="00000000" w:usb3="00000000" w:csb0="00040000" w:csb1="00000000"/>
    <w:embedRegular r:id="rId2" w:fontKey="{F333FE2E-D8E5-42FF-A10F-231CF26634A8}"/>
  </w:font>
  <w:font w:name="仿宋_GB2312">
    <w:panose1 w:val="02010609030101010101"/>
    <w:charset w:val="86"/>
    <w:family w:val="auto"/>
    <w:pitch w:val="default"/>
    <w:sig w:usb0="00000001" w:usb1="080E0000" w:usb2="00000000" w:usb3="00000000" w:csb0="00040000" w:csb1="00000000"/>
    <w:embedRegular r:id="rId3" w:fontKey="{24988A49-1146-44FB-90C9-0FFFF09A01A7}"/>
  </w:font>
  <w:font w:name="方正黑体_GBK">
    <w:panose1 w:val="02010600010101010101"/>
    <w:charset w:val="86"/>
    <w:family w:val="auto"/>
    <w:pitch w:val="default"/>
    <w:sig w:usb0="00000001" w:usb1="080E0000" w:usb2="00000000" w:usb3="00000000" w:csb0="00040000" w:csb1="00000000"/>
    <w:embedRegular r:id="rId4" w:fontKey="{FB58FABE-6FB1-4B26-B5B2-18B531BCB181}"/>
  </w:font>
  <w:font w:name="仿宋">
    <w:panose1 w:val="02010609060101010101"/>
    <w:charset w:val="86"/>
    <w:family w:val="auto"/>
    <w:pitch w:val="default"/>
    <w:sig w:usb0="800002BF" w:usb1="38CF7CFA" w:usb2="00000016" w:usb3="00000000" w:csb0="00040001" w:csb1="00000000"/>
    <w:embedRegular r:id="rId5" w:fontKey="{7A5DEA9E-E117-4BA3-8797-15409B743F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F48E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7384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0E4BFC"/>
    <w:rsid w:val="4FD8628B"/>
    <w:rsid w:val="513605E8"/>
    <w:rsid w:val="550F0B45"/>
    <w:rsid w:val="563B492A"/>
    <w:rsid w:val="5DCA09DA"/>
    <w:rsid w:val="70331494"/>
    <w:rsid w:val="71914028"/>
    <w:rsid w:val="7F5C6782"/>
    <w:rsid w:val="9EFEB4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dc56ed39-3b33-418a-8c0e-5bf366a73e72</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F1E19CE</paraID>
      <start>41</start>
      <end>42</end>
      <status>unmodified</status>
      <modifiedWord/>
      <trackRevisions>false</trackRevisions>
    </reviewItem>
    <reviewItem>
      <errorID>3fe66ac3-234b-4627-abd5-440f99b8b3b8</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3D91F383</paraID>
      <start>49</start>
      <end>50</end>
      <status>unmodified</status>
      <modifiedWord/>
      <trackRevisions>false</trackRevisions>
    </reviewItem>
    <reviewItem>
      <errorID>8b2d206c-69ce-4a6c-99ba-64249ffc67d1</errorID>
      <errorWord>-</errorWord>
      <group>L1_Punc</group>
      <groupName>标点问题</groupName>
      <ability>L2_Punc_CN</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7ABD8A21</paraID>
      <start>111</start>
      <end>112</end>
      <status>unmodified</status>
      <modifiedWord/>
      <trackRevisions>false</trackRevisions>
    </reviewItem>
  </reviewItems>
  <config/>
</contractReview>
</file>

<file path=customXml/itemProps1.xml><?xml version="1.0" encoding="utf-8"?>
<ds:datastoreItem xmlns:ds="http://schemas.openxmlformats.org/officeDocument/2006/customXml" ds:itemID="{f7ce4ce1-2bf8-48a9-a706-1b53cee285c6}">
  <ds:schemaRefs/>
</ds:datastoreItem>
</file>

<file path=docProps/app.xml><?xml version="1.0" encoding="utf-8"?>
<Properties xmlns="http://schemas.openxmlformats.org/officeDocument/2006/extended-properties" xmlns:vt="http://schemas.openxmlformats.org/officeDocument/2006/docPropsVTypes">
  <Pages>8</Pages>
  <Words>4018</Words>
  <Characters>4027</Characters>
  <TotalTime>2</TotalTime>
  <ScaleCrop>false</ScaleCrop>
  <LinksUpToDate>false</LinksUpToDate>
  <CharactersWithSpaces>4096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2026-02-08T09:51:00Z</dcterms:created>
  <dc:creator>Apache POI</dc:creator>
  <cp:lastModifiedBy>哈哈哈哈哈</cp:lastModifiedBy>
  <cp:lastPrinted>2026-05-21T11:28:00Z</cp:lastPrinted>
  <dcterms:modified xsi:type="dcterms:W3CDTF">2026-07-21T08:09:17Z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130B660026D1422B97AEBADEFBC449F6_13</vt:lpwstr>
  </property>
  <property fmtid="{D5CDD505-2E9C-101B-9397-08002B2CF9AE}" pid="4" name="KSOTemplateDocerSaveRecord">
    <vt:lpwstr>eyJoZGlkIjoiMjk4N2FmYjkwMTIyYjM1ZmFhOWU3YWJhYzNlMzAzOGMiLCJ1c2VySWQiOiI1Mzg4Mzc1NDUifQ==</vt:lpwstr>
  </property>
</Properties>
</file>