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88C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小标宋简体" w:hAnsi="方正小标宋简体" w:eastAsia="方正小标宋简体" w:cs="方正小标宋简体"/>
          <w:b w:val="0"/>
          <w:bCs/>
          <w:sz w:val="44"/>
          <w:szCs w:val="44"/>
          <w:lang w:eastAsia="zh-CN"/>
        </w:rPr>
      </w:pPr>
    </w:p>
    <w:p w14:paraId="5ED4A613">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仿宋_GB2312" w:hAnsi="仿宋_GB2312" w:eastAsia="仿宋_GB2312" w:cs="仿宋_GB2312"/>
          <w:b w:val="0"/>
          <w:bCs/>
          <w:sz w:val="44"/>
          <w:szCs w:val="44"/>
          <w:lang w:val="en-US" w:eastAsia="zh-CN"/>
        </w:rPr>
      </w:pPr>
      <w:r>
        <w:rPr>
          <w:rFonts w:hint="eastAsia" w:ascii="仿宋_GB2312" w:hAnsi="仿宋_GB2312" w:eastAsia="仿宋_GB2312" w:cs="仿宋_GB2312"/>
          <w:b w:val="0"/>
          <w:bCs/>
          <w:sz w:val="44"/>
          <w:szCs w:val="44"/>
          <w:lang w:val="en-US" w:eastAsia="zh-CN"/>
        </w:rPr>
        <w:t xml:space="preserve">                             B</w:t>
      </w:r>
    </w:p>
    <w:p w14:paraId="4DB99998">
      <w:pPr>
        <w:spacing w:line="240" w:lineRule="auto"/>
        <w:ind w:firstLine="0" w:firstLineChars="0"/>
        <w:jc w:val="center"/>
        <w:rPr>
          <w:rFonts w:hint="eastAsia" w:ascii="仿宋" w:hAnsi="仿宋" w:eastAsia="仿宋" w:cs="仿宋"/>
          <w:b/>
          <w:bCs/>
          <w:i w:val="0"/>
          <w:iCs w:val="0"/>
          <w:kern w:val="2"/>
          <w:sz w:val="36"/>
          <w:szCs w:val="36"/>
          <w:u w:val="none"/>
          <w:lang w:val="en-US" w:eastAsia="zh-CN" w:bidi="ar-SA"/>
        </w:rPr>
      </w:pPr>
      <w:r>
        <w:rPr>
          <w:rFonts w:hint="eastAsia" w:ascii="仿宋" w:hAnsi="仿宋" w:eastAsia="仿宋" w:cs="仿宋"/>
          <w:b/>
          <w:bCs/>
          <w:i w:val="0"/>
          <w:iCs w:val="0"/>
          <w:kern w:val="2"/>
          <w:sz w:val="36"/>
          <w:szCs w:val="36"/>
          <w:u w:val="none"/>
          <w:lang w:val="en-US" w:eastAsia="zh-CN" w:bidi="ar-SA"/>
        </w:rPr>
        <w:t>对政协盂</w:t>
      </w:r>
      <w:bookmarkStart w:id="11" w:name="_GoBack"/>
      <w:r>
        <w:rPr>
          <w:rFonts w:hint="eastAsia" w:ascii="仿宋" w:hAnsi="仿宋" w:eastAsia="仿宋" w:cs="仿宋"/>
          <w:b/>
          <w:bCs/>
          <w:i w:val="0"/>
          <w:iCs w:val="0"/>
          <w:kern w:val="2"/>
          <w:sz w:val="36"/>
          <w:szCs w:val="36"/>
          <w:u w:val="none"/>
          <w:lang w:val="en-US" w:eastAsia="zh-CN" w:bidi="ar-SA"/>
        </w:rPr>
        <w:t>县第十届委员</w:t>
      </w:r>
      <w:bookmarkEnd w:id="11"/>
      <w:r>
        <w:rPr>
          <w:rFonts w:hint="eastAsia" w:ascii="仿宋" w:hAnsi="仿宋" w:eastAsia="仿宋" w:cs="仿宋"/>
          <w:b/>
          <w:bCs/>
          <w:i w:val="0"/>
          <w:iCs w:val="0"/>
          <w:kern w:val="2"/>
          <w:sz w:val="36"/>
          <w:szCs w:val="36"/>
          <w:u w:val="none"/>
          <w:lang w:val="en-US" w:eastAsia="zh-CN" w:bidi="ar-SA"/>
        </w:rPr>
        <w:t>六次会议第82号提案的答复</w:t>
      </w:r>
    </w:p>
    <w:p w14:paraId="3E95F407">
      <w:pPr>
        <w:spacing w:before="120" w:after="120" w:line="288" w:lineRule="auto"/>
        <w:ind w:left="0"/>
        <w:jc w:val="left"/>
        <w:rPr>
          <w:rFonts w:hint="eastAsia" w:ascii="仿宋" w:hAnsi="仿宋" w:eastAsia="仿宋" w:cs="仿宋"/>
          <w:sz w:val="32"/>
          <w:szCs w:val="32"/>
          <w:lang w:eastAsia="zh-CN"/>
        </w:rPr>
      </w:pPr>
    </w:p>
    <w:p w14:paraId="7A169546">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杨焕英委员</w:t>
      </w:r>
      <w:r>
        <w:rPr>
          <w:rFonts w:hint="eastAsia" w:ascii="仿宋" w:hAnsi="仿宋" w:eastAsia="仿宋" w:cs="仿宋"/>
          <w:sz w:val="32"/>
          <w:szCs w:val="32"/>
        </w:rPr>
        <w:t>：</w:t>
      </w:r>
    </w:p>
    <w:p w14:paraId="1F8014C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您提出的《关于科学划分地域优化盂县公共健身娱乐场所布局的建议》收悉。首先，衷心感谢您对我县公共文体事业发展和城乡民生改善的关心与支持！您的建议立足盂县地域特点、人口分布实际，精准指出了当前我县公共健身娱乐场所布局不均衡、供给不精准、适配性不足等突出问题，提出的地域划分思路清晰、优化举措具体可行，为我们补齐设施布局短板、提升公共文体服务质效、激活城乡发展活力提供了重要参考和有力指引。</w:t>
      </w:r>
    </w:p>
    <w:p w14:paraId="00E6EE8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近年来，我县始终坚持</w:t>
      </w:r>
      <w:r>
        <w:rPr>
          <w:rFonts w:hint="eastAsia" w:ascii="仿宋" w:hAnsi="仿宋" w:eastAsia="仿宋" w:cs="仿宋"/>
          <w:sz w:val="32"/>
          <w:szCs w:val="32"/>
          <w:lang w:eastAsia="zh-CN"/>
        </w:rPr>
        <w:t>以人民为中心的发展思想</w:t>
      </w:r>
      <w:r>
        <w:rPr>
          <w:rFonts w:hint="eastAsia" w:ascii="仿宋" w:hAnsi="仿宋" w:eastAsia="仿宋" w:cs="仿宋"/>
          <w:sz w:val="32"/>
          <w:szCs w:val="32"/>
        </w:rPr>
        <w:t>，深入实施全民健身国家战略，持续加大公共健身娱乐场所投入力度，逐步推动健身设施向乡镇、村社延伸，先后配建各类健身广场、健身路径、文体活动场地等一批公共服务设施，一定程度上满足了群众就近健身娱乐需求。但正如您所指出的，受我县地域跨度大、城乡发展不均衡、人口分布差异明显等因素影响，公共健身娱乐场所布局仍存在诸多短板：</w:t>
      </w:r>
      <w:r>
        <w:rPr>
          <w:rFonts w:hint="eastAsia" w:ascii="仿宋" w:hAnsi="仿宋" w:eastAsia="仿宋" w:cs="仿宋"/>
          <w:sz w:val="32"/>
          <w:szCs w:val="32"/>
          <w:lang w:eastAsia="zh-CN"/>
        </w:rPr>
        <w:t>阳泉北站周边区域呈现“居住密度高、健身需求旺”的特点。</w:t>
      </w:r>
      <w:r>
        <w:rPr>
          <w:rFonts w:hint="eastAsia" w:ascii="仿宋" w:hAnsi="仿宋" w:eastAsia="仿宋" w:cs="仿宋"/>
          <w:sz w:val="32"/>
          <w:szCs w:val="32"/>
        </w:rPr>
        <w:t>针对您提出的建议，我</w:t>
      </w:r>
      <w:r>
        <w:rPr>
          <w:rFonts w:hint="eastAsia" w:ascii="仿宋" w:hAnsi="仿宋" w:eastAsia="仿宋" w:cs="仿宋"/>
          <w:sz w:val="32"/>
          <w:szCs w:val="32"/>
          <w:lang w:eastAsia="zh-CN"/>
        </w:rPr>
        <w:t>局</w:t>
      </w:r>
      <w:r>
        <w:rPr>
          <w:rFonts w:hint="eastAsia" w:ascii="仿宋" w:hAnsi="仿宋" w:eastAsia="仿宋" w:cs="仿宋"/>
          <w:sz w:val="32"/>
          <w:szCs w:val="32"/>
        </w:rPr>
        <w:t>高度重视，立即组织专题研究部署，结合您提出的地域划分思路，紧扣盂县行政区划、人口分布、地理特征和现有设施基础，细化落实举措、破解布局难题，着力推动公共健身娱乐场所布局科学化、合理化、均衡化，切实保障群众基本文体权益，为县域文体赛事体系建设筑牢载体根基，现答复如下：</w:t>
      </w:r>
    </w:p>
    <w:p w14:paraId="347FB2E0">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1"/>
        <w:rPr>
          <w:rFonts w:hint="eastAsia" w:ascii="仿宋" w:hAnsi="仿宋" w:eastAsia="仿宋" w:cs="仿宋"/>
          <w:sz w:val="32"/>
          <w:szCs w:val="32"/>
        </w:rPr>
      </w:pPr>
      <w:bookmarkStart w:id="0" w:name="heading_0"/>
      <w:r>
        <w:rPr>
          <w:rFonts w:hint="eastAsia" w:ascii="仿宋" w:hAnsi="仿宋" w:eastAsia="仿宋" w:cs="仿宋"/>
          <w:b/>
          <w:sz w:val="32"/>
          <w:szCs w:val="32"/>
        </w:rPr>
        <w:t>一、坚持科学导向，明确地域划分与布局优化核心原则</w:t>
      </w:r>
      <w:bookmarkEnd w:id="0"/>
    </w:p>
    <w:p w14:paraId="626DA1D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立足</w:t>
      </w:r>
      <w:r>
        <w:rPr>
          <w:rFonts w:hint="eastAsia" w:ascii="仿宋" w:hAnsi="仿宋" w:eastAsia="仿宋" w:cs="仿宋"/>
          <w:sz w:val="32"/>
          <w:szCs w:val="32"/>
          <w:lang w:eastAsia="zh-CN"/>
        </w:rPr>
        <w:t>我</w:t>
      </w:r>
      <w:r>
        <w:rPr>
          <w:rFonts w:hint="eastAsia" w:ascii="仿宋" w:hAnsi="仿宋" w:eastAsia="仿宋" w:cs="仿宋"/>
          <w:sz w:val="32"/>
          <w:szCs w:val="32"/>
        </w:rPr>
        <w:t>县实际，坚决摒弃“一刀切”布局模式，严格遵循您建议的核心思路，确立“四大原则”，确保地域划分科学合理、布局优化贴合实际、举措落地切实可行，推动公共健身娱乐场所供给与群众需求精准匹配。</w:t>
      </w:r>
    </w:p>
    <w:p w14:paraId="5806DBD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一是坚持人口导向、精准适配。以各</w:t>
      </w:r>
      <w:r>
        <w:rPr>
          <w:rFonts w:hint="eastAsia" w:ascii="仿宋" w:hAnsi="仿宋" w:eastAsia="仿宋" w:cs="仿宋"/>
          <w:sz w:val="32"/>
          <w:szCs w:val="32"/>
          <w:lang w:eastAsia="zh-CN"/>
        </w:rPr>
        <w:t>乡镇</w:t>
      </w:r>
      <w:r>
        <w:rPr>
          <w:rFonts w:hint="eastAsia" w:ascii="仿宋" w:hAnsi="仿宋" w:eastAsia="仿宋" w:cs="仿宋"/>
          <w:sz w:val="32"/>
          <w:szCs w:val="32"/>
        </w:rPr>
        <w:t>、村社人口规模、年龄结构为核心依据，对秀水镇</w:t>
      </w:r>
      <w:r>
        <w:rPr>
          <w:rFonts w:hint="eastAsia" w:ascii="仿宋" w:hAnsi="仿宋" w:eastAsia="仿宋" w:cs="仿宋"/>
          <w:sz w:val="32"/>
          <w:szCs w:val="32"/>
          <w:lang w:eastAsia="zh-CN"/>
        </w:rPr>
        <w:t>、城镇办事处</w:t>
      </w:r>
      <w:r>
        <w:rPr>
          <w:rFonts w:hint="eastAsia" w:ascii="仿宋" w:hAnsi="仿宋" w:eastAsia="仿宋" w:cs="仿宋"/>
          <w:sz w:val="32"/>
          <w:szCs w:val="32"/>
        </w:rPr>
        <w:t>等人口密集镇，重点提升设施密度与功能多样性，缓解设施负荷压力，满足大规模群众多样化健身需求；对</w:t>
      </w:r>
      <w:r>
        <w:rPr>
          <w:rFonts w:hint="eastAsia" w:ascii="仿宋" w:hAnsi="仿宋" w:eastAsia="仿宋" w:cs="仿宋"/>
          <w:sz w:val="32"/>
          <w:szCs w:val="32"/>
          <w:lang w:eastAsia="zh-CN"/>
        </w:rPr>
        <w:t>梁家寨乡、西潘乡</w:t>
      </w:r>
      <w:r>
        <w:rPr>
          <w:rFonts w:hint="eastAsia" w:ascii="仿宋" w:hAnsi="仿宋" w:eastAsia="仿宋" w:cs="仿宋"/>
          <w:sz w:val="32"/>
          <w:szCs w:val="32"/>
        </w:rPr>
        <w:t>等人少村多的乡镇，侧重“小型化、全覆盖”，优先保障群众就近健身需求，避免设施闲置与资源浪费；同时兼顾青少年、老年人、残疾人等特殊群体，合理配置适配性设施，确保赛事惠及全民。</w:t>
      </w:r>
    </w:p>
    <w:p w14:paraId="2B3CE89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是坚持地域统筹、城乡融合。结合我县“城区集聚、乡镇辐射、村社扎根”的空间格局，统筹县城与乡村、平原与山区地域资源，打破城乡壁垒，推动健身娱乐设施从县城向乡镇、村社延伸，实现“县城引领、乡镇联动、村社覆盖”的三级布局，促进城乡文体服务一体化发展，助力城乡融合发展。</w:t>
      </w:r>
    </w:p>
    <w:p w14:paraId="38E7DA7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三是坚持资源整合、因地制宜。结合各</w:t>
      </w:r>
      <w:r>
        <w:rPr>
          <w:rFonts w:hint="eastAsia" w:ascii="仿宋" w:hAnsi="仿宋" w:eastAsia="仿宋" w:cs="仿宋"/>
          <w:sz w:val="32"/>
          <w:szCs w:val="32"/>
          <w:lang w:eastAsia="zh-CN"/>
        </w:rPr>
        <w:t>乡镇</w:t>
      </w:r>
      <w:r>
        <w:rPr>
          <w:rFonts w:hint="eastAsia" w:ascii="仿宋" w:hAnsi="仿宋" w:eastAsia="仿宋" w:cs="仿宋"/>
          <w:sz w:val="32"/>
          <w:szCs w:val="32"/>
        </w:rPr>
        <w:t>地理条件、现有设施基础，整合闲置场地、公园绿地、文化广场等资源，避免重复建设。依托水泉公园、建设森林公园等现有休闲场地增设健身设施，利用明鑫体育馆等现有场馆拓展功能；山区乡镇侧重建设户外健身设施，平原乡镇侧重完善综合型健身娱乐场地，贴合地域特色，提升设施适配性。</w:t>
      </w:r>
    </w:p>
    <w:p w14:paraId="4932D2D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四是坚持赛事联动、共建共享。推动布局优化与县域文体赛事体系建设深度衔接，确保各区域健身娱乐场所既能满足群众日常健身娱乐需求，又能承接基层文体赛事、群众性活动，实现“一场多用、一址多能”，提升资源利用率，让设施资源成为赛事开展、群众参与的重要载体。</w:t>
      </w:r>
    </w:p>
    <w:p w14:paraId="64F5891A">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1"/>
        <w:rPr>
          <w:rFonts w:hint="eastAsia" w:ascii="仿宋" w:hAnsi="仿宋" w:eastAsia="仿宋" w:cs="仿宋"/>
          <w:sz w:val="32"/>
          <w:szCs w:val="32"/>
        </w:rPr>
      </w:pPr>
      <w:bookmarkStart w:id="1" w:name="heading_1"/>
      <w:r>
        <w:rPr>
          <w:rFonts w:hint="eastAsia" w:ascii="仿宋" w:hAnsi="仿宋" w:eastAsia="仿宋" w:cs="仿宋"/>
          <w:b/>
          <w:sz w:val="32"/>
          <w:szCs w:val="32"/>
        </w:rPr>
        <w:t>二、科学划分地域板块，分级分类优化布局结构</w:t>
      </w:r>
      <w:bookmarkEnd w:id="1"/>
    </w:p>
    <w:p w14:paraId="1619BB8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严格按照您提出的地域划分思路，结合</w:t>
      </w:r>
      <w:r>
        <w:rPr>
          <w:rFonts w:hint="eastAsia" w:ascii="仿宋" w:hAnsi="仿宋" w:eastAsia="仿宋" w:cs="仿宋"/>
          <w:sz w:val="32"/>
          <w:szCs w:val="32"/>
          <w:lang w:eastAsia="zh-CN"/>
        </w:rPr>
        <w:t>我</w:t>
      </w:r>
      <w:r>
        <w:rPr>
          <w:rFonts w:hint="eastAsia" w:ascii="仿宋" w:hAnsi="仿宋" w:eastAsia="仿宋" w:cs="仿宋"/>
          <w:sz w:val="32"/>
          <w:szCs w:val="32"/>
        </w:rPr>
        <w:t>县8镇4乡行政区划、人口分布、地理特征，将全县划分为“核心集聚板块、重点辐射板块、均衡覆盖板块”三大地域板块，分级分类明确建设重点与目标，精准破解布局不均衡难题。</w:t>
      </w:r>
    </w:p>
    <w:p w14:paraId="26CDC417">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2"/>
        <w:rPr>
          <w:rFonts w:hint="eastAsia" w:ascii="仿宋" w:hAnsi="仿宋" w:eastAsia="仿宋" w:cs="仿宋"/>
          <w:sz w:val="32"/>
          <w:szCs w:val="32"/>
        </w:rPr>
      </w:pPr>
      <w:bookmarkStart w:id="2" w:name="heading_2"/>
      <w:r>
        <w:rPr>
          <w:rFonts w:hint="eastAsia" w:ascii="仿宋" w:hAnsi="仿宋" w:eastAsia="仿宋" w:cs="仿宋"/>
          <w:b/>
          <w:sz w:val="32"/>
          <w:szCs w:val="32"/>
        </w:rPr>
        <w:t>（一）优化核心集聚板块，打造高品质服务标杆</w:t>
      </w:r>
      <w:bookmarkEnd w:id="2"/>
    </w:p>
    <w:p w14:paraId="69D143D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涵盖区域：以秀水镇</w:t>
      </w:r>
      <w:r>
        <w:rPr>
          <w:rFonts w:hint="eastAsia" w:ascii="仿宋" w:hAnsi="仿宋" w:eastAsia="仿宋" w:cs="仿宋"/>
          <w:sz w:val="32"/>
          <w:szCs w:val="32"/>
          <w:lang w:eastAsia="zh-CN"/>
        </w:rPr>
        <w:t>、城镇坝办事处</w:t>
      </w:r>
      <w:r>
        <w:rPr>
          <w:rFonts w:hint="eastAsia" w:ascii="仿宋" w:hAnsi="仿宋" w:eastAsia="仿宋" w:cs="仿宋"/>
          <w:sz w:val="32"/>
          <w:szCs w:val="32"/>
        </w:rPr>
        <w:t>为核心，重点包括东关北村、北关村、南关村等人口密集行政村及</w:t>
      </w:r>
      <w:r>
        <w:rPr>
          <w:rFonts w:hint="eastAsia" w:ascii="仿宋" w:hAnsi="仿宋" w:eastAsia="仿宋" w:cs="仿宋"/>
          <w:sz w:val="32"/>
          <w:szCs w:val="32"/>
          <w:lang w:eastAsia="zh-CN"/>
        </w:rPr>
        <w:t>阳泉北站周边</w:t>
      </w:r>
      <w:r>
        <w:rPr>
          <w:rFonts w:hint="eastAsia" w:ascii="仿宋" w:hAnsi="仿宋" w:eastAsia="仿宋" w:cs="仿宋"/>
          <w:sz w:val="32"/>
          <w:szCs w:val="32"/>
        </w:rPr>
        <w:t>区</w:t>
      </w:r>
      <w:r>
        <w:rPr>
          <w:rFonts w:hint="eastAsia" w:ascii="仿宋" w:hAnsi="仿宋" w:eastAsia="仿宋" w:cs="仿宋"/>
          <w:sz w:val="32"/>
          <w:szCs w:val="32"/>
          <w:lang w:eastAsia="zh-CN"/>
        </w:rPr>
        <w:t>域</w:t>
      </w:r>
      <w:r>
        <w:rPr>
          <w:rFonts w:hint="eastAsia" w:ascii="仿宋" w:hAnsi="仿宋" w:eastAsia="仿宋" w:cs="仿宋"/>
          <w:sz w:val="32"/>
          <w:szCs w:val="32"/>
        </w:rPr>
        <w:t>，辐射路家村镇、孙家庄镇临近城区的村社。该板块人口集中、交通便利、群众需求旺盛，是全县公共健身娱乐的核心区域。</w:t>
      </w:r>
    </w:p>
    <w:p w14:paraId="2EC9D71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优化举措：一是加密设施布局，在现有设施基础上，针对人口密集但设施薄弱的区域，增设综合型健身广场、智能健身驿站，补充篮球、乒乓球、羽毛球等普及性设施，缓解部分区域设施负荷过大的问题；二是提升设施品质，升级改造现有健身路径，增设室内健身场馆、老年健身区、青少年运动区，引入瑜伽、普拉提、跆拳道等多样化健身项目，适配不同群体需求；三是整合赛事功能，依托现有场馆资源，打造1-2个核心健身赛事活动点，可承接县级中小型文体赛事、健身技能培训等活动，联动周边商业健身场所，形成“公共+商业”互补的服务格局，打造全县健身娱乐服务标杆；同时，利用水泉公园、侧三佰楼游园等现有场地，完善健身设施，打造“公园+健身”一体化场景。</w:t>
      </w:r>
    </w:p>
    <w:p w14:paraId="58B3086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2"/>
        <w:rPr>
          <w:rFonts w:hint="eastAsia" w:ascii="仿宋" w:hAnsi="仿宋" w:eastAsia="仿宋" w:cs="仿宋"/>
          <w:sz w:val="32"/>
          <w:szCs w:val="32"/>
        </w:rPr>
      </w:pPr>
      <w:bookmarkStart w:id="3" w:name="heading_3"/>
      <w:r>
        <w:rPr>
          <w:rFonts w:hint="eastAsia" w:ascii="仿宋" w:hAnsi="仿宋" w:eastAsia="仿宋" w:cs="仿宋"/>
          <w:b/>
          <w:sz w:val="32"/>
          <w:szCs w:val="32"/>
        </w:rPr>
        <w:t>（二）强化重点辐射板块，构建区域性服务枢纽</w:t>
      </w:r>
      <w:bookmarkEnd w:id="3"/>
    </w:p>
    <w:p w14:paraId="5A48680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涵盖区域：包括南娄镇、孙家庄镇、路家村镇、苌池镇、牛村镇、上社镇、西烟镇7个乡镇的中心区域及周边人口集中村社。该板块是连接县城与乡村的关键节点，人口规模中等，具备一定的设施基础与辐射能力。</w:t>
      </w:r>
    </w:p>
    <w:p w14:paraId="27876E9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优化举措：一是完善乡镇级综合健身娱乐中心，每个乡镇重点打造1个综合型健身广场，配备篮球架、健身路径、文化舞台等设施，兼具健身、娱乐、赛事功能，可承接乡镇级文体赛事、广场舞大赛等群众性活动；二是补齐薄弱村社设施，针对乡镇内人口较多的行政村（如南娄镇南娄村、孙家庄镇孙家庄村），增设小型健身场地，确保群众步行15分钟内可到达健身场所；三是打造特色设施，结合各乡镇资源禀赋，南娄镇依托工业底蕴打造职工健身专区，上社镇、西烟镇结合山区特色增设户外徒步、登山健身步道，苌池镇结合乡村风貌打造农耕健身体验区，提升设施适配性与吸引力；四是强化辐射带动，推动乡镇中心设施与周边村社设施联动，定期组织健身活动、技能培训，带动周边村社群众参与，构建区域性健身娱乐服务枢纽。</w:t>
      </w:r>
    </w:p>
    <w:p w14:paraId="55DEF7B5">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2"/>
        <w:rPr>
          <w:rFonts w:hint="eastAsia" w:ascii="仿宋" w:hAnsi="仿宋" w:eastAsia="仿宋" w:cs="仿宋"/>
          <w:sz w:val="32"/>
          <w:szCs w:val="32"/>
        </w:rPr>
      </w:pPr>
      <w:bookmarkStart w:id="4" w:name="heading_4"/>
      <w:r>
        <w:rPr>
          <w:rFonts w:hint="eastAsia" w:ascii="仿宋" w:hAnsi="仿宋" w:eastAsia="仿宋" w:cs="仿宋"/>
          <w:b/>
          <w:sz w:val="32"/>
          <w:szCs w:val="32"/>
        </w:rPr>
        <w:t>（三）补齐均衡覆盖板块，实现普惠性服务延伸</w:t>
      </w:r>
      <w:bookmarkEnd w:id="4"/>
    </w:p>
    <w:p w14:paraId="3370B7A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涵盖区域：包括</w:t>
      </w:r>
      <w:r>
        <w:rPr>
          <w:rFonts w:hint="eastAsia" w:ascii="仿宋" w:hAnsi="仿宋" w:eastAsia="仿宋" w:cs="仿宋"/>
          <w:sz w:val="32"/>
          <w:szCs w:val="32"/>
          <w:lang w:eastAsia="zh-CN"/>
        </w:rPr>
        <w:t>梁家寨乡、西潘乡</w:t>
      </w:r>
      <w:r>
        <w:rPr>
          <w:rFonts w:hint="eastAsia" w:ascii="仿宋" w:hAnsi="仿宋" w:eastAsia="仿宋" w:cs="仿宋"/>
          <w:sz w:val="32"/>
          <w:szCs w:val="32"/>
        </w:rPr>
        <w:t>全部村社，以及其他7个乡镇的偏远行政村（如孙家庄镇禅房村、路家村镇滴水崖村、上社镇龙门汖村等）。该板块人口分散、交通不便，现有设施短缺、功能单一，是布局优化的重点短板区域。</w:t>
      </w:r>
    </w:p>
    <w:p w14:paraId="3DE27CA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优化举措：一是推行“小型化、分散化”布局，结合村社人口规模，在每个行政村至少建设1个小型健身点，配备简易健身器材（如漫步机、太极揉推器等），针对人口特别少的自然村，采取“就近合并、共享设施”的方式，确保群众就近能健身；二是侧重基础保障，优先配置老年人、儿童适配的简易健身设施，兼顾实用性与安全性，避免复杂设施闲置；三是强化设施维护，建立“村社专人负责、乡镇定期巡查”的维护机制，定期对健身器材进行检修、更换，解决乡村设施“重建设、轻维护”的问题；四是联动赛事下沉，结合乡村特点，在健身点周边设置小型活动场地，承接村级邻里友谊赛、小型趣味健身活动，让设施真正用起来，实现普惠性服务全覆盖，打通健身娱乐服务“最后一公里”。</w:t>
      </w:r>
    </w:p>
    <w:p w14:paraId="13593322">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1"/>
        <w:rPr>
          <w:rFonts w:hint="eastAsia" w:ascii="仿宋" w:hAnsi="仿宋" w:eastAsia="仿宋" w:cs="仿宋"/>
          <w:sz w:val="32"/>
          <w:szCs w:val="32"/>
        </w:rPr>
      </w:pPr>
      <w:bookmarkStart w:id="5" w:name="heading_5"/>
      <w:r>
        <w:rPr>
          <w:rFonts w:hint="eastAsia" w:ascii="仿宋" w:hAnsi="仿宋" w:eastAsia="仿宋" w:cs="仿宋"/>
          <w:b/>
          <w:sz w:val="32"/>
          <w:szCs w:val="32"/>
        </w:rPr>
        <w:t>三、强化保障措施，确保地域划分与布局优化落地见效</w:t>
      </w:r>
      <w:bookmarkEnd w:id="5"/>
    </w:p>
    <w:p w14:paraId="00C4143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聚焦布局优化重点任务，强化组织、资金、管理、人才四大保障，凝聚工作合力，推动各项举措落地生根，切实把您的建议转化为推动我县公共健身娱乐场所高质量发展的实际成效。</w:t>
      </w:r>
    </w:p>
    <w:p w14:paraId="43871E4B">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2"/>
        <w:rPr>
          <w:rFonts w:hint="eastAsia" w:ascii="仿宋" w:hAnsi="仿宋" w:eastAsia="仿宋" w:cs="仿宋"/>
          <w:sz w:val="32"/>
          <w:szCs w:val="32"/>
        </w:rPr>
      </w:pPr>
      <w:bookmarkStart w:id="6" w:name="heading_6"/>
      <w:r>
        <w:rPr>
          <w:rFonts w:hint="eastAsia" w:ascii="仿宋" w:hAnsi="仿宋" w:eastAsia="仿宋" w:cs="仿宋"/>
          <w:b/>
          <w:sz w:val="32"/>
          <w:szCs w:val="32"/>
        </w:rPr>
        <w:t>（一）强化组织保障，统筹推进实施</w:t>
      </w:r>
      <w:bookmarkEnd w:id="6"/>
    </w:p>
    <w:p w14:paraId="6C14C0A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成立由县委、县政府牵头，县文旅局、体育局、财政局、农业农村局及各镇乡政府为成员的布局优化工作领导小组，明确职责分工，细化工作任务。县文旅局、体育局负责统筹规划、方案制定、指导监督；各镇乡政府负责本辖区地域划分、场地选址、设施建设与日常管理；各相关部门密切配合，协调解决土地、资金、审批等难题。建立定期会商机制，每季度召开工作推进会，研究解决布局优化中的困难和问题，确保规划有序推进、落地见效，同步衔接县域文体赛事体系建设相关工作。</w:t>
      </w:r>
    </w:p>
    <w:p w14:paraId="669A5280">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2"/>
        <w:rPr>
          <w:rFonts w:hint="eastAsia" w:ascii="仿宋" w:hAnsi="仿宋" w:eastAsia="仿宋" w:cs="仿宋"/>
          <w:sz w:val="32"/>
          <w:szCs w:val="32"/>
        </w:rPr>
      </w:pPr>
      <w:bookmarkStart w:id="7" w:name="heading_7"/>
      <w:r>
        <w:rPr>
          <w:rFonts w:hint="eastAsia" w:ascii="仿宋" w:hAnsi="仿宋" w:eastAsia="仿宋" w:cs="仿宋"/>
          <w:b/>
          <w:sz w:val="32"/>
          <w:szCs w:val="32"/>
        </w:rPr>
        <w:t>（二）强化资金保障，多元筹措投入</w:t>
      </w:r>
      <w:bookmarkEnd w:id="7"/>
    </w:p>
    <w:p w14:paraId="69D00E5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构建“政府主导、市场参与、社会捐赠”的多元资金投入机制，保障布局优化与设施建设、维护资金需求。一是加大财政投入，将公共健身娱乐场所建设、维护资金纳入县级财政预算，重点向重点辐射板块、均衡覆盖板块倾斜，优先保障薄弱区域设施建设；二是引导市场参与，鼓励企业、社会组织赞助健身设施建设，参与设施运营管理，在秀水镇等核心板块探索“商业健身+公共服务”联动模式，提升服务品质；三是鼓励社会捐赠，发动乡贤、爱心人士捐赠健身器材、资金，助力乡村健身设施建设，形成“全民共建、全民共享”的良好氛围；同时，积极向上级体育部门争取体育彩票公益金扶持，补充资金缺口。</w:t>
      </w:r>
    </w:p>
    <w:p w14:paraId="340DD53A">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2"/>
        <w:rPr>
          <w:rFonts w:hint="eastAsia" w:ascii="仿宋" w:hAnsi="仿宋" w:eastAsia="仿宋" w:cs="仿宋"/>
          <w:sz w:val="32"/>
          <w:szCs w:val="32"/>
        </w:rPr>
      </w:pPr>
      <w:bookmarkStart w:id="8" w:name="heading_8"/>
      <w:r>
        <w:rPr>
          <w:rFonts w:hint="eastAsia" w:ascii="仿宋" w:hAnsi="仿宋" w:eastAsia="仿宋" w:cs="仿宋"/>
          <w:b/>
          <w:sz w:val="32"/>
          <w:szCs w:val="32"/>
        </w:rPr>
        <w:t>（三）强化管理保障，提升服务质效</w:t>
      </w:r>
      <w:bookmarkEnd w:id="8"/>
    </w:p>
    <w:p w14:paraId="34DABC7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建立“分级管理、责任到人”的管理机制，确保设施规范运行、高效利用。核心集聚板块由县城管局、社区负责管理，重点辐射板块由乡镇文体站、村社负责管理，均衡覆盖板块由村社专人负责管理，明确管理职责，定期开展设施检修、环境卫生整治。建立设施使用登记、故障报修制度，畅通群众反馈渠道，及时解决设施损坏、使用不便等问题。同时，规范健身场所使用秩序，张贴健身安全须知，引导群众文明健身、安全健身，营造良好的使用氛围。</w:t>
      </w:r>
    </w:p>
    <w:p w14:paraId="526BE561">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2"/>
        <w:rPr>
          <w:rFonts w:hint="eastAsia" w:ascii="仿宋" w:hAnsi="仿宋" w:eastAsia="仿宋" w:cs="仿宋"/>
          <w:sz w:val="32"/>
          <w:szCs w:val="32"/>
        </w:rPr>
      </w:pPr>
      <w:bookmarkStart w:id="9" w:name="heading_9"/>
      <w:r>
        <w:rPr>
          <w:rFonts w:hint="eastAsia" w:ascii="仿宋" w:hAnsi="仿宋" w:eastAsia="仿宋" w:cs="仿宋"/>
          <w:b/>
          <w:sz w:val="32"/>
          <w:szCs w:val="32"/>
        </w:rPr>
        <w:t>（四）强化人才保障，夯实服务基础</w:t>
      </w:r>
      <w:bookmarkEnd w:id="9"/>
    </w:p>
    <w:p w14:paraId="1EAF1ED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培育一支“专业型+群众性”的健身服务人才队伍，提升服务能力。一是开展专业培训，定期组织健身教练、设施维护人员、基层文体辅导员培训，重点面向乡镇、村社，提升基层人员设施维护、健身指导能力；二是挖掘本土人才，鼓励乡村文化能人、体育爱好者加入健身服务队伍，担任基层健身指导员，带动群众科学健身、开展健身活动；三是引入专业力量，与专业健身机构、体育院校合作，邀请专家学者、专业教练开展健身技能培训、赛事组织指导，提升全县公共健身娱乐服务专业化水平，同时为基层文体赛事开展提供人才支撑。</w:t>
      </w:r>
    </w:p>
    <w:p w14:paraId="1BBBF33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1"/>
        <w:rPr>
          <w:rFonts w:hint="eastAsia" w:ascii="仿宋" w:hAnsi="仿宋" w:eastAsia="仿宋" w:cs="仿宋"/>
          <w:sz w:val="32"/>
          <w:szCs w:val="32"/>
        </w:rPr>
      </w:pPr>
      <w:bookmarkStart w:id="10" w:name="heading_10"/>
      <w:r>
        <w:rPr>
          <w:rFonts w:hint="eastAsia" w:ascii="仿宋" w:hAnsi="仿宋" w:eastAsia="仿宋" w:cs="仿宋"/>
          <w:b/>
          <w:sz w:val="32"/>
          <w:szCs w:val="32"/>
        </w:rPr>
        <w:t>四、健全长效机制，推动工作常态化提升</w:t>
      </w:r>
      <w:bookmarkEnd w:id="10"/>
    </w:p>
    <w:p w14:paraId="2B4CACF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立足长远发展，不断健全完善相关机制，推动公共健身娱乐场所布局优化工作常态化、规范化、制度化，持续提升服务质效。</w:t>
      </w:r>
    </w:p>
    <w:p w14:paraId="4A59E0C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是建立动态调整机制。定期开展全县公共健身娱乐场所布局、使用情况排查，结合人口变动、群众需求变化、县域发展规划，及时调整地域划分、优化设施布局，补充适配性设施，解决群众新需求、新难题，确保布局优化工作长效推进。</w:t>
      </w:r>
    </w:p>
    <w:p w14:paraId="0B1B03B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是健全考核激励机制。将公共健身娱乐场所布局优化、管理维护工作纳入各镇乡政府和相关部门绩效考核，细化考核指标，定期开展考核评估，对工作成效显著、群众满意度高的单位和个人给予表彰奖励；对工作不力、问题突出、整改不到位的，予以通报批评、督促整改，倒逼责任落实。</w:t>
      </w:r>
    </w:p>
    <w:p w14:paraId="7E510B6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是完善协同联动机制。加强县、乡、村三级协同配合，建立定期会商、信息共享、联合排查、联合整改等工作机制，及时协调解决布局优化、设施维护中的困难和问题；加强与器材生产厂家、专业维护机构的沟通协作，建立快速维修响应机制，提高维修效率和质量，确保设施始</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终处于良好运行状态。</w:t>
      </w:r>
    </w:p>
    <w:p w14:paraId="3D389BC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下一步，我</w:t>
      </w:r>
      <w:r>
        <w:rPr>
          <w:rFonts w:hint="eastAsia" w:ascii="仿宋" w:hAnsi="仿宋" w:eastAsia="仿宋" w:cs="仿宋"/>
          <w:sz w:val="32"/>
          <w:szCs w:val="32"/>
          <w:lang w:eastAsia="zh-CN"/>
        </w:rPr>
        <w:t>局</w:t>
      </w:r>
      <w:r>
        <w:rPr>
          <w:rFonts w:hint="eastAsia" w:ascii="仿宋" w:hAnsi="仿宋" w:eastAsia="仿宋" w:cs="仿宋"/>
          <w:sz w:val="32"/>
          <w:szCs w:val="32"/>
        </w:rPr>
        <w:t>将以您的建议为契机，持续强化责任落实、细化工作举措、健全长效机制，着力破解公共健身娱乐场所布局不均衡等突出问题，不断优化设施布局、提升服务质效，切实保障群众基本健身娱乐权益，推动我县公共文体事业高质量发展，为建设宜居宜业和美盂县注入强劲文体活力。</w:t>
      </w:r>
    </w:p>
    <w:p w14:paraId="2E92D96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再次感谢您对我县公共文体事业发展的关心、支持和监督！恳请您继续关注我县各项工作，多提宝贵意见和建议，助力我县各项事业持续健康发展。</w:t>
      </w:r>
    </w:p>
    <w:p w14:paraId="4D064B8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p>
    <w:p w14:paraId="04347B2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rPr>
      </w:pPr>
    </w:p>
    <w:p w14:paraId="1FCBFEB9">
      <w:pPr>
        <w:keepNext w:val="0"/>
        <w:keepLines w:val="0"/>
        <w:pageBreakBefore w:val="0"/>
        <w:widowControl w:val="0"/>
        <w:kinsoku/>
        <w:wordWrap/>
        <w:overflowPunct/>
        <w:topLinePunct w:val="0"/>
        <w:autoSpaceDE/>
        <w:autoSpaceDN/>
        <w:bidi w:val="0"/>
        <w:adjustRightInd/>
        <w:snapToGrid/>
        <w:spacing w:line="560" w:lineRule="exact"/>
        <w:ind w:right="964" w:rightChars="459" w:firstLine="640" w:firstLineChars="200"/>
        <w:jc w:val="right"/>
        <w:textAlignment w:val="auto"/>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 xml:space="preserve">       盂县卫生健康和体育局</w:t>
      </w:r>
    </w:p>
    <w:p w14:paraId="4C4ECA9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B6B7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8B27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81699"/>
    <w:rsid w:val="14496F20"/>
    <w:rsid w:val="20E114E8"/>
    <w:rsid w:val="34644797"/>
    <w:rsid w:val="37DA8D48"/>
    <w:rsid w:val="3EEC4AB3"/>
    <w:rsid w:val="42271E13"/>
    <w:rsid w:val="5DFA5B65"/>
    <w:rsid w:val="79D31EFC"/>
    <w:rsid w:val="7E176BC1"/>
    <w:rsid w:val="7FDED99C"/>
    <w:rsid w:val="7FFE4C8E"/>
    <w:rsid w:val="8EBED187"/>
    <w:rsid w:val="BEFE43EC"/>
    <w:rsid w:val="F7FFB17C"/>
    <w:rsid w:val="FB3BF1B6"/>
    <w:rsid w:val="FCEB9A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e03df4d8-f5ee-41c5-8640-318d9a0946e6</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2EC9D71A</paraID>
      <start>183</start>
      <end>184</end>
      <status>unmodified</status>
      <modifiedWord/>
      <trackRevisions>false</trackRevisions>
    </reviewItem>
  </reviewItems>
  <config/>
</contractReview>
</file>

<file path=customXml/itemProps1.xml><?xml version="1.0" encoding="utf-8"?>
<ds:datastoreItem xmlns:ds="http://schemas.openxmlformats.org/officeDocument/2006/customXml" ds:itemID="{a4ef1124-c0b9-41e6-8da0-84b1ba9d9fc2}">
  <ds:schemaRefs/>
</ds:datastoreItem>
</file>

<file path=docProps/app.xml><?xml version="1.0" encoding="utf-8"?>
<Properties xmlns="http://schemas.openxmlformats.org/officeDocument/2006/extended-properties" xmlns:vt="http://schemas.openxmlformats.org/officeDocument/2006/docPropsVTypes">
  <Pages>9</Pages>
  <Words>4437</Words>
  <Characters>4441</Characters>
  <TotalTime>3</TotalTime>
  <ScaleCrop>false</ScaleCrop>
  <LinksUpToDate>false</LinksUpToDate>
  <CharactersWithSpaces>4478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2026-02-09T01:54:00Z</dcterms:created>
  <dc:creator>Apache POI</dc:creator>
  <cp:lastModifiedBy>哈哈哈哈哈</cp:lastModifiedBy>
  <cp:lastPrinted>2026-03-10T08:04:00Z</cp:lastPrinted>
  <dcterms:modified xsi:type="dcterms:W3CDTF">2026-07-21T08:08:55Z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0D1D401453A14DF681DBC8B536367DBF_13</vt:lpwstr>
  </property>
  <property fmtid="{D5CDD505-2E9C-101B-9397-08002B2CF9AE}" pid="4" name="KSOTemplateDocerSaveRecord">
    <vt:lpwstr>eyJoZGlkIjoiMjk4N2FmYjkwMTIyYjM1ZmFhOWU3YWJhYzNlMzAzOGMiLCJ1c2VySWQiOiI1Mzg4Mzc1NDUifQ==</vt:lpwstr>
  </property>
</Properties>
</file>