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E2AED1">
      <w:pPr>
        <w:jc w:val="right"/>
        <w:rPr>
          <w:rFonts w:hint="eastAsia"/>
          <w:sz w:val="32"/>
          <w:szCs w:val="32"/>
        </w:rPr>
      </w:pPr>
      <w:r>
        <w:rPr>
          <w:rFonts w:hint="eastAsia"/>
          <w:sz w:val="32"/>
          <w:szCs w:val="32"/>
        </w:rPr>
        <w:t>B</w:t>
      </w:r>
    </w:p>
    <w:p w14:paraId="1952182E">
      <w:pPr>
        <w:jc w:val="right"/>
        <w:rPr>
          <w:rFonts w:hint="eastAsia" w:ascii="仿宋" w:hAnsi="仿宋" w:eastAsia="仿宋" w:cs="仿宋"/>
          <w:sz w:val="36"/>
          <w:szCs w:val="36"/>
          <w:lang w:eastAsia="zh-CN"/>
        </w:rPr>
      </w:pPr>
    </w:p>
    <w:p w14:paraId="67DA3C95">
      <w:pPr>
        <w:jc w:val="center"/>
        <w:rPr>
          <w:rFonts w:hint="eastAsia" w:ascii="仿宋" w:hAnsi="仿宋" w:eastAsia="仿宋"/>
          <w:b/>
          <w:sz w:val="32"/>
          <w:szCs w:val="32"/>
        </w:rPr>
      </w:pPr>
      <w:bookmarkStart w:id="0" w:name="_GoBack"/>
      <w:r>
        <w:rPr>
          <w:rFonts w:hint="eastAsia" w:ascii="仿宋" w:hAnsi="仿宋" w:eastAsia="仿宋" w:cs="仿宋"/>
          <w:b/>
          <w:bCs/>
          <w:i w:val="0"/>
          <w:iCs w:val="0"/>
          <w:sz w:val="36"/>
          <w:szCs w:val="36"/>
          <w:u w:val="none"/>
          <w:lang w:val="en-US" w:eastAsia="zh-CN"/>
        </w:rPr>
        <w:t>对盂县第十届政协六次会议第2号建议的答复</w:t>
      </w:r>
      <w:bookmarkEnd w:id="0"/>
    </w:p>
    <w:p w14:paraId="7BB6777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sz w:val="36"/>
          <w:szCs w:val="36"/>
          <w:lang w:val="en-US" w:eastAsia="zh-CN"/>
        </w:rPr>
      </w:pPr>
    </w:p>
    <w:p w14:paraId="06B96C2D">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农工党阳泉市委盂县小组委员：</w:t>
      </w:r>
    </w:p>
    <w:p w14:paraId="4962E5F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您们提出的《关于以科技创新赋能盂县资源型经济转型的建议》的提案已收悉，现答复如下：</w:t>
      </w:r>
    </w:p>
    <w:p w14:paraId="59F436B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近年来在县委、县政府的坚强领导和市科技局的有力指导下，全县上下深入贯彻党的二十大和二十届历次全会精神，全面落实国家、省、市关于“加快高水平科技自立自强，引领发展新质生产力”的决策部署，坚持把科技创新作为推动高质量发展的核心引擎，聚焦重点产业、强化平台建设、优化创新生态，全县科技创新工作取得积极成效。</w:t>
      </w:r>
    </w:p>
    <w:p w14:paraId="06D64DC5">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 w:hAnsi="仿宋" w:eastAsia="仿宋" w:cs="仿宋"/>
          <w:b/>
          <w:bCs/>
          <w:sz w:val="32"/>
          <w:szCs w:val="32"/>
          <w:lang w:val="en-US" w:eastAsia="zh-CN"/>
        </w:rPr>
        <w:t>一、强化创新主体培育，激活企业创新动力。</w:t>
      </w:r>
      <w:r>
        <w:rPr>
          <w:rFonts w:hint="eastAsia" w:ascii="仿宋_GB2312" w:hAnsi="仿宋_GB2312" w:eastAsia="仿宋_GB2312" w:cs="仿宋_GB2312"/>
          <w:b w:val="0"/>
          <w:bCs w:val="0"/>
          <w:color w:val="auto"/>
          <w:kern w:val="2"/>
          <w:sz w:val="32"/>
          <w:szCs w:val="32"/>
          <w:lang w:val="en-US" w:eastAsia="zh-CN" w:bidi="ar-SA"/>
        </w:rPr>
        <w:t>培育我县国家级制造业单项冠军企业1家，省级企业技术中心1家，省级科技孵化器1家，省级科普基地2家，省级新型研发机构1家，市级高科技领军企业1家，市级技术创新中心3家,市级科技特派员2名，市级新型研发机构1家，科技型中小企业入库12家，现有高新技术企业11家（新培育山西欧贝姆纳米科技有限公司、山西东大土壤科技股份有限公司、山西晋富源新材料有限公司三家企业成功获批高新技术企业，盂县西小坪耐火材料有限公司再次复审通过），创新主体队伍不断扩大，圆满完成年度目标计划，创新活力进一步得到提升。</w:t>
      </w:r>
    </w:p>
    <w:p w14:paraId="0BDC4950">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sz w:val="32"/>
          <w:szCs w:val="40"/>
        </w:rPr>
      </w:pPr>
      <w:r>
        <w:rPr>
          <w:rFonts w:hint="eastAsia" w:ascii="仿宋" w:hAnsi="仿宋" w:eastAsia="仿宋" w:cs="仿宋"/>
          <w:b/>
          <w:bCs/>
          <w:sz w:val="32"/>
          <w:szCs w:val="32"/>
          <w:lang w:val="en-US" w:eastAsia="zh-CN"/>
        </w:rPr>
        <w:t>二、完善人才引育机制，夯实创新智力支撑。</w:t>
      </w:r>
      <w:r>
        <w:rPr>
          <w:rFonts w:hint="eastAsia" w:ascii="仿宋_GB2312" w:hAnsi="仿宋_GB2312" w:eastAsia="仿宋_GB2312" w:cs="仿宋_GB2312"/>
          <w:b w:val="0"/>
          <w:bCs w:val="0"/>
          <w:color w:val="auto"/>
          <w:kern w:val="2"/>
          <w:sz w:val="32"/>
          <w:szCs w:val="32"/>
          <w:lang w:val="en-US" w:eastAsia="zh-CN" w:bidi="ar-SA"/>
        </w:rPr>
        <w:t>强化高层次人才引进与激励。精准引进领军人才，作为“晋创谷·阳泉”创新驱动平台的拓展区承载地，制定“</w:t>
      </w:r>
      <w:r>
        <w:rPr>
          <w:rFonts w:hint="eastAsia" w:ascii="仿宋" w:hAnsi="仿宋" w:eastAsia="仿宋" w:cs="仿宋"/>
          <w:b w:val="0"/>
          <w:bCs w:val="0"/>
          <w:sz w:val="32"/>
          <w:szCs w:val="32"/>
          <w:lang w:val="en-US" w:eastAsia="zh-CN"/>
        </w:rPr>
        <w:t>盂县科技副总选派工作实施办法</w:t>
      </w:r>
      <w:r>
        <w:rPr>
          <w:rFonts w:hint="eastAsia" w:ascii="仿宋_GB2312" w:hAnsi="仿宋_GB2312" w:eastAsia="仿宋_GB2312" w:cs="仿宋_GB2312"/>
          <w:b w:val="0"/>
          <w:bCs w:val="0"/>
          <w:color w:val="auto"/>
          <w:kern w:val="2"/>
          <w:sz w:val="32"/>
          <w:szCs w:val="32"/>
          <w:lang w:val="en-US" w:eastAsia="zh-CN" w:bidi="ar-SA"/>
        </w:rPr>
        <w:t>”</w:t>
      </w:r>
      <w:r>
        <w:rPr>
          <w:rFonts w:hint="eastAsia" w:ascii="仿宋" w:hAnsi="仿宋" w:eastAsia="仿宋" w:cs="仿宋"/>
          <w:b w:val="0"/>
          <w:bCs w:val="0"/>
          <w:sz w:val="32"/>
          <w:szCs w:val="32"/>
          <w:lang w:val="en-US" w:eastAsia="zh-CN"/>
        </w:rPr>
        <w:t>（试行），</w:t>
      </w:r>
      <w:r>
        <w:rPr>
          <w:rFonts w:hint="eastAsia" w:ascii="仿宋" w:hAnsi="仿宋" w:eastAsia="仿宋" w:cs="仿宋"/>
          <w:b w:val="0"/>
          <w:bCs w:val="0"/>
          <w:color w:val="auto"/>
          <w:kern w:val="2"/>
          <w:sz w:val="32"/>
          <w:szCs w:val="32"/>
          <w:lang w:val="en-US" w:eastAsia="zh-CN" w:bidi="ar-SA"/>
        </w:rPr>
        <w:t>成立全市首家</w:t>
      </w:r>
      <w:r>
        <w:rPr>
          <w:rFonts w:hint="eastAsia" w:ascii="仿宋" w:hAnsi="仿宋" w:eastAsia="仿宋" w:cs="仿宋"/>
          <w:b w:val="0"/>
          <w:bCs w:val="0"/>
          <w:sz w:val="32"/>
          <w:szCs w:val="32"/>
          <w:lang w:val="en-US" w:eastAsia="zh-CN"/>
        </w:rPr>
        <w:t>县级人才公司——盂县人才发展有限公司，</w:t>
      </w:r>
      <w:r>
        <w:rPr>
          <w:rFonts w:hint="eastAsia" w:ascii="仿宋_GB2312" w:hAnsi="仿宋_GB2312" w:eastAsia="仿宋_GB2312" w:cs="仿宋_GB2312"/>
          <w:b w:val="0"/>
          <w:bCs w:val="0"/>
          <w:color w:val="auto"/>
          <w:kern w:val="2"/>
          <w:sz w:val="32"/>
          <w:szCs w:val="32"/>
          <w:lang w:val="en-US" w:eastAsia="zh-CN" w:bidi="ar-SA"/>
        </w:rPr>
        <w:t>积极落实市县人才政策，大力引进高层次创新创业人才。支持科研团队建设，依托徐明岗院士工作站等高端平台，吸引和聚集科研团队，带动本地科技人才成长。协同市级开发“科研助理岗”，吸引高水平、高层次人才回乡创新创业，激发我县创新活力，目前院士工作站已完成7名科研岗位人员的录用程序（含博士1名、硕士6名，涵盖中国农大、西北农林科技大学、山西农业大学等农业类名校）。</w:t>
      </w:r>
    </w:p>
    <w:p w14:paraId="288C691B">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3" w:firstLineChars="200"/>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 w:hAnsi="仿宋" w:eastAsia="仿宋" w:cs="仿宋"/>
          <w:b/>
          <w:bCs/>
          <w:sz w:val="32"/>
          <w:szCs w:val="32"/>
          <w:lang w:val="en-US" w:eastAsia="zh-CN"/>
        </w:rPr>
        <w:t>三、优化创新要素保障，构建良好创新生态。</w:t>
      </w:r>
      <w:r>
        <w:rPr>
          <w:rFonts w:hint="eastAsia" w:ascii="仿宋_GB2312" w:hAnsi="仿宋_GB2312" w:eastAsia="仿宋_GB2312" w:cs="仿宋_GB2312"/>
          <w:b w:val="0"/>
          <w:bCs w:val="0"/>
          <w:color w:val="auto"/>
          <w:kern w:val="2"/>
          <w:sz w:val="32"/>
          <w:szCs w:val="32"/>
          <w:lang w:val="en-US" w:eastAsia="zh-CN" w:bidi="ar-SA"/>
        </w:rPr>
        <w:t>大力发展科技金融，大力用活“创新券”“科创贷”等政策性贷款产品，破解科技企业“融资难、融资贵”困境，</w:t>
      </w:r>
      <w:r>
        <w:rPr>
          <w:rFonts w:hint="eastAsia" w:ascii="仿宋" w:hAnsi="仿宋" w:eastAsia="仿宋" w:cs="仿宋"/>
          <w:b w:val="0"/>
          <w:bCs w:val="0"/>
          <w:sz w:val="32"/>
          <w:szCs w:val="32"/>
          <w:lang w:val="en-US" w:eastAsia="zh-CN"/>
        </w:rPr>
        <w:t>联动建行、工行等金融机构开展科技创新贷服务，</w:t>
      </w:r>
      <w:r>
        <w:rPr>
          <w:rFonts w:hint="eastAsia" w:ascii="仿宋_GB2312" w:hAnsi="仿宋_GB2312" w:eastAsia="仿宋_GB2312" w:cs="仿宋_GB2312"/>
          <w:b w:val="0"/>
          <w:bCs w:val="0"/>
          <w:color w:val="auto"/>
          <w:kern w:val="2"/>
          <w:sz w:val="32"/>
          <w:szCs w:val="32"/>
          <w:lang w:val="en-US" w:eastAsia="zh-CN" w:bidi="ar-SA"/>
        </w:rPr>
        <w:t>2025年</w:t>
      </w:r>
      <w:r>
        <w:rPr>
          <w:rFonts w:hint="eastAsia" w:ascii="仿宋" w:hAnsi="仿宋" w:eastAsia="仿宋" w:cs="仿宋"/>
          <w:b w:val="0"/>
          <w:bCs w:val="0"/>
          <w:sz w:val="32"/>
          <w:szCs w:val="32"/>
          <w:lang w:val="en-US" w:eastAsia="zh-CN"/>
        </w:rPr>
        <w:t>为盂县在线</w:t>
      </w:r>
      <w:r>
        <w:rPr>
          <w:rFonts w:hint="eastAsia" w:ascii="仿宋" w:hAnsi="仿宋" w:eastAsia="仿宋" w:cs="仿宋"/>
          <w:b w:val="0"/>
          <w:bCs w:val="0"/>
          <w:sz w:val="32"/>
          <w:szCs w:val="32"/>
          <w:lang w:eastAsia="zh-CN"/>
        </w:rPr>
        <w:t>、</w:t>
      </w:r>
      <w:r>
        <w:rPr>
          <w:rFonts w:hint="eastAsia" w:ascii="仿宋" w:hAnsi="仿宋" w:eastAsia="仿宋" w:cs="仿宋"/>
          <w:b w:val="0"/>
          <w:bCs w:val="0"/>
          <w:sz w:val="32"/>
          <w:szCs w:val="32"/>
          <w:lang w:val="en-US" w:eastAsia="zh-CN"/>
        </w:rPr>
        <w:t>山西益林农业科技、山西绿野食品等科技企业成功申请贷款600余万元，推动科技资源与金融资源高效对接。同时，积极宣传推广科创贷业务，为</w:t>
      </w:r>
      <w:r>
        <w:rPr>
          <w:rFonts w:hint="eastAsia" w:ascii="仿宋_GB2312" w:hAnsi="仿宋_GB2312" w:eastAsia="仿宋_GB2312" w:cs="仿宋_GB2312"/>
          <w:b w:val="0"/>
          <w:bCs w:val="0"/>
          <w:color w:val="auto"/>
          <w:kern w:val="2"/>
          <w:sz w:val="32"/>
          <w:szCs w:val="32"/>
          <w:lang w:val="en-US" w:eastAsia="zh-CN" w:bidi="ar-SA"/>
        </w:rPr>
        <w:t>山西中石鼎鑫新材料有限公司申请科创贷900万元、山西化腾网络科技有限公司申请创新券200万元，全方位护航企业成长。开展科技下乡活动8场，惠及农民500余人次，扩大科技惠企政策覆盖面；开展入企调研服务10余次，组织科技政策宣讲“进园区、进企业”活动12场，覆盖创新主体50余家，助力企业理解政策盲点，科技活动周期间开展科普宣传日活动，发放科技创新宣传册400余册，多方位宣传效果显著。</w:t>
      </w:r>
    </w:p>
    <w:p w14:paraId="40760104">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 w:hAnsi="仿宋" w:eastAsia="仿宋" w:cs="仿宋"/>
          <w:b/>
          <w:bCs/>
          <w:sz w:val="32"/>
          <w:szCs w:val="32"/>
          <w:lang w:val="en-US" w:eastAsia="zh-CN"/>
        </w:rPr>
        <w:t>四、推动创新与产业融合，助力转型提质增效。</w:t>
      </w:r>
      <w:r>
        <w:rPr>
          <w:rFonts w:hint="eastAsia" w:ascii="仿宋_GB2312" w:hAnsi="仿宋_GB2312" w:eastAsia="仿宋_GB2312" w:cs="仿宋_GB2312"/>
          <w:b w:val="0"/>
          <w:bCs w:val="0"/>
          <w:color w:val="auto"/>
          <w:kern w:val="2"/>
          <w:sz w:val="32"/>
          <w:szCs w:val="32"/>
          <w:lang w:val="en-US" w:eastAsia="zh-CN" w:bidi="ar-SA"/>
        </w:rPr>
        <w:t>围绕我局重点产业项目建设，促进循环经济加速升级总体思路，聚焦循环经济、新型能源、低空经济等方向，积极布局一批标志性科技项目。</w:t>
      </w:r>
      <w:r>
        <w:rPr>
          <w:rFonts w:hint="eastAsia" w:ascii="仿宋" w:hAnsi="仿宋" w:eastAsia="仿宋" w:cs="仿宋"/>
          <w:sz w:val="32"/>
          <w:szCs w:val="32"/>
        </w:rPr>
        <w:t>商用航天领域积极布局低空经济</w:t>
      </w:r>
      <w:r>
        <w:rPr>
          <w:rFonts w:hint="eastAsia" w:ascii="仿宋_GB2312" w:hAnsi="仿宋_GB2312" w:eastAsia="仿宋_GB2312" w:cs="仿宋_GB2312"/>
          <w:b w:val="0"/>
          <w:bCs w:val="0"/>
          <w:color w:val="auto"/>
          <w:kern w:val="2"/>
          <w:sz w:val="32"/>
          <w:szCs w:val="32"/>
          <w:lang w:val="en-US" w:eastAsia="zh-CN" w:bidi="ar-SA"/>
        </w:rPr>
        <w:t>未来产业</w:t>
      </w:r>
      <w:r>
        <w:rPr>
          <w:rFonts w:hint="eastAsia" w:ascii="仿宋" w:hAnsi="仿宋" w:eastAsia="仿宋" w:cs="仿宋"/>
          <w:sz w:val="32"/>
          <w:szCs w:val="32"/>
        </w:rPr>
        <w:t>，</w:t>
      </w:r>
      <w:r>
        <w:rPr>
          <w:rFonts w:hint="eastAsia" w:ascii="仿宋" w:hAnsi="仿宋" w:eastAsia="仿宋" w:cs="仿宋"/>
          <w:b w:val="0"/>
          <w:bCs w:val="0"/>
          <w:sz w:val="32"/>
          <w:szCs w:val="32"/>
          <w:lang w:val="en-US" w:eastAsia="zh-CN"/>
        </w:rPr>
        <w:t>大力推进山西群润教育科技，盂县仕达农业科技等企业</w:t>
      </w:r>
      <w:r>
        <w:rPr>
          <w:rFonts w:hint="eastAsia" w:ascii="仿宋" w:hAnsi="仿宋" w:eastAsia="仿宋" w:cs="仿宋"/>
          <w:b w:val="0"/>
          <w:bCs w:val="0"/>
          <w:sz w:val="32"/>
          <w:szCs w:val="32"/>
        </w:rPr>
        <w:t>发展无人飞行器等通用航空装备</w:t>
      </w:r>
      <w:r>
        <w:rPr>
          <w:rFonts w:hint="eastAsia" w:ascii="仿宋" w:hAnsi="仿宋" w:eastAsia="仿宋" w:cs="仿宋"/>
          <w:b w:val="0"/>
          <w:bCs w:val="0"/>
          <w:sz w:val="32"/>
          <w:szCs w:val="32"/>
          <w:lang w:val="en-US" w:eastAsia="zh-CN"/>
        </w:rPr>
        <w:t>培训及推广应用项目；</w:t>
      </w:r>
      <w:r>
        <w:rPr>
          <w:rFonts w:hint="eastAsia" w:ascii="仿宋_GB2312" w:hAnsi="仿宋_GB2312" w:eastAsia="仿宋_GB2312" w:cs="仿宋_GB2312"/>
          <w:b w:val="0"/>
          <w:bCs w:val="0"/>
          <w:color w:val="auto"/>
          <w:kern w:val="2"/>
          <w:sz w:val="32"/>
          <w:szCs w:val="32"/>
          <w:lang w:val="en-US" w:eastAsia="zh-CN" w:bidi="ar-SA"/>
        </w:rPr>
        <w:t>支持欧冶链金等龙头企业开展固废高值化利用技术研发，2025年固废综合利用产值达35亿元，同比增长9.4%。光伏、储能装备制造产业链初具雏形；免费无人驾驶公交实现常态化运行，智慧交通落地见效，成为全省县域智慧出行标杆；</w:t>
      </w:r>
      <w:r>
        <w:rPr>
          <w:rFonts w:hint="default" w:ascii="仿宋_GB2312" w:hAnsi="仿宋_GB2312" w:eastAsia="仿宋_GB2312" w:cs="仿宋_GB2312"/>
          <w:b w:val="0"/>
          <w:bCs w:val="0"/>
          <w:color w:val="auto"/>
          <w:kern w:val="2"/>
          <w:sz w:val="32"/>
          <w:szCs w:val="32"/>
          <w:lang w:val="en-US" w:eastAsia="zh-CN" w:bidi="ar-SA"/>
        </w:rPr>
        <w:t>以签订高质量协议为目标开展</w:t>
      </w:r>
      <w:r>
        <w:rPr>
          <w:rFonts w:hint="eastAsia" w:ascii="仿宋_GB2312" w:hAnsi="仿宋_GB2312" w:eastAsia="仿宋_GB2312" w:cs="仿宋_GB2312"/>
          <w:b w:val="0"/>
          <w:bCs w:val="0"/>
          <w:color w:val="auto"/>
          <w:kern w:val="2"/>
          <w:sz w:val="32"/>
          <w:szCs w:val="32"/>
          <w:lang w:val="en-US" w:eastAsia="zh-CN" w:bidi="ar-SA"/>
        </w:rPr>
        <w:t>省校</w:t>
      </w:r>
      <w:r>
        <w:rPr>
          <w:rFonts w:hint="default" w:ascii="仿宋_GB2312" w:hAnsi="仿宋_GB2312" w:eastAsia="仿宋_GB2312" w:cs="仿宋_GB2312"/>
          <w:b w:val="0"/>
          <w:bCs w:val="0"/>
          <w:color w:val="auto"/>
          <w:kern w:val="2"/>
          <w:sz w:val="32"/>
          <w:szCs w:val="32"/>
          <w:lang w:val="en-US" w:eastAsia="zh-CN" w:bidi="ar-SA"/>
        </w:rPr>
        <w:t>项目合作，</w:t>
      </w:r>
      <w:r>
        <w:rPr>
          <w:rFonts w:hint="eastAsia" w:ascii="仿宋_GB2312" w:hAnsi="仿宋_GB2312" w:eastAsia="仿宋_GB2312" w:cs="仿宋_GB2312"/>
          <w:b w:val="0"/>
          <w:bCs w:val="0"/>
          <w:color w:val="auto"/>
          <w:kern w:val="2"/>
          <w:sz w:val="32"/>
          <w:szCs w:val="32"/>
          <w:lang w:val="en-US" w:eastAsia="zh-CN" w:bidi="ar-SA"/>
        </w:rPr>
        <w:t>促进山西凯王压密科技有限公司与南京林业大学中国林业科学研究院林产化学工业研究所围绕在新产品“零醛压密防火板”研发过程中遇到的原料配方、生产工艺等“卡脖子”问题与专家进行深入交流，持续推进山西欧贝姆纳米科技有限公司与中国矿业大学混凝土与环境材料研究院合作开展的大理石纳米新型材料综合利用项目，该项目已建立产学研合作基地并展开相关领域的技术合作，山西东大土壤科技股份有限公司与中国矿业大学化学与环境工程学院合作开展年产50万吨障碍土壤调理剂项目，加快推动创新与产业融合。</w:t>
      </w:r>
    </w:p>
    <w:p w14:paraId="2D6BF4E1">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sz w:val="32"/>
          <w:szCs w:val="32"/>
        </w:rPr>
      </w:pPr>
      <w:r>
        <w:rPr>
          <w:rFonts w:hint="eastAsia" w:ascii="仿宋" w:hAnsi="仿宋" w:eastAsia="仿宋"/>
          <w:sz w:val="32"/>
          <w:szCs w:val="32"/>
        </w:rPr>
        <w:t>希望您继续关注和支持我们的工作。</w:t>
      </w:r>
    </w:p>
    <w:p w14:paraId="3D814C2B">
      <w:pPr>
        <w:ind w:firstLine="640" w:firstLineChars="200"/>
        <w:jc w:val="both"/>
        <w:rPr>
          <w:rFonts w:hint="eastAsia" w:ascii="仿宋" w:hAnsi="仿宋" w:eastAsia="仿宋" w:cs="仿宋"/>
          <w:sz w:val="32"/>
          <w:szCs w:val="32"/>
          <w:lang w:val="en-US" w:eastAsia="zh-CN"/>
        </w:rPr>
      </w:pPr>
    </w:p>
    <w:p w14:paraId="12D7364D">
      <w:pPr>
        <w:ind w:firstLine="640" w:firstLineChars="200"/>
        <w:jc w:val="both"/>
        <w:rPr>
          <w:rFonts w:hint="eastAsia" w:ascii="仿宋" w:hAnsi="仿宋" w:eastAsia="仿宋" w:cs="仿宋"/>
          <w:sz w:val="32"/>
          <w:szCs w:val="32"/>
          <w:lang w:val="en-US" w:eastAsia="zh-CN"/>
        </w:rPr>
      </w:pPr>
    </w:p>
    <w:p w14:paraId="302203C0">
      <w:pPr>
        <w:ind w:firstLine="640" w:firstLineChars="200"/>
        <w:jc w:val="both"/>
        <w:rPr>
          <w:rFonts w:hint="eastAsia" w:ascii="仿宋" w:hAnsi="仿宋" w:eastAsia="仿宋" w:cs="仿宋"/>
          <w:sz w:val="32"/>
          <w:szCs w:val="32"/>
          <w:lang w:val="en-US" w:eastAsia="zh-CN"/>
        </w:rPr>
      </w:pPr>
    </w:p>
    <w:p w14:paraId="1FBEC33F">
      <w:pPr>
        <w:keepNext w:val="0"/>
        <w:keepLines w:val="0"/>
        <w:pageBreakBefore w:val="0"/>
        <w:widowControl w:val="0"/>
        <w:tabs>
          <w:tab w:val="left" w:pos="6930"/>
        </w:tabs>
        <w:kinsoku/>
        <w:wordWrap/>
        <w:overflowPunct/>
        <w:topLinePunct w:val="0"/>
        <w:autoSpaceDE/>
        <w:autoSpaceDN/>
        <w:bidi w:val="0"/>
        <w:adjustRightInd/>
        <w:snapToGrid/>
        <w:ind w:right="1386" w:rightChars="0"/>
        <w:jc w:val="right"/>
        <w:textAlignment w:val="auto"/>
        <w:rPr>
          <w:rFonts w:hint="eastAsia" w:ascii="仿宋" w:hAnsi="仿宋" w:eastAsia="仿宋"/>
          <w:sz w:val="32"/>
          <w:szCs w:val="32"/>
          <w:lang w:eastAsia="zh-CN"/>
        </w:rPr>
      </w:pPr>
      <w:r>
        <w:rPr>
          <w:rFonts w:hint="eastAsia" w:ascii="仿宋" w:hAnsi="仿宋" w:eastAsia="仿宋"/>
          <w:sz w:val="32"/>
          <w:szCs w:val="32"/>
          <w:lang w:eastAsia="zh-CN"/>
        </w:rPr>
        <w:t>盂县工信和科技局</w:t>
      </w:r>
    </w:p>
    <w:p w14:paraId="5EE89DA1">
      <w:pPr>
        <w:ind w:firstLine="640" w:firstLineChars="200"/>
        <w:jc w:val="center"/>
        <w:rPr>
          <w:rFonts w:hint="default" w:ascii="仿宋" w:hAnsi="仿宋" w:eastAsia="仿宋" w:cs="仿宋"/>
          <w:sz w:val="32"/>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8A44973"/>
    <w:rsid w:val="02BF4E80"/>
    <w:rsid w:val="07460D27"/>
    <w:rsid w:val="08BB2E2F"/>
    <w:rsid w:val="09BD6C1D"/>
    <w:rsid w:val="1165206A"/>
    <w:rsid w:val="16331FAE"/>
    <w:rsid w:val="21366FB3"/>
    <w:rsid w:val="29613A86"/>
    <w:rsid w:val="37862592"/>
    <w:rsid w:val="3A3B21E3"/>
    <w:rsid w:val="3D9E1D90"/>
    <w:rsid w:val="43410E67"/>
    <w:rsid w:val="45D47383"/>
    <w:rsid w:val="467852BF"/>
    <w:rsid w:val="4CCF69D1"/>
    <w:rsid w:val="4E660AF6"/>
    <w:rsid w:val="52EB0472"/>
    <w:rsid w:val="58782833"/>
    <w:rsid w:val="5FA62A45"/>
    <w:rsid w:val="61C269C5"/>
    <w:rsid w:val="65560111"/>
    <w:rsid w:val="66633CE5"/>
    <w:rsid w:val="68A44973"/>
    <w:rsid w:val="69AC1480"/>
    <w:rsid w:val="7FCA46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0"/>
    <w:pPr>
      <w:spacing w:line="560" w:lineRule="exact"/>
      <w:jc w:val="center"/>
      <w:outlineLvl w:val="0"/>
    </w:pPr>
    <w:rPr>
      <w:rFonts w:ascii="方正小标宋简体" w:hAnsi="方正小标宋简体" w:eastAsia="方正小标宋简体"/>
      <w:sz w:val="4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2fd0f783-08ed-4798-a786-e5a0e3548986</errorID>
      <errorWord>您们</errorWord>
      <group>L1_Word</group>
      <groupName>字词问题</groupName>
      <ability>L2_Typo</ability>
      <abilityName>字词错误</abilityName>
      <candidateList>
        <item>你们</item>
      </candidateList>
      <explain/>
      <paraID>4962E5F4</paraID>
      <start>0</start>
      <end>2</end>
      <status>unmodified</status>
      <modifiedWord/>
      <trackRevisions>false</trackRevisions>
    </reviewItem>
    <reviewItem>
      <errorID>69676122-3cea-42d1-a12b-5fca752dede2</errorID>
      <errorWord>,</errorWord>
      <group>L1_Format</group>
      <groupName>格式问题</groupName>
      <ability>L2_HalfPunc_CN</ability>
      <abilityName>全半角检查</abilityName>
      <candidateList>
        <item>，</item>
      </candidateList>
      <explain>文本全半角错误。</explain>
      <paraID> 6D64DC5</paraID>
      <start>102</start>
      <end>103</end>
      <status>unmodified</status>
      <modifiedWord/>
      <trackRevisions>false</trackRevisions>
    </reviewItem>
    <reviewItem>
      <errorID>e6fd5810-72a9-4b3a-bdf6-a0d29cfb7af0</errorID>
      <errorWord>劵</errorWord>
      <group>L1_Word</group>
      <groupName>字词问题</groupName>
      <ability>L2_Typo</ability>
      <abilityName>字词错误</abilityName>
      <candidateList>
        <item>券</item>
      </candidateList>
      <explain/>
      <paraID>288C691B</paraID>
      <start>208</start>
      <end>209</end>
      <status>modified</status>
      <modifiedWord>券</modifiedWord>
      <trackRevisions>false</trackRevisions>
    </reviewItem>
    <reviewItem>
      <errorID>4f6b016f-7be6-42b5-a5e7-5421c353e334</errorID>
      <errorWord>，</errorWord>
      <group>L1_Word</group>
      <groupName>字词问题</groupName>
      <ability>L2_Typo</ability>
      <abilityName>字词错误</abilityName>
      <candidateList>
        <item>，在</item>
      </candidateList>
      <explain/>
      <paraID>288C691B</paraID>
      <start>316</start>
      <end>317</end>
      <status>unmodified</status>
      <modifiedWord/>
      <trackRevisions>false</trackRevisions>
    </reviewItem>
  </reviewItems>
  <config/>
</contractReview>
</file>

<file path=customXml/itemProps1.xml><?xml version="1.0" encoding="utf-8"?>
<ds:datastoreItem xmlns:ds="http://schemas.openxmlformats.org/officeDocument/2006/customXml" ds:itemID="{15490eed-053c-48c8-8ae7-e2b89c8f1ae3}">
  <ds:schemaRefs/>
</ds:datastoreItem>
</file>

<file path=docProps/app.xml><?xml version="1.0" encoding="utf-8"?>
<Properties xmlns="http://schemas.openxmlformats.org/officeDocument/2006/extended-properties" xmlns:vt="http://schemas.openxmlformats.org/officeDocument/2006/docPropsVTypes">
  <Template>Normal.dotm</Template>
  <Pages>4</Pages>
  <Words>1648</Words>
  <Characters>1674</Characters>
  <Lines>0</Lines>
  <Paragraphs>0</Paragraphs>
  <TotalTime>1</TotalTime>
  <ScaleCrop>false</ScaleCrop>
  <LinksUpToDate>false</LinksUpToDate>
  <CharactersWithSpaces>1674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2025-06-17T01:59:00Z</dcterms:created>
  <dc:creator>Administrator</dc:creator>
  <cp:lastModifiedBy>哈哈哈哈哈</cp:lastModifiedBy>
  <cp:lastPrinted>2026-04-27T06:00:00Z</cp:lastPrinted>
  <dcterms:modified xsi:type="dcterms:W3CDTF">2026-07-21T02:56:39Z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CACE1C90ADD54D4694FD9264E10B659B_13</vt:lpwstr>
  </property>
  <property fmtid="{D5CDD505-2E9C-101B-9397-08002B2CF9AE}" pid="4" name="KSOTemplateDocerSaveRecord">
    <vt:lpwstr>eyJoZGlkIjoiMjk4N2FmYjkwMTIyYjM1ZmFhOWU3YWJhYzNlMzAzOGMiLCJ1c2VySWQiOiI1Mzg4Mzc1NDUifQ==</vt:lpwstr>
  </property>
</Properties>
</file>