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96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firstLine="880" w:firstLineChars="200"/>
        <w:jc w:val="right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B</w:t>
      </w:r>
    </w:p>
    <w:p w14:paraId="20E6A1E2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对政协盂县第十届委员六次会议第14号提案的答复</w:t>
      </w:r>
    </w:p>
    <w:p w14:paraId="2E11E850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</w:p>
    <w:p w14:paraId="6DA701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 w:cs="Times New Roman"/>
          <w:sz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尊敬的侯慧敏委员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:</w:t>
      </w:r>
    </w:p>
    <w:p w14:paraId="44733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提出的《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加强法治化营商环境建设促进民营经济高质量发展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》的提案收悉，现答复如下:</w:t>
      </w:r>
    </w:p>
    <w:p w14:paraId="3DD28F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b w:val="0"/>
          <w:sz w:val="32"/>
          <w:lang w:eastAsia="zh-CN"/>
        </w:rPr>
      </w:pPr>
      <w:r>
        <w:rPr>
          <w:rFonts w:hint="eastAsia" w:eastAsia="黑体"/>
          <w:sz w:val="32"/>
          <w:lang w:val="en-US" w:eastAsia="zh-CN"/>
        </w:rPr>
        <w:t>一、</w:t>
      </w:r>
      <w:r>
        <w:rPr>
          <w:rFonts w:eastAsia="黑体"/>
          <w:sz w:val="32"/>
        </w:rPr>
        <w:t>打通小微企业法律服务</w:t>
      </w:r>
      <w:r>
        <w:rPr>
          <w:rFonts w:hint="eastAsia" w:eastAsia="黑体"/>
          <w:sz w:val="32"/>
          <w:lang w:eastAsia="zh-CN"/>
        </w:rPr>
        <w:t>“</w:t>
      </w:r>
      <w:r>
        <w:rPr>
          <w:rFonts w:eastAsia="黑体"/>
          <w:sz w:val="32"/>
        </w:rPr>
        <w:t>最后一公里</w:t>
      </w:r>
      <w:r>
        <w:rPr>
          <w:rFonts w:hint="eastAsia" w:eastAsia="黑体"/>
          <w:sz w:val="32"/>
          <w:lang w:eastAsia="zh-CN"/>
        </w:rPr>
        <w:t>”</w:t>
      </w:r>
    </w:p>
    <w:p w14:paraId="559AE5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b w:val="0"/>
          <w:sz w:val="32"/>
        </w:rPr>
      </w:pPr>
      <w:r>
        <w:rPr>
          <w:rFonts w:hint="eastAsia" w:eastAsia="仿宋" w:asciiTheme="minorHAnsi" w:hAnsiTheme="minorHAnsi" w:cstheme="minorBidi"/>
          <w:b w:val="0"/>
          <w:kern w:val="2"/>
          <w:sz w:val="32"/>
          <w:szCs w:val="24"/>
          <w:lang w:val="en-US" w:eastAsia="zh-CN" w:bidi="ar-SA"/>
        </w:rPr>
        <w:t>（一）</w:t>
      </w:r>
      <w:r>
        <w:rPr>
          <w:rFonts w:hint="eastAsia" w:ascii="楷体" w:hAnsi="楷体" w:eastAsia="楷体" w:cs="楷体"/>
          <w:b w:val="0"/>
          <w:sz w:val="32"/>
        </w:rPr>
        <w:t>构建</w:t>
      </w:r>
      <w:r>
        <w:rPr>
          <w:rFonts w:hint="eastAsia" w:ascii="楷体" w:hAnsi="楷体" w:eastAsia="楷体" w:cs="楷体"/>
          <w:b w:val="0"/>
          <w:sz w:val="32"/>
          <w:lang w:eastAsia="zh-CN"/>
        </w:rPr>
        <w:t>“</w:t>
      </w:r>
      <w:r>
        <w:rPr>
          <w:rFonts w:hint="eastAsia" w:ascii="楷体" w:hAnsi="楷体" w:eastAsia="楷体" w:cs="楷体"/>
          <w:b w:val="0"/>
          <w:sz w:val="32"/>
        </w:rPr>
        <w:t>1+N</w:t>
      </w:r>
      <w:r>
        <w:rPr>
          <w:rFonts w:hint="eastAsia" w:ascii="楷体" w:hAnsi="楷体" w:eastAsia="楷体" w:cs="楷体"/>
          <w:b w:val="0"/>
          <w:sz w:val="32"/>
          <w:lang w:eastAsia="zh-CN"/>
        </w:rPr>
        <w:t>”</w:t>
      </w:r>
      <w:r>
        <w:rPr>
          <w:rFonts w:hint="eastAsia" w:ascii="楷体" w:hAnsi="楷体" w:eastAsia="楷体" w:cs="楷体"/>
          <w:b w:val="0"/>
          <w:sz w:val="32"/>
        </w:rPr>
        <w:t>基层法律服务站点体系。</w:t>
      </w:r>
      <w:r>
        <w:rPr>
          <w:rStyle w:val="12"/>
          <w:rFonts w:eastAsia="仿宋"/>
          <w:b w:val="0"/>
          <w:sz w:val="32"/>
        </w:rPr>
        <w:t>做实</w:t>
      </w:r>
      <w:r>
        <w:rPr>
          <w:rStyle w:val="12"/>
          <w:rFonts w:hint="eastAsia" w:eastAsia="仿宋"/>
          <w:b w:val="0"/>
          <w:sz w:val="32"/>
          <w:lang w:eastAsia="zh-CN"/>
        </w:rPr>
        <w:t>“</w:t>
      </w:r>
      <w:r>
        <w:rPr>
          <w:rStyle w:val="12"/>
          <w:rFonts w:hint="eastAsia" w:eastAsia="仿宋"/>
          <w:b w:val="0"/>
          <w:sz w:val="32"/>
          <w:lang w:val="en-US" w:eastAsia="zh-CN"/>
        </w:rPr>
        <w:t>1</w:t>
      </w:r>
      <w:r>
        <w:rPr>
          <w:rStyle w:val="12"/>
          <w:rFonts w:hint="eastAsia" w:eastAsia="仿宋"/>
          <w:b w:val="0"/>
          <w:sz w:val="32"/>
          <w:lang w:eastAsia="zh-CN"/>
        </w:rPr>
        <w:t>”</w:t>
      </w:r>
      <w:r>
        <w:rPr>
          <w:rStyle w:val="12"/>
          <w:rFonts w:eastAsia="仿宋"/>
          <w:b w:val="0"/>
          <w:sz w:val="32"/>
        </w:rPr>
        <w:t>：县级公共法律服务中心，</w:t>
      </w:r>
      <w:r>
        <w:rPr>
          <w:rFonts w:eastAsia="仿宋"/>
          <w:b w:val="0"/>
          <w:sz w:val="32"/>
        </w:rPr>
        <w:t>设立</w:t>
      </w:r>
      <w:r>
        <w:rPr>
          <w:rFonts w:hint="eastAsia" w:eastAsia="仿宋"/>
          <w:b w:val="0"/>
          <w:sz w:val="32"/>
          <w:lang w:eastAsia="zh-CN"/>
        </w:rPr>
        <w:t>“</w:t>
      </w:r>
      <w:r>
        <w:rPr>
          <w:rFonts w:eastAsia="仿宋"/>
          <w:b w:val="0"/>
          <w:sz w:val="32"/>
        </w:rPr>
        <w:t>小微企业法律服务专窗</w:t>
      </w:r>
      <w:r>
        <w:rPr>
          <w:rFonts w:hint="eastAsia" w:eastAsia="仿宋"/>
          <w:b w:val="0"/>
          <w:sz w:val="32"/>
          <w:lang w:eastAsia="zh-CN"/>
        </w:rPr>
        <w:t>”</w:t>
      </w:r>
      <w:r>
        <w:rPr>
          <w:rFonts w:eastAsia="仿宋"/>
          <w:b w:val="0"/>
          <w:sz w:val="32"/>
        </w:rPr>
        <w:t>，实行</w:t>
      </w:r>
      <w:r>
        <w:rPr>
          <w:rFonts w:hint="eastAsia" w:eastAsia="仿宋"/>
          <w:b w:val="0"/>
          <w:sz w:val="32"/>
          <w:lang w:eastAsia="zh-CN"/>
        </w:rPr>
        <w:t>“</w:t>
      </w:r>
      <w:r>
        <w:rPr>
          <w:rFonts w:eastAsia="仿宋"/>
          <w:b w:val="0"/>
          <w:sz w:val="32"/>
        </w:rPr>
        <w:t>前台统一受理、后台分流转办</w:t>
      </w:r>
      <w:r>
        <w:rPr>
          <w:rFonts w:hint="eastAsia" w:eastAsia="仿宋"/>
          <w:b w:val="0"/>
          <w:sz w:val="32"/>
          <w:lang w:eastAsia="zh-CN"/>
        </w:rPr>
        <w:t>”</w:t>
      </w:r>
      <w:r>
        <w:rPr>
          <w:rFonts w:eastAsia="仿宋"/>
          <w:b w:val="0"/>
          <w:sz w:val="32"/>
        </w:rPr>
        <w:t>；整合律师、公证、基层法律服务、人民调解等资源，提供</w:t>
      </w:r>
      <w:r>
        <w:rPr>
          <w:rFonts w:hint="eastAsia" w:eastAsia="仿宋"/>
          <w:b w:val="0"/>
          <w:sz w:val="32"/>
          <w:lang w:eastAsia="zh-CN"/>
        </w:rPr>
        <w:t>“</w:t>
      </w:r>
      <w:r>
        <w:rPr>
          <w:rFonts w:eastAsia="仿宋"/>
          <w:b w:val="0"/>
          <w:sz w:val="32"/>
        </w:rPr>
        <w:t>一站式</w:t>
      </w:r>
      <w:r>
        <w:rPr>
          <w:rFonts w:hint="eastAsia" w:eastAsia="仿宋"/>
          <w:b w:val="0"/>
          <w:sz w:val="32"/>
          <w:lang w:eastAsia="zh-CN"/>
        </w:rPr>
        <w:t>”</w:t>
      </w:r>
      <w:r>
        <w:rPr>
          <w:rFonts w:eastAsia="仿宋"/>
          <w:b w:val="0"/>
          <w:sz w:val="32"/>
        </w:rPr>
        <w:t>服务。</w:t>
      </w:r>
    </w:p>
    <w:p w14:paraId="2EB68B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eastAsia="仿宋"/>
          <w:b w:val="0"/>
          <w:sz w:val="32"/>
        </w:rPr>
      </w:pPr>
      <w:r>
        <w:rPr>
          <w:rFonts w:hint="eastAsia" w:eastAsia="仿宋" w:asciiTheme="minorHAnsi" w:hAnsiTheme="minorHAnsi" w:cstheme="minorBidi"/>
          <w:b w:val="0"/>
          <w:kern w:val="2"/>
          <w:sz w:val="32"/>
          <w:szCs w:val="24"/>
          <w:lang w:val="en-US" w:eastAsia="zh-CN" w:bidi="ar-SA"/>
        </w:rPr>
        <w:t>（二）</w:t>
      </w:r>
      <w:r>
        <w:rPr>
          <w:rFonts w:hint="eastAsia" w:ascii="楷体" w:hAnsi="楷体" w:eastAsia="楷体" w:cs="楷体"/>
          <w:b w:val="0"/>
          <w:sz w:val="32"/>
        </w:rPr>
        <w:t>延伸</w:t>
      </w:r>
      <w:r>
        <w:rPr>
          <w:rFonts w:hint="eastAsia" w:ascii="楷体" w:hAnsi="楷体" w:eastAsia="楷体" w:cs="楷体"/>
          <w:b w:val="0"/>
          <w:sz w:val="32"/>
          <w:lang w:eastAsia="zh-CN"/>
        </w:rPr>
        <w:t>“</w:t>
      </w:r>
      <w:r>
        <w:rPr>
          <w:rFonts w:hint="eastAsia" w:ascii="楷体" w:hAnsi="楷体" w:eastAsia="楷体" w:cs="楷体"/>
          <w:b w:val="0"/>
          <w:sz w:val="32"/>
        </w:rPr>
        <w:t>N</w:t>
      </w:r>
      <w:r>
        <w:rPr>
          <w:rFonts w:hint="eastAsia" w:ascii="楷体" w:hAnsi="楷体" w:eastAsia="楷体" w:cs="楷体"/>
          <w:b w:val="0"/>
          <w:sz w:val="32"/>
          <w:lang w:eastAsia="zh-CN"/>
        </w:rPr>
        <w:t>”</w:t>
      </w:r>
      <w:r>
        <w:rPr>
          <w:rFonts w:hint="eastAsia" w:ascii="楷体" w:hAnsi="楷体" w:eastAsia="楷体" w:cs="楷体"/>
          <w:b w:val="0"/>
          <w:sz w:val="32"/>
        </w:rPr>
        <w:t>：基层服务触角。</w:t>
      </w:r>
      <w:r>
        <w:rPr>
          <w:rFonts w:eastAsia="仿宋"/>
          <w:b w:val="0"/>
          <w:sz w:val="32"/>
        </w:rPr>
        <w:t>在全县13个乡镇公共法律服务站增设</w:t>
      </w:r>
      <w:r>
        <w:rPr>
          <w:rFonts w:hint="eastAsia" w:eastAsia="仿宋"/>
          <w:b w:val="0"/>
          <w:sz w:val="32"/>
          <w:lang w:eastAsia="zh-CN"/>
        </w:rPr>
        <w:t>“</w:t>
      </w:r>
      <w:r>
        <w:rPr>
          <w:rFonts w:eastAsia="仿宋"/>
          <w:b w:val="0"/>
          <w:sz w:val="32"/>
        </w:rPr>
        <w:t>法律之家</w:t>
      </w:r>
      <w:r>
        <w:rPr>
          <w:rFonts w:hint="eastAsia" w:eastAsia="仿宋"/>
          <w:b w:val="0"/>
          <w:sz w:val="32"/>
          <w:lang w:eastAsia="zh-CN"/>
        </w:rPr>
        <w:t>”</w:t>
      </w:r>
      <w:r>
        <w:rPr>
          <w:rFonts w:eastAsia="仿宋"/>
          <w:b w:val="0"/>
          <w:sz w:val="32"/>
        </w:rPr>
        <w:t>；依托盂县特色耐火材料园区、盂县经济技术开发区秀水双创智造园设立</w:t>
      </w:r>
      <w:r>
        <w:rPr>
          <w:rStyle w:val="12"/>
          <w:rFonts w:hint="eastAsia" w:eastAsia="仿宋"/>
          <w:b w:val="0"/>
          <w:sz w:val="32"/>
          <w:lang w:eastAsia="zh-CN"/>
        </w:rPr>
        <w:t>“</w:t>
      </w:r>
      <w:r>
        <w:rPr>
          <w:rStyle w:val="12"/>
          <w:rFonts w:eastAsia="仿宋"/>
          <w:b w:val="0"/>
          <w:sz w:val="32"/>
        </w:rPr>
        <w:t>法律之家</w:t>
      </w:r>
      <w:r>
        <w:rPr>
          <w:rStyle w:val="12"/>
          <w:rFonts w:hint="eastAsia" w:eastAsia="仿宋"/>
          <w:b w:val="0"/>
          <w:sz w:val="32"/>
          <w:lang w:eastAsia="zh-CN"/>
        </w:rPr>
        <w:t>”</w:t>
      </w:r>
      <w:r>
        <w:rPr>
          <w:rStyle w:val="12"/>
          <w:rFonts w:eastAsia="仿宋"/>
          <w:b w:val="0"/>
          <w:sz w:val="32"/>
        </w:rPr>
        <w:t>，</w:t>
      </w:r>
      <w:r>
        <w:rPr>
          <w:rFonts w:eastAsia="仿宋"/>
          <w:b w:val="0"/>
          <w:sz w:val="32"/>
        </w:rPr>
        <w:t>将法律服务嵌入基层治理网格。</w:t>
      </w:r>
    </w:p>
    <w:p w14:paraId="553D880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黑体"/>
          <w:sz w:val="32"/>
        </w:rPr>
      </w:pPr>
      <w:r>
        <w:rPr>
          <w:rFonts w:eastAsia="黑体"/>
          <w:sz w:val="32"/>
        </w:rPr>
        <w:t>推行</w:t>
      </w:r>
      <w:r>
        <w:rPr>
          <w:rFonts w:hint="eastAsia" w:eastAsia="黑体"/>
          <w:sz w:val="32"/>
          <w:lang w:eastAsia="zh-CN"/>
        </w:rPr>
        <w:t>“</w:t>
      </w:r>
      <w:r>
        <w:rPr>
          <w:rFonts w:eastAsia="黑体"/>
          <w:sz w:val="32"/>
        </w:rPr>
        <w:t>法律服务包干制</w:t>
      </w:r>
      <w:r>
        <w:rPr>
          <w:rFonts w:hint="eastAsia" w:eastAsia="黑体"/>
          <w:sz w:val="32"/>
          <w:lang w:eastAsia="zh-CN"/>
        </w:rPr>
        <w:t>”</w:t>
      </w:r>
      <w:r>
        <w:rPr>
          <w:rFonts w:eastAsia="黑体"/>
          <w:sz w:val="32"/>
        </w:rPr>
        <w:t>与</w:t>
      </w:r>
      <w:r>
        <w:rPr>
          <w:rFonts w:hint="eastAsia" w:eastAsia="黑体"/>
          <w:sz w:val="32"/>
          <w:lang w:eastAsia="zh-CN"/>
        </w:rPr>
        <w:t>“</w:t>
      </w:r>
      <w:r>
        <w:rPr>
          <w:rFonts w:eastAsia="黑体"/>
          <w:sz w:val="32"/>
        </w:rPr>
        <w:t>法治体检</w:t>
      </w:r>
      <w:r>
        <w:rPr>
          <w:rFonts w:hint="eastAsia" w:eastAsia="黑体"/>
          <w:sz w:val="32"/>
          <w:lang w:eastAsia="zh-CN"/>
        </w:rPr>
        <w:t>”</w:t>
      </w:r>
      <w:r>
        <w:rPr>
          <w:rFonts w:eastAsia="黑体"/>
          <w:sz w:val="32"/>
        </w:rPr>
        <w:t>常态化</w:t>
      </w:r>
    </w:p>
    <w:p w14:paraId="18E707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"/>
          <w:sz w:val="32"/>
        </w:rPr>
      </w:pPr>
      <w:r>
        <w:rPr>
          <w:rFonts w:hint="eastAsia" w:ascii="楷体" w:hAnsi="楷体" w:eastAsia="楷体" w:cs="楷体"/>
          <w:b w:val="0"/>
          <w:sz w:val="32"/>
        </w:rPr>
        <w:t>（一）法律服务包干：</w:t>
      </w:r>
      <w:r>
        <w:rPr>
          <w:rFonts w:eastAsia="仿宋"/>
          <w:sz w:val="32"/>
        </w:rPr>
        <w:t>按</w:t>
      </w:r>
      <w:r>
        <w:rPr>
          <w:rFonts w:hint="eastAsia" w:eastAsia="仿宋"/>
          <w:sz w:val="32"/>
        </w:rPr>
        <w:t>乡镇</w:t>
      </w:r>
      <w:r>
        <w:rPr>
          <w:rFonts w:eastAsia="仿宋"/>
          <w:sz w:val="32"/>
        </w:rPr>
        <w:t>划分</w:t>
      </w:r>
      <w:r>
        <w:rPr>
          <w:rFonts w:hint="eastAsia" w:eastAsia="仿宋"/>
          <w:sz w:val="32"/>
        </w:rPr>
        <w:t>为13个</w:t>
      </w:r>
      <w:r>
        <w:rPr>
          <w:rFonts w:hint="eastAsia" w:eastAsia="仿宋"/>
          <w:sz w:val="32"/>
          <w:lang w:eastAsia="zh-CN"/>
        </w:rPr>
        <w:t>“</w:t>
      </w:r>
      <w:r>
        <w:rPr>
          <w:rFonts w:eastAsia="仿宋"/>
          <w:sz w:val="32"/>
        </w:rPr>
        <w:t>法律服务责任区</w:t>
      </w:r>
      <w:r>
        <w:rPr>
          <w:rFonts w:hint="eastAsia" w:eastAsia="仿宋"/>
          <w:sz w:val="32"/>
          <w:lang w:eastAsia="zh-CN"/>
        </w:rPr>
        <w:t>”</w:t>
      </w:r>
      <w:r>
        <w:rPr>
          <w:rFonts w:eastAsia="仿宋"/>
          <w:sz w:val="32"/>
        </w:rPr>
        <w:t>，由律所、基层法律服务所</w:t>
      </w:r>
      <w:r>
        <w:rPr>
          <w:rFonts w:hint="eastAsia" w:eastAsia="仿宋"/>
          <w:sz w:val="32"/>
        </w:rPr>
        <w:t>免费值班法律咨询人员</w:t>
      </w:r>
      <w:r>
        <w:rPr>
          <w:rFonts w:hint="eastAsia" w:eastAsia="仿宋"/>
          <w:sz w:val="32"/>
          <w:lang w:eastAsia="zh-CN"/>
        </w:rPr>
        <w:t>“</w:t>
      </w:r>
      <w:r>
        <w:rPr>
          <w:rFonts w:eastAsia="仿宋"/>
          <w:sz w:val="32"/>
        </w:rPr>
        <w:t>包片</w:t>
      </w:r>
      <w:r>
        <w:rPr>
          <w:rFonts w:hint="eastAsia" w:eastAsia="仿宋"/>
          <w:sz w:val="32"/>
          <w:lang w:eastAsia="zh-CN"/>
        </w:rPr>
        <w:t>”</w:t>
      </w:r>
      <w:r>
        <w:rPr>
          <w:rFonts w:hint="eastAsia" w:eastAsia="仿宋"/>
          <w:sz w:val="32"/>
        </w:rPr>
        <w:t>，</w:t>
      </w:r>
      <w:r>
        <w:rPr>
          <w:rFonts w:eastAsia="仿宋"/>
          <w:sz w:val="32"/>
        </w:rPr>
        <w:t>负责收集企业需求、推送法律资讯、协调上门服务。</w:t>
      </w:r>
    </w:p>
    <w:p w14:paraId="7284D7FF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firstLine="640" w:firstLineChars="200"/>
        <w:textAlignment w:val="auto"/>
        <w:rPr>
          <w:rFonts w:hint="eastAsia" w:eastAsia="仿宋"/>
          <w:sz w:val="32"/>
        </w:rPr>
      </w:pPr>
      <w:r>
        <w:rPr>
          <w:rFonts w:hint="eastAsia" w:ascii="楷体" w:hAnsi="楷体" w:eastAsia="楷体" w:cs="楷体"/>
          <w:b w:val="0"/>
          <w:kern w:val="2"/>
          <w:sz w:val="32"/>
          <w:szCs w:val="24"/>
          <w:lang w:val="en-US" w:eastAsia="zh-CN" w:bidi="ar-SA"/>
        </w:rPr>
        <w:t>（二）法治体检标准化：</w:t>
      </w:r>
      <w:r>
        <w:rPr>
          <w:rFonts w:hint="eastAsia" w:eastAsia="仿宋"/>
          <w:sz w:val="32"/>
        </w:rPr>
        <w:t>通过开展法治讲座、普法宣讲、座谈调研等形式为企业提供</w:t>
      </w:r>
      <w:r>
        <w:rPr>
          <w:rFonts w:hint="eastAsia" w:eastAsia="仿宋"/>
          <w:sz w:val="32"/>
          <w:lang w:eastAsia="zh-CN"/>
        </w:rPr>
        <w:t>“</w:t>
      </w:r>
      <w:r>
        <w:rPr>
          <w:rFonts w:hint="eastAsia" w:eastAsia="仿宋"/>
          <w:sz w:val="32"/>
        </w:rPr>
        <w:t>法治体检</w:t>
      </w:r>
      <w:r>
        <w:rPr>
          <w:rFonts w:hint="eastAsia" w:eastAsia="仿宋"/>
          <w:sz w:val="32"/>
          <w:lang w:eastAsia="zh-CN"/>
        </w:rPr>
        <w:t>”</w:t>
      </w:r>
      <w:r>
        <w:rPr>
          <w:rFonts w:hint="eastAsia" w:eastAsia="仿宋"/>
          <w:sz w:val="32"/>
        </w:rPr>
        <w:t>，力争2026年走访100家企业，为企业提供规范企业投资法律服务、规范企业治理结构法律服务、规范企业经营管理法律服务、规范企业融资行为法律服务、规范企业劳动用工法律服务、知识产权保护等方面法律服务。</w:t>
      </w:r>
    </w:p>
    <w:p w14:paraId="0F2F070B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firstLine="640" w:firstLineChars="200"/>
        <w:textAlignment w:val="auto"/>
        <w:rPr>
          <w:rFonts w:eastAsia="黑体"/>
          <w:b/>
          <w:sz w:val="32"/>
        </w:rPr>
      </w:pPr>
      <w:r>
        <w:rPr>
          <w:rFonts w:hint="eastAsia" w:eastAsia="黑体" w:cs="Times New Roman"/>
          <w:sz w:val="32"/>
          <w:lang w:val="en-US" w:eastAsia="zh-CN"/>
        </w:rPr>
        <w:t>三、</w:t>
      </w:r>
      <w:r>
        <w:rPr>
          <w:rFonts w:hint="eastAsia" w:eastAsia="黑体" w:cs="Times New Roman"/>
          <w:sz w:val="32"/>
        </w:rPr>
        <w:t>建立</w:t>
      </w:r>
      <w:r>
        <w:rPr>
          <w:rFonts w:hint="eastAsia" w:eastAsia="黑体" w:cs="Times New Roman"/>
          <w:sz w:val="32"/>
          <w:lang w:eastAsia="zh-CN"/>
        </w:rPr>
        <w:t>“</w:t>
      </w:r>
      <w:r>
        <w:rPr>
          <w:rFonts w:hint="eastAsia" w:eastAsia="黑体" w:cs="Times New Roman"/>
          <w:sz w:val="32"/>
        </w:rPr>
        <w:t>法律</w:t>
      </w:r>
      <w:r>
        <w:rPr>
          <w:rFonts w:hint="eastAsia" w:eastAsia="黑体"/>
          <w:sz w:val="32"/>
        </w:rPr>
        <w:t>托管</w:t>
      </w:r>
      <w:r>
        <w:rPr>
          <w:rFonts w:hint="eastAsia" w:eastAsia="黑体"/>
          <w:sz w:val="32"/>
          <w:lang w:eastAsia="zh-CN"/>
        </w:rPr>
        <w:t>”</w:t>
      </w:r>
      <w:r>
        <w:rPr>
          <w:rFonts w:hint="eastAsia" w:eastAsia="黑体"/>
          <w:sz w:val="32"/>
        </w:rPr>
        <w:t>常态化运行机制</w:t>
      </w:r>
    </w:p>
    <w:p w14:paraId="547F9E49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firstLine="640" w:firstLineChars="200"/>
        <w:textAlignment w:val="auto"/>
        <w:rPr>
          <w:rFonts w:eastAsia="仿宋"/>
          <w:sz w:val="32"/>
        </w:rPr>
      </w:pPr>
      <w:r>
        <w:rPr>
          <w:rFonts w:hint="eastAsia" w:eastAsia="仿宋"/>
          <w:sz w:val="32"/>
          <w:lang w:eastAsia="zh-CN"/>
        </w:rPr>
        <w:t>（一）</w:t>
      </w:r>
      <w:r>
        <w:rPr>
          <w:rFonts w:hint="eastAsia" w:eastAsia="仿宋"/>
          <w:sz w:val="32"/>
        </w:rPr>
        <w:t>积极与盂县行政审批服务管理局搭建对接法律服务平台，拓宽企业申请渠道，根据企业需求，为新设立所有意向企业100%签订</w:t>
      </w:r>
      <w:r>
        <w:rPr>
          <w:rFonts w:hint="eastAsia" w:eastAsia="仿宋"/>
          <w:sz w:val="32"/>
          <w:lang w:eastAsia="zh-CN"/>
        </w:rPr>
        <w:t>“</w:t>
      </w:r>
      <w:r>
        <w:rPr>
          <w:rFonts w:hint="eastAsia" w:eastAsia="仿宋"/>
          <w:sz w:val="32"/>
        </w:rPr>
        <w:t>法律托管</w:t>
      </w:r>
      <w:r>
        <w:rPr>
          <w:rFonts w:hint="eastAsia" w:eastAsia="仿宋"/>
          <w:sz w:val="32"/>
          <w:lang w:eastAsia="zh-CN"/>
        </w:rPr>
        <w:t>”</w:t>
      </w:r>
      <w:r>
        <w:rPr>
          <w:rFonts w:hint="eastAsia" w:eastAsia="仿宋"/>
          <w:sz w:val="32"/>
        </w:rPr>
        <w:t>协议。</w:t>
      </w:r>
    </w:p>
    <w:p w14:paraId="1FBB7879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firstLine="640" w:firstLineChars="200"/>
        <w:textAlignment w:val="auto"/>
        <w:rPr>
          <w:rFonts w:hint="eastAsia" w:eastAsia="仿宋"/>
          <w:sz w:val="32"/>
        </w:rPr>
      </w:pPr>
      <w:r>
        <w:rPr>
          <w:rFonts w:hint="eastAsia" w:eastAsia="仿宋"/>
          <w:sz w:val="32"/>
          <w:lang w:eastAsia="zh-CN"/>
        </w:rPr>
        <w:t>（</w:t>
      </w:r>
      <w:r>
        <w:rPr>
          <w:rFonts w:hint="eastAsia" w:eastAsia="仿宋"/>
          <w:sz w:val="32"/>
          <w:lang w:val="en-US" w:eastAsia="zh-CN"/>
        </w:rPr>
        <w:t>二</w:t>
      </w:r>
      <w:r>
        <w:rPr>
          <w:rFonts w:hint="eastAsia" w:eastAsia="仿宋"/>
          <w:sz w:val="32"/>
          <w:lang w:eastAsia="zh-CN"/>
        </w:rPr>
        <w:t>）</w:t>
      </w:r>
      <w:r>
        <w:rPr>
          <w:rFonts w:hint="eastAsia" w:eastAsia="仿宋"/>
          <w:sz w:val="32"/>
        </w:rPr>
        <w:t>着力在企业设立、劳动用工、内部管理、知识产权保护、依法经营、风险防范等方面，免费为签约企业提供6个月的法律服务</w:t>
      </w:r>
      <w:r>
        <w:rPr>
          <w:rFonts w:hint="eastAsia" w:eastAsia="仿宋"/>
          <w:sz w:val="32"/>
          <w:lang w:eastAsia="zh-CN"/>
        </w:rPr>
        <w:t>，</w:t>
      </w:r>
      <w:r>
        <w:rPr>
          <w:rFonts w:hint="eastAsia" w:eastAsia="仿宋"/>
          <w:sz w:val="32"/>
        </w:rPr>
        <w:t>着力构建全周期托管服务闭环模式，不断扩大对企法律服务覆盖面。</w:t>
      </w:r>
    </w:p>
    <w:p w14:paraId="0225CACB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firstLine="640" w:firstLineChars="200"/>
        <w:textAlignment w:val="auto"/>
        <w:rPr>
          <w:rFonts w:eastAsia="黑体"/>
          <w:b w:val="0"/>
          <w:sz w:val="32"/>
          <w:highlight w:val="none"/>
        </w:rPr>
      </w:pPr>
      <w:r>
        <w:rPr>
          <w:rFonts w:eastAsia="黑体"/>
          <w:b w:val="0"/>
          <w:sz w:val="32"/>
          <w:highlight w:val="none"/>
        </w:rPr>
        <w:t>四、严格规范涉企行政检查</w:t>
      </w:r>
    </w:p>
    <w:p w14:paraId="1BA3859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优化监管服务方式</w:t>
      </w:r>
    </w:p>
    <w:p w14:paraId="6E60F6B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全面推广应用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企静通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”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小程序，充分发挥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企静通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”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小程序数字化监管作用，要求执法人员入企检查必须扫码亮证、全程记录，坚决杜绝随意检查、重复检查、多头检查。</w:t>
      </w:r>
    </w:p>
    <w:p w14:paraId="7A427B79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（二）数智</w:t>
      </w:r>
      <w:r>
        <w:rPr>
          <w:rFonts w:hint="eastAsia" w:ascii="楷体" w:hAnsi="楷体" w:eastAsia="楷体" w:cs="楷体"/>
          <w:sz w:val="32"/>
          <w:szCs w:val="32"/>
        </w:rPr>
        <w:t>赋能监管，规范公正执法</w:t>
      </w:r>
    </w:p>
    <w:p w14:paraId="176730D5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依托数字化平台精简监管流程、畅通政企沟通、优化监管举措，以智慧赋能推动执法监管提质增效常态化开展多部门联合综合检查，最大限度减少执法活动对企业正常生产经营秩序的干扰。全面落实执法全过程记录制度，做实做细执法日常监督，切实维护企业合法经营权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，规范行政执法行为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，严肃追责问责，持续夯实法治政府建设根基。</w:t>
      </w:r>
    </w:p>
    <w:p w14:paraId="1202FF09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firstLine="640" w:firstLineChars="200"/>
        <w:textAlignment w:val="auto"/>
        <w:rPr>
          <w:rFonts w:eastAsia="仿宋" w:cs="Times New Roman"/>
          <w:sz w:val="32"/>
        </w:rPr>
      </w:pPr>
      <w:r>
        <w:rPr>
          <w:rFonts w:hint="eastAsia" w:eastAsia="黑体" w:cs="Times New Roman"/>
          <w:b w:val="0"/>
          <w:sz w:val="32"/>
          <w:lang w:val="en-US" w:eastAsia="zh-CN"/>
        </w:rPr>
        <w:t>五、健全</w:t>
      </w:r>
      <w:r>
        <w:rPr>
          <w:rFonts w:eastAsia="黑体" w:cs="Times New Roman"/>
          <w:b w:val="0"/>
          <w:sz w:val="32"/>
        </w:rPr>
        <w:t>涉企纠纷，</w:t>
      </w:r>
      <w:r>
        <w:rPr>
          <w:rFonts w:hint="eastAsia" w:eastAsia="黑体" w:cs="Times New Roman"/>
          <w:b w:val="0"/>
          <w:sz w:val="32"/>
          <w:lang w:eastAsia="zh-CN"/>
        </w:rPr>
        <w:t>加大</w:t>
      </w:r>
      <w:r>
        <w:rPr>
          <w:rFonts w:hint="eastAsia" w:eastAsia="黑体" w:cs="Times New Roman"/>
          <w:b w:val="0"/>
          <w:sz w:val="32"/>
          <w:lang w:val="en-US" w:eastAsia="zh-CN"/>
        </w:rPr>
        <w:t>知识产权保护力度</w:t>
      </w:r>
    </w:p>
    <w:p w14:paraId="726CB9BD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leftChars="0" w:firstLine="640" w:firstLineChars="200"/>
        <w:textAlignment w:val="auto"/>
        <w:rPr>
          <w:rFonts w:hint="eastAsia" w:ascii="楷体" w:hAnsi="楷体" w:eastAsia="楷体" w:cs="楷体"/>
          <w:b w:val="0"/>
          <w:sz w:val="32"/>
          <w:lang w:eastAsia="zh-CN"/>
        </w:rPr>
      </w:pPr>
      <w:r>
        <w:rPr>
          <w:rFonts w:hint="eastAsia" w:ascii="楷体" w:hAnsi="楷体" w:eastAsia="楷体" w:cs="楷体"/>
          <w:b w:val="0"/>
          <w:sz w:val="32"/>
          <w:lang w:eastAsia="zh-CN"/>
        </w:rPr>
        <w:t>（</w:t>
      </w:r>
      <w:r>
        <w:rPr>
          <w:rFonts w:hint="eastAsia" w:ascii="楷体" w:hAnsi="楷体" w:eastAsia="楷体" w:cs="楷体"/>
          <w:b w:val="0"/>
          <w:sz w:val="32"/>
          <w:lang w:val="en-US" w:eastAsia="zh-CN"/>
        </w:rPr>
        <w:t>一</w:t>
      </w:r>
      <w:r>
        <w:rPr>
          <w:rFonts w:hint="eastAsia" w:ascii="楷体" w:hAnsi="楷体" w:eastAsia="楷体" w:cs="楷体"/>
          <w:b w:val="0"/>
          <w:sz w:val="32"/>
          <w:lang w:eastAsia="zh-CN"/>
        </w:rPr>
        <w:t>）健全衔接机制，完善处置格局</w:t>
      </w:r>
    </w:p>
    <w:p w14:paraId="21E00E90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构建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调解、仲裁、诉讼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有效衔接、联动协同的知识产权纠纷处置格局。通过理顺各渠道工作流程、完善对接机制、畅通移送渠道，实现各类知识产权纠纷分层分流、梯次化解，推动矛盾纠纷前端化解、高效化解，切实提升知识产权纠纷处置法治化、规范化水平。</w:t>
      </w:r>
    </w:p>
    <w:p w14:paraId="1F72EA9F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leftChars="0" w:firstLine="640" w:firstLineChars="200"/>
        <w:textAlignment w:val="auto"/>
        <w:rPr>
          <w:rFonts w:hint="default" w:ascii="楷体" w:hAnsi="楷体" w:eastAsia="楷体" w:cs="楷体"/>
          <w:b w:val="0"/>
          <w:sz w:val="32"/>
          <w:lang w:val="en-US" w:eastAsia="zh-CN"/>
        </w:rPr>
      </w:pPr>
      <w:r>
        <w:rPr>
          <w:rFonts w:hint="eastAsia" w:ascii="楷体" w:hAnsi="楷体" w:eastAsia="楷体" w:cs="楷体"/>
          <w:b w:val="0"/>
          <w:sz w:val="32"/>
          <w:lang w:eastAsia="zh-CN"/>
        </w:rPr>
        <w:t>（</w:t>
      </w:r>
      <w:r>
        <w:rPr>
          <w:rFonts w:hint="eastAsia" w:ascii="楷体" w:hAnsi="楷体" w:eastAsia="楷体" w:cs="楷体"/>
          <w:b w:val="0"/>
          <w:sz w:val="32"/>
          <w:lang w:val="en-US" w:eastAsia="zh-CN"/>
        </w:rPr>
        <w:t>二</w:t>
      </w:r>
      <w:r>
        <w:rPr>
          <w:rFonts w:hint="eastAsia" w:ascii="楷体" w:hAnsi="楷体" w:eastAsia="楷体" w:cs="楷体"/>
          <w:b w:val="0"/>
          <w:sz w:val="32"/>
          <w:lang w:eastAsia="zh-CN"/>
        </w:rPr>
        <w:t>）建强阵地根基，培优调解队伍</w:t>
      </w:r>
    </w:p>
    <w:p w14:paraId="6F57A1E1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依托现有调解阵地强化专业调处能力建设。充分发挥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盂县</w:t>
      </w:r>
      <w:r>
        <w:rPr>
          <w:rFonts w:hint="eastAsia" w:ascii="仿宋" w:hAnsi="仿宋" w:eastAsia="仿宋" w:cs="仿宋"/>
          <w:sz w:val="32"/>
          <w:szCs w:val="32"/>
        </w:rPr>
        <w:t>知识产权纠纷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调委会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盂县</w:t>
      </w:r>
      <w:r>
        <w:rPr>
          <w:rFonts w:hint="eastAsia" w:ascii="仿宋" w:hAnsi="仿宋" w:eastAsia="仿宋" w:cs="仿宋"/>
          <w:sz w:val="32"/>
          <w:szCs w:val="32"/>
        </w:rPr>
        <w:t>耐火材料特色专业镇调委会两大平台职能作用，精准对接通用知识产权纠纷和特色产业领域侵权纠纷化解需求。持续吸纳法律实务、知识产权代理、行业技术等优秀专业人才充实调解队伍，通过业务培训、案例复盘、实操指导等方式，不断提升调解员专业研判、矛盾调处和争议化解能力，筑牢专业化解纷人才根基。</w:t>
      </w:r>
    </w:p>
    <w:p w14:paraId="4D16755F">
      <w:pPr>
        <w:pStyle w:val="9"/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"/>
          <w:b w:val="0"/>
          <w:sz w:val="32"/>
          <w:lang w:eastAsia="zh-CN"/>
        </w:rPr>
      </w:pPr>
      <w:r>
        <w:rPr>
          <w:rFonts w:hint="eastAsia" w:ascii="楷体" w:hAnsi="楷体" w:eastAsia="楷体" w:cs="楷体"/>
          <w:b w:val="0"/>
          <w:sz w:val="32"/>
          <w:lang w:eastAsia="zh-CN"/>
        </w:rPr>
        <w:t>规范调处流程，做实维权服务</w:t>
      </w:r>
    </w:p>
    <w:p w14:paraId="14710EF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" w:cs="Times New Roman"/>
          <w:kern w:val="0"/>
          <w:sz w:val="32"/>
        </w:rPr>
      </w:pPr>
      <w:r>
        <w:rPr>
          <w:rFonts w:hint="eastAsia" w:ascii="仿宋" w:hAnsi="仿宋" w:eastAsia="仿宋" w:cs="仿宋"/>
          <w:sz w:val="32"/>
          <w:szCs w:val="32"/>
        </w:rPr>
        <w:t>不断细化完善调解工作流程，健全常态化知识产权维权援助机制。严格规范纠纷受理、登记核查、组织调解、结果反馈全链条工作流程，统一工作标准、规范办案程序，提升纠纷调处质效。同时，主动靠前开展企业维权指导服务，针对企业知识产权保护、侵权取证、维权路径选择等重点问题提供专业法律咨询和合规指引，前置防范知识产权法律风险，切实帮助企业高效化解纠纷、维护自身合法知识产权权益，持续优化辖区创新发展法治环境。</w:t>
      </w:r>
    </w:p>
    <w:p w14:paraId="7999A60D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b w:val="0"/>
          <w:sz w:val="32"/>
          <w:lang w:eastAsia="zh-CN"/>
        </w:rPr>
      </w:pPr>
      <w:r>
        <w:rPr>
          <w:rFonts w:hint="eastAsia" w:eastAsia="黑体"/>
          <w:b w:val="0"/>
          <w:sz w:val="32"/>
          <w:lang w:val="en-US" w:eastAsia="zh-CN"/>
        </w:rPr>
        <w:t>六、</w:t>
      </w:r>
      <w:r>
        <w:rPr>
          <w:rFonts w:eastAsia="黑体"/>
          <w:b w:val="0"/>
          <w:sz w:val="32"/>
        </w:rPr>
        <w:t>破解惠企政策兑现</w:t>
      </w:r>
      <w:r>
        <w:rPr>
          <w:rFonts w:hint="eastAsia" w:eastAsia="黑体"/>
          <w:b w:val="0"/>
          <w:sz w:val="32"/>
          <w:lang w:eastAsia="zh-CN"/>
        </w:rPr>
        <w:t>“</w:t>
      </w:r>
      <w:r>
        <w:rPr>
          <w:rFonts w:eastAsia="黑体"/>
          <w:b w:val="0"/>
          <w:sz w:val="32"/>
        </w:rPr>
        <w:t>中梗阻</w:t>
      </w:r>
      <w:r>
        <w:rPr>
          <w:rFonts w:hint="eastAsia" w:eastAsia="黑体"/>
          <w:b w:val="0"/>
          <w:sz w:val="32"/>
          <w:lang w:eastAsia="zh-CN"/>
        </w:rPr>
        <w:t>”</w:t>
      </w:r>
    </w:p>
    <w:p w14:paraId="2F72DE48">
      <w:pPr>
        <w:pStyle w:val="9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leftChars="0" w:firstLine="640" w:firstLineChars="200"/>
        <w:textAlignment w:val="auto"/>
        <w:rPr>
          <w:rFonts w:hint="eastAsia" w:ascii="楷体" w:hAnsi="楷体" w:eastAsia="楷体" w:cs="楷体"/>
          <w:b w:val="0"/>
          <w:sz w:val="32"/>
        </w:rPr>
      </w:pPr>
      <w:r>
        <w:rPr>
          <w:rFonts w:hint="eastAsia" w:ascii="楷体" w:hAnsi="楷体" w:eastAsia="楷体" w:cs="楷体"/>
          <w:b w:val="0"/>
          <w:sz w:val="32"/>
        </w:rPr>
        <w:t>引入</w:t>
      </w:r>
      <w:r>
        <w:rPr>
          <w:rFonts w:hint="eastAsia" w:ascii="楷体" w:hAnsi="楷体" w:eastAsia="楷体" w:cs="楷体"/>
          <w:b w:val="0"/>
          <w:sz w:val="32"/>
          <w:lang w:eastAsia="zh-CN"/>
        </w:rPr>
        <w:t>“</w:t>
      </w:r>
      <w:r>
        <w:rPr>
          <w:rFonts w:hint="eastAsia" w:ascii="楷体" w:hAnsi="楷体" w:eastAsia="楷体" w:cs="楷体"/>
          <w:b w:val="0"/>
          <w:sz w:val="32"/>
        </w:rPr>
        <w:t>政策法律顾问</w:t>
      </w:r>
      <w:r>
        <w:rPr>
          <w:rFonts w:hint="eastAsia" w:ascii="楷体" w:hAnsi="楷体" w:eastAsia="楷体" w:cs="楷体"/>
          <w:b w:val="0"/>
          <w:sz w:val="32"/>
          <w:lang w:eastAsia="zh-CN"/>
        </w:rPr>
        <w:t>”</w:t>
      </w:r>
      <w:r>
        <w:rPr>
          <w:rFonts w:hint="eastAsia" w:ascii="楷体" w:hAnsi="楷体" w:eastAsia="楷体" w:cs="楷体"/>
          <w:b w:val="0"/>
          <w:sz w:val="32"/>
        </w:rPr>
        <w:t>参与政策落地。</w:t>
      </w:r>
    </w:p>
    <w:p w14:paraId="06B99A0E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firstLine="640" w:firstLineChars="200"/>
        <w:textAlignment w:val="auto"/>
        <w:rPr>
          <w:rFonts w:eastAsia="仿宋"/>
          <w:sz w:val="32"/>
        </w:rPr>
      </w:pPr>
      <w:r>
        <w:rPr>
          <w:rFonts w:eastAsia="仿宋"/>
          <w:sz w:val="32"/>
        </w:rPr>
        <w:t>选派律师、</w:t>
      </w:r>
      <w:r>
        <w:rPr>
          <w:rFonts w:hint="eastAsia" w:eastAsia="仿宋"/>
          <w:sz w:val="32"/>
        </w:rPr>
        <w:t>基层法律服务工作者、公证人员</w:t>
      </w:r>
      <w:r>
        <w:rPr>
          <w:rFonts w:eastAsia="仿宋"/>
          <w:sz w:val="32"/>
        </w:rPr>
        <w:t>担任重点企业</w:t>
      </w:r>
      <w:r>
        <w:rPr>
          <w:rFonts w:hint="eastAsia" w:eastAsia="仿宋"/>
          <w:sz w:val="32"/>
          <w:lang w:eastAsia="zh-CN"/>
        </w:rPr>
        <w:t>“</w:t>
      </w:r>
      <w:r>
        <w:rPr>
          <w:rFonts w:eastAsia="仿宋"/>
          <w:sz w:val="32"/>
        </w:rPr>
        <w:t>政策法律顾问</w:t>
      </w:r>
      <w:r>
        <w:rPr>
          <w:rFonts w:hint="eastAsia" w:eastAsia="仿宋"/>
          <w:sz w:val="32"/>
          <w:lang w:eastAsia="zh-CN"/>
        </w:rPr>
        <w:t>”</w:t>
      </w:r>
      <w:r>
        <w:rPr>
          <w:rFonts w:eastAsia="仿宋"/>
          <w:sz w:val="32"/>
        </w:rPr>
        <w:t>；职责包括：帮助解读惠企政策</w:t>
      </w:r>
      <w:r>
        <w:rPr>
          <w:rFonts w:hint="eastAsia" w:eastAsia="仿宋"/>
          <w:sz w:val="32"/>
        </w:rPr>
        <w:t>、</w:t>
      </w:r>
      <w:r>
        <w:rPr>
          <w:rFonts w:eastAsia="仿宋"/>
          <w:sz w:val="32"/>
        </w:rPr>
        <w:t>指导准备申报材料</w:t>
      </w:r>
      <w:r>
        <w:rPr>
          <w:rFonts w:hint="eastAsia" w:eastAsia="仿宋"/>
          <w:sz w:val="32"/>
        </w:rPr>
        <w:t>、</w:t>
      </w:r>
      <w:r>
        <w:rPr>
          <w:rFonts w:eastAsia="仿宋"/>
          <w:sz w:val="32"/>
        </w:rPr>
        <w:t>对政策兑现过程中的不合理要求提出法律意见。</w:t>
      </w:r>
    </w:p>
    <w:p w14:paraId="0540CED6">
      <w:pPr>
        <w:pStyle w:val="9"/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leftChars="0" w:firstLine="640" w:firstLineChars="200"/>
        <w:textAlignment w:val="auto"/>
        <w:rPr>
          <w:rFonts w:hint="eastAsia" w:ascii="楷体" w:hAnsi="楷体" w:eastAsia="楷体" w:cs="楷体"/>
          <w:b w:val="0"/>
          <w:sz w:val="32"/>
        </w:rPr>
      </w:pPr>
      <w:r>
        <w:rPr>
          <w:rFonts w:hint="eastAsia" w:ascii="楷体" w:hAnsi="楷体" w:eastAsia="楷体" w:cs="楷体"/>
          <w:b w:val="0"/>
          <w:sz w:val="32"/>
        </w:rPr>
        <w:t>建立惠企政策兑现</w:t>
      </w:r>
      <w:r>
        <w:rPr>
          <w:rFonts w:hint="eastAsia" w:ascii="楷体" w:hAnsi="楷体" w:eastAsia="楷体" w:cs="楷体"/>
          <w:b w:val="0"/>
          <w:sz w:val="32"/>
          <w:lang w:eastAsia="zh-CN"/>
        </w:rPr>
        <w:t>“全过程监督</w:t>
      </w:r>
      <w:r>
        <w:rPr>
          <w:rFonts w:hint="eastAsia" w:ascii="楷体" w:hAnsi="楷体" w:eastAsia="楷体" w:cs="楷体"/>
          <w:b w:val="0"/>
          <w:sz w:val="32"/>
        </w:rPr>
        <w:t>+容错纠错</w:t>
      </w:r>
      <w:r>
        <w:rPr>
          <w:rFonts w:hint="eastAsia" w:ascii="楷体" w:hAnsi="楷体" w:eastAsia="楷体" w:cs="楷体"/>
          <w:b w:val="0"/>
          <w:sz w:val="32"/>
          <w:lang w:eastAsia="zh-CN"/>
        </w:rPr>
        <w:t>”</w:t>
      </w:r>
      <w:r>
        <w:rPr>
          <w:rFonts w:hint="eastAsia" w:ascii="楷体" w:hAnsi="楷体" w:eastAsia="楷体" w:cs="楷体"/>
          <w:b w:val="0"/>
          <w:sz w:val="32"/>
        </w:rPr>
        <w:t>机制。</w:t>
      </w:r>
    </w:p>
    <w:p w14:paraId="032C918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Autospacing="0" w:line="560" w:lineRule="exact"/>
        <w:ind w:leftChars="0" w:firstLine="640" w:firstLineChars="200"/>
        <w:textAlignment w:val="auto"/>
        <w:rPr>
          <w:rFonts w:eastAsia="仿宋"/>
          <w:b w:val="0"/>
          <w:sz w:val="32"/>
        </w:rPr>
      </w:pPr>
      <w:r>
        <w:rPr>
          <w:rStyle w:val="12"/>
          <w:rFonts w:hint="eastAsia" w:eastAsia="仿宋"/>
          <w:b w:val="0"/>
          <w:sz w:val="32"/>
          <w:lang w:eastAsia="zh-CN"/>
        </w:rPr>
        <w:t>全过程监督</w:t>
      </w:r>
      <w:r>
        <w:rPr>
          <w:rFonts w:eastAsia="仿宋"/>
          <w:b w:val="0"/>
          <w:sz w:val="32"/>
        </w:rPr>
        <w:t>：依托县政务服务网对申报、审核、拨付各环节进行节点管控；出现超期未办、无正当理由驳回等情况由司法行政部门会同督查部门介入调查。</w:t>
      </w:r>
      <w:r>
        <w:rPr>
          <w:rStyle w:val="12"/>
          <w:rFonts w:eastAsia="仿宋"/>
          <w:b w:val="0"/>
          <w:sz w:val="32"/>
        </w:rPr>
        <w:t>企业救济渠道</w:t>
      </w:r>
      <w:r>
        <w:rPr>
          <w:rFonts w:eastAsia="仿宋"/>
          <w:b w:val="0"/>
          <w:sz w:val="32"/>
        </w:rPr>
        <w:t>：在政策兑现环节设置</w:t>
      </w:r>
      <w:r>
        <w:rPr>
          <w:rFonts w:hint="eastAsia" w:eastAsia="仿宋"/>
          <w:b w:val="0"/>
          <w:sz w:val="32"/>
          <w:lang w:eastAsia="zh-CN"/>
        </w:rPr>
        <w:t>“</w:t>
      </w:r>
      <w:r>
        <w:rPr>
          <w:rFonts w:eastAsia="仿宋"/>
          <w:b w:val="0"/>
          <w:sz w:val="32"/>
        </w:rPr>
        <w:t>异议申诉通道</w:t>
      </w:r>
      <w:r>
        <w:rPr>
          <w:rFonts w:hint="eastAsia" w:eastAsia="仿宋"/>
          <w:b w:val="0"/>
          <w:sz w:val="32"/>
          <w:lang w:eastAsia="zh-CN"/>
        </w:rPr>
        <w:t>”</w:t>
      </w:r>
      <w:r>
        <w:rPr>
          <w:rFonts w:eastAsia="仿宋"/>
          <w:b w:val="0"/>
          <w:sz w:val="32"/>
        </w:rPr>
        <w:t>；企业对兑现结果有异议的，可向司法行政部门申请</w:t>
      </w:r>
      <w:r>
        <w:rPr>
          <w:rFonts w:hint="eastAsia" w:eastAsia="仿宋"/>
          <w:b w:val="0"/>
          <w:sz w:val="32"/>
          <w:lang w:eastAsia="zh-CN"/>
        </w:rPr>
        <w:t>“</w:t>
      </w:r>
      <w:r>
        <w:rPr>
          <w:rFonts w:eastAsia="仿宋"/>
          <w:b w:val="0"/>
          <w:sz w:val="32"/>
        </w:rPr>
        <w:t>法治复核</w:t>
      </w:r>
      <w:r>
        <w:rPr>
          <w:rFonts w:hint="eastAsia" w:eastAsia="仿宋"/>
          <w:b w:val="0"/>
          <w:sz w:val="32"/>
          <w:lang w:eastAsia="zh-CN"/>
        </w:rPr>
        <w:t>”</w:t>
      </w:r>
      <w:r>
        <w:rPr>
          <w:rFonts w:eastAsia="仿宋"/>
          <w:b w:val="0"/>
          <w:sz w:val="32"/>
        </w:rPr>
        <w:t>，由法律顾问团队出具复核意见，督促相关部门处理。</w:t>
      </w:r>
      <w:r>
        <w:rPr>
          <w:rStyle w:val="12"/>
          <w:rFonts w:eastAsia="仿宋"/>
          <w:b w:val="0"/>
          <w:sz w:val="32"/>
        </w:rPr>
        <w:t>容错纠错边界</w:t>
      </w:r>
      <w:r>
        <w:rPr>
          <w:rFonts w:eastAsia="仿宋"/>
          <w:b w:val="0"/>
          <w:sz w:val="32"/>
        </w:rPr>
        <w:t>：对因政策界限不清、先行先试出现偏差，且未谋取私利的，依法依规适用容错；对吃拿卡要、故意刁难、推诿扯皮等行为，严肃追责问责。</w:t>
      </w:r>
    </w:p>
    <w:p w14:paraId="11907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12"/>
          <w:rFonts w:hint="eastAsia" w:ascii="Times New Roman" w:hAnsi="Times New Roman" w:eastAsia="仿宋" w:cs="Times New Roman"/>
          <w:b w:val="0"/>
          <w:kern w:val="0"/>
          <w:sz w:val="32"/>
          <w:szCs w:val="24"/>
          <w:lang w:val="en-US" w:eastAsia="zh-CN" w:bidi="ar-SA"/>
        </w:rPr>
      </w:pPr>
      <w:r>
        <w:rPr>
          <w:rStyle w:val="12"/>
          <w:rFonts w:hint="eastAsia" w:ascii="Times New Roman" w:hAnsi="Times New Roman" w:eastAsia="仿宋" w:cs="Times New Roman"/>
          <w:b w:val="0"/>
          <w:kern w:val="0"/>
          <w:sz w:val="32"/>
          <w:szCs w:val="24"/>
          <w:lang w:val="en-US" w:eastAsia="zh-CN" w:bidi="ar-SA"/>
        </w:rPr>
        <w:t>再次感谢您们对我县营商环境建设的关心和支持，欢</w:t>
      </w:r>
    </w:p>
    <w:p w14:paraId="5F9A5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Style w:val="12"/>
          <w:rFonts w:hint="eastAsia" w:ascii="Times New Roman" w:hAnsi="Times New Roman" w:eastAsia="仿宋" w:cs="Times New Roman"/>
          <w:b w:val="0"/>
          <w:kern w:val="0"/>
          <w:sz w:val="32"/>
          <w:szCs w:val="24"/>
          <w:lang w:val="en-US" w:eastAsia="zh-CN" w:bidi="ar-SA"/>
        </w:rPr>
        <w:t>迎您继续提出宝贵意见和建议。</w:t>
      </w:r>
      <w:bookmarkStart w:id="0" w:name="_GoBack"/>
      <w:bookmarkEnd w:id="0"/>
    </w:p>
    <w:p w14:paraId="3B5D88E2">
      <w:pPr>
        <w:pStyle w:val="6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00"/>
        <w:textAlignment w:val="auto"/>
        <w:rPr>
          <w:rFonts w:hint="eastAsia"/>
          <w:lang w:eastAsia="zh-CN"/>
        </w:rPr>
      </w:pPr>
    </w:p>
    <w:p w14:paraId="4315C20A">
      <w:pPr>
        <w:rPr>
          <w:rFonts w:hint="eastAsia"/>
          <w:lang w:eastAsia="zh-CN"/>
        </w:rPr>
      </w:pPr>
    </w:p>
    <w:p w14:paraId="69E4BF9C">
      <w:pPr>
        <w:rPr>
          <w:rFonts w:hint="eastAsia"/>
          <w:lang w:eastAsia="zh-CN"/>
        </w:rPr>
      </w:pPr>
    </w:p>
    <w:p w14:paraId="1D0EEE11">
      <w:pPr>
        <w:rPr>
          <w:rFonts w:hint="eastAsia"/>
          <w:lang w:eastAsia="zh-CN"/>
        </w:rPr>
      </w:pPr>
    </w:p>
    <w:p w14:paraId="4A5661A6">
      <w:pPr>
        <w:keepNext w:val="0"/>
        <w:keepLines w:val="0"/>
        <w:pageBreakBefore w:val="0"/>
        <w:widowControl/>
        <w:tabs>
          <w:tab w:val="left" w:pos="672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964" w:rightChars="459" w:firstLine="640" w:firstLineChars="200"/>
        <w:jc w:val="right"/>
        <w:textAlignment w:val="auto"/>
        <w:rPr>
          <w:rFonts w:hint="default" w:eastAsia="仿宋"/>
          <w:sz w:val="32"/>
          <w:lang w:val="en-US" w:eastAsia="zh-CN"/>
        </w:rPr>
      </w:pPr>
      <w:r>
        <w:rPr>
          <w:rFonts w:hint="eastAsia" w:eastAsia="仿宋"/>
          <w:sz w:val="32"/>
          <w:lang w:val="en-US" w:eastAsia="zh-CN"/>
        </w:rPr>
        <w:t>盂县司法局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CE5010B-BCD0-4D88-A029-80890B525A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CD8FC22-420B-4394-88E3-B45D4AAC1F2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4F66AB2-E616-44BA-958B-AC702EA2AFDF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84CB846-15F2-41E9-9C03-1B1683195B2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6DA81A4-B440-4AEC-AA31-0A030E72A93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0DC7F2C5-6FA2-4A38-AC6B-516C0442EB1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A659D2"/>
    <w:multiLevelType w:val="singleLevel"/>
    <w:tmpl w:val="8FA659D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59FC915"/>
    <w:multiLevelType w:val="singleLevel"/>
    <w:tmpl w:val="A59FC91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E92CCAE"/>
    <w:multiLevelType w:val="singleLevel"/>
    <w:tmpl w:val="0E92CCA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9B9"/>
    <w:rsid w:val="000863EC"/>
    <w:rsid w:val="001327D3"/>
    <w:rsid w:val="001D4511"/>
    <w:rsid w:val="00313ADE"/>
    <w:rsid w:val="0034559C"/>
    <w:rsid w:val="004039B9"/>
    <w:rsid w:val="004568E4"/>
    <w:rsid w:val="005068B9"/>
    <w:rsid w:val="00576A5B"/>
    <w:rsid w:val="00576E70"/>
    <w:rsid w:val="006440A9"/>
    <w:rsid w:val="00706EC7"/>
    <w:rsid w:val="00964827"/>
    <w:rsid w:val="009A2011"/>
    <w:rsid w:val="00C1079E"/>
    <w:rsid w:val="00C51F14"/>
    <w:rsid w:val="00C60F66"/>
    <w:rsid w:val="00E953B0"/>
    <w:rsid w:val="00F30C22"/>
    <w:rsid w:val="00FC14AE"/>
    <w:rsid w:val="0325508A"/>
    <w:rsid w:val="06BC7E6A"/>
    <w:rsid w:val="0E63197E"/>
    <w:rsid w:val="0F3E3366"/>
    <w:rsid w:val="0F625078"/>
    <w:rsid w:val="115950E6"/>
    <w:rsid w:val="1310582F"/>
    <w:rsid w:val="1AD73318"/>
    <w:rsid w:val="1E545EF1"/>
    <w:rsid w:val="24CE594B"/>
    <w:rsid w:val="2A8D43FB"/>
    <w:rsid w:val="2AF876CB"/>
    <w:rsid w:val="2D913B21"/>
    <w:rsid w:val="305B583B"/>
    <w:rsid w:val="34E13DEF"/>
    <w:rsid w:val="37EF7BB3"/>
    <w:rsid w:val="3D30281F"/>
    <w:rsid w:val="46C94EAE"/>
    <w:rsid w:val="4A87715A"/>
    <w:rsid w:val="4CE5142B"/>
    <w:rsid w:val="4D226B10"/>
    <w:rsid w:val="56A17F1A"/>
    <w:rsid w:val="60FF4F56"/>
    <w:rsid w:val="636B4E4B"/>
    <w:rsid w:val="6660471A"/>
    <w:rsid w:val="6AAD4C88"/>
    <w:rsid w:val="6D4B2CD5"/>
    <w:rsid w:val="6F171B3C"/>
    <w:rsid w:val="7072465A"/>
    <w:rsid w:val="74210285"/>
    <w:rsid w:val="76961EE5"/>
    <w:rsid w:val="7ECD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beforeAutospacing="0" w:after="120" w:afterLines="0" w:afterAutospacing="0" w:line="560" w:lineRule="exact"/>
      <w:ind w:firstLine="0" w:firstLineChars="0"/>
      <w:jc w:val="center"/>
      <w:outlineLvl w:val="0"/>
    </w:pPr>
    <w:rPr>
      <w:rFonts w:eastAsia="宋体"/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4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页眉 字符"/>
    <w:basedOn w:val="11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8f79f06a-99bc-465d-a170-fc168633cd93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6DA701A5</paraID>
      <start>8</start>
      <end>9</end>
      <status>unmodified</status>
      <modifiedWord/>
      <trackRevisions>false</trackRevisions>
    </reviewItem>
    <reviewItem>
      <errorID>e4e50e43-77a9-4cda-837d-46114f42c65e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4473337D</paraID>
      <start>39</start>
      <end>40</end>
      <status>unmodified</status>
      <modifiedWord/>
      <trackRevisions>false</trackRevisions>
    </reviewItem>
    <reviewItem>
      <errorID>f0123e90-0f8b-40be-a2fa-cb9beeea58f0</errorID>
      <errorWord>加强</errorWord>
      <group>L1_Grammar</group>
      <groupName>语法问题</groupName>
      <ability>L2_Grammar</ability>
      <abilityName>语法错误</abilityName>
      <candidateList>
        <item>加大</item>
      </candidateList>
      <explain>“加强～力度”搭配不当，建议修改为“加大～力度”。</explain>
      <paraID>1202FF09</paraID>
      <start>9</start>
      <end>11</end>
      <status>modified</status>
      <modifiedWord>加大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d558d4d-2665-4747-a7bd-39823a576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1902</Words>
  <Characters>1915</Characters>
  <Lines>16</Lines>
  <Paragraphs>4</Paragraphs>
  <TotalTime>24</TotalTime>
  <ScaleCrop>false</ScaleCrop>
  <LinksUpToDate>false</LinksUpToDate>
  <CharactersWithSpaces>1915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2026-03-24T01:23:00Z</dcterms:created>
  <dc:creator>pc</dc:creator>
  <cp:lastModifiedBy>哈哈哈哈哈</cp:lastModifiedBy>
  <cp:lastPrinted>2026-05-22T01:11:00Z</cp:lastPrinted>
  <dcterms:modified xsi:type="dcterms:W3CDTF">2026-07-21T03:04:21Z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B2BFDB3152E0403C9C02DB35F7FC38FD_12</vt:lpwstr>
  </property>
</Properties>
</file>