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014B3">
      <w:pPr>
        <w:jc w:val="center"/>
        <w:rPr>
          <w:rFonts w:hint="eastAsia" w:ascii="宋体" w:hAnsi="宋体" w:eastAsia="宋体" w:cs="宋体"/>
          <w:b/>
          <w:bCs/>
          <w:sz w:val="44"/>
          <w:szCs w:val="44"/>
          <w:lang w:eastAsia="zh-CN"/>
        </w:rPr>
      </w:pP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A</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 xml:space="preserve">                        </w:t>
      </w:r>
    </w:p>
    <w:p w14:paraId="3C4334D1">
      <w:pPr>
        <w:spacing w:line="240" w:lineRule="auto"/>
        <w:ind w:firstLine="0" w:firstLineChars="0"/>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对盂县政协第十届委员</w:t>
      </w:r>
      <w:bookmarkStart w:id="0" w:name="_GoBack"/>
      <w:bookmarkEnd w:id="0"/>
      <w:r>
        <w:rPr>
          <w:rFonts w:hint="eastAsia" w:ascii="仿宋" w:hAnsi="仿宋" w:eastAsia="仿宋" w:cs="仿宋"/>
          <w:b/>
          <w:bCs/>
          <w:i w:val="0"/>
          <w:iCs w:val="0"/>
          <w:sz w:val="36"/>
          <w:szCs w:val="36"/>
          <w:u w:val="none"/>
          <w:lang w:val="en-US" w:eastAsia="zh-CN"/>
        </w:rPr>
        <w:t>六次会议第123号提案的答复</w:t>
      </w:r>
    </w:p>
    <w:p w14:paraId="591F6A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42AA59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rPr>
      </w:pPr>
      <w:r>
        <w:rPr>
          <w:rFonts w:hint="eastAsia" w:ascii="仿宋" w:hAnsi="仿宋" w:eastAsia="仿宋" w:cs="仿宋"/>
          <w:sz w:val="32"/>
          <w:szCs w:val="32"/>
          <w:lang w:val="en-US" w:eastAsia="zh-CN"/>
        </w:rPr>
        <w:t>王文光委员</w:t>
      </w:r>
      <w:r>
        <w:rPr>
          <w:rFonts w:hint="eastAsia" w:ascii="仿宋" w:hAnsi="仿宋" w:eastAsia="仿宋" w:cs="仿宋"/>
          <w:color w:val="auto"/>
          <w:sz w:val="32"/>
          <w:szCs w:val="32"/>
        </w:rPr>
        <w:t>：</w:t>
      </w:r>
    </w:p>
    <w:p w14:paraId="0BD22E4C">
      <w:pPr>
        <w:keepNext w:val="0"/>
        <w:keepLines w:val="0"/>
        <w:pageBreakBefore w:val="0"/>
        <w:kinsoku/>
        <w:wordWrap/>
        <w:overflowPunct/>
        <w:topLinePunct w:val="0"/>
        <w:autoSpaceDE/>
        <w:autoSpaceDN/>
        <w:bidi w:val="0"/>
        <w:adjustRightInd/>
        <w:snapToGrid/>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color w:val="auto"/>
          <w:sz w:val="32"/>
          <w:szCs w:val="32"/>
        </w:rPr>
        <w:t>您</w:t>
      </w:r>
      <w:r>
        <w:rPr>
          <w:rFonts w:hint="eastAsia" w:ascii="方正仿宋_GBK" w:hAnsi="方正仿宋_GBK" w:eastAsia="方正仿宋_GBK" w:cs="方正仿宋_GBK"/>
          <w:color w:val="auto"/>
          <w:sz w:val="32"/>
          <w:szCs w:val="32"/>
        </w:rPr>
        <w:t>(们)</w:t>
      </w:r>
      <w:r>
        <w:rPr>
          <w:rFonts w:hint="eastAsia" w:ascii="仿宋" w:hAnsi="仿宋" w:eastAsia="仿宋" w:cs="仿宋"/>
          <w:color w:val="auto"/>
          <w:sz w:val="32"/>
          <w:szCs w:val="32"/>
        </w:rPr>
        <w:t>提出的《</w:t>
      </w:r>
      <w:r>
        <w:rPr>
          <w:rFonts w:hint="eastAsia" w:ascii="仿宋" w:hAnsi="仿宋" w:eastAsia="仿宋" w:cs="仿宋"/>
          <w:color w:val="auto"/>
          <w:sz w:val="32"/>
          <w:szCs w:val="32"/>
          <w:lang w:val="en-US" w:eastAsia="zh-CN"/>
        </w:rPr>
        <w:t>关于加强我县充电桩统一规范管理的建议</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已</w:t>
      </w:r>
      <w:r>
        <w:rPr>
          <w:rFonts w:hint="eastAsia" w:ascii="仿宋" w:hAnsi="仿宋" w:eastAsia="仿宋" w:cs="仿宋"/>
          <w:color w:val="auto"/>
          <w:sz w:val="32"/>
          <w:szCs w:val="32"/>
        </w:rPr>
        <w:t>收悉，我局高度重视，经认真</w:t>
      </w:r>
      <w:r>
        <w:rPr>
          <w:rFonts w:hint="eastAsia" w:ascii="仿宋" w:hAnsi="仿宋" w:eastAsia="仿宋" w:cs="仿宋"/>
          <w:color w:val="auto"/>
          <w:sz w:val="32"/>
          <w:szCs w:val="32"/>
          <w:lang w:eastAsia="zh-CN"/>
        </w:rPr>
        <w:t>分析</w:t>
      </w:r>
      <w:r>
        <w:rPr>
          <w:rFonts w:hint="eastAsia" w:ascii="仿宋" w:hAnsi="仿宋" w:eastAsia="仿宋" w:cs="仿宋"/>
          <w:color w:val="auto"/>
          <w:sz w:val="32"/>
          <w:szCs w:val="32"/>
        </w:rPr>
        <w:t>研究，现答复如下：</w:t>
      </w:r>
    </w:p>
    <w:p w14:paraId="56B2470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建立统一协调管理机制，统筹充电桩规划布局</w:t>
      </w:r>
    </w:p>
    <w:p w14:paraId="67AE9E01">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华文楷体" w:hAnsi="华文楷体" w:eastAsia="华文楷体" w:cs="华文楷体"/>
          <w:sz w:val="32"/>
          <w:szCs w:val="32"/>
          <w:lang w:val="en-US" w:eastAsia="zh-CN"/>
        </w:rPr>
      </w:pPr>
      <w:r>
        <w:rPr>
          <w:rFonts w:hint="eastAsia" w:ascii="华文楷体" w:hAnsi="华文楷体" w:eastAsia="华文楷体" w:cs="华文楷体"/>
          <w:sz w:val="32"/>
          <w:szCs w:val="32"/>
          <w:lang w:val="en-US" w:eastAsia="zh-CN"/>
        </w:rPr>
        <w:t>组建专项管理专班方面</w:t>
      </w:r>
    </w:p>
    <w:p w14:paraId="009215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进一步提升充换电保障能力，统筹我县充换电基础设施的规划及建设工作，推动充换电基础设施高质量发展，我县于2023年9月成立盂县充换电基础设施建设协调领导小组（盂政办函[2023]47号），由分管副县长任组长，县能源局、国网盂县供电公司主要负责人任副组长，县发改局、县工信局、县财政局等相关单位负责同志为成员。《通知》明确领导小组下设办公室在县能源局，负责日常统筹协调、组织推进和督促落实等工作。县行政审批局负责进一步落实简化规划审批要求，统筹充换电基础设施建设的注册登记、项目备案和环评等建设环节，研究设立充换电基础设施手续办理全流程审批绿色通道，为充换电基础设施建设提供保障。经与县行政审批局沟通了解，目前在符合法律法规和行业规范的前提下，充换电基础设施建设审批已完成流程精简整合，不存在额外增设的审批环节或冗余材料要求。后续将持续跟踪国家、省市最新政策，若上级层面放宽审批权限或简化流程，我县将第一时间跟进调整，进一步提升办理便利度。</w:t>
      </w:r>
    </w:p>
    <w:p w14:paraId="52237B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华文楷体" w:hAnsi="华文楷体" w:eastAsia="华文楷体" w:cs="华文楷体"/>
          <w:sz w:val="32"/>
          <w:szCs w:val="32"/>
          <w:lang w:val="en-US" w:eastAsia="zh-CN"/>
        </w:rPr>
        <w:t>（二）编制专项发展规划及强化规划落地监管方面</w:t>
      </w:r>
    </w:p>
    <w:p w14:paraId="1DB250F8">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四五”期间，我县出台了《盂县电动汽车充换电基础设施建设三年行动计划（2023-2025年）》（盂政办发[2024]26号），按照《三年行动计划》要求，我局圆满完成既定建设目标与管理任务。结合我县城乡发展规划、新能源汽车保有量增长趋势及群众出行需求，我局已于2025年下半年启动新一轮充换电基础设施专项规划编制，目前，</w:t>
      </w:r>
      <w:r>
        <w:rPr>
          <w:rFonts w:hint="eastAsia" w:ascii="方正仿宋_GBK" w:hAnsi="方正仿宋_GBK" w:eastAsia="方正仿宋_GBK" w:cs="方正仿宋_GBK"/>
          <w:sz w:val="32"/>
          <w:szCs w:val="32"/>
          <w:lang w:eastAsia="zh-CN"/>
        </w:rPr>
        <w:t>《盂县</w:t>
      </w:r>
      <w:r>
        <w:rPr>
          <w:rFonts w:hint="eastAsia" w:ascii="方正仿宋_GBK" w:hAnsi="方正仿宋_GBK" w:eastAsia="方正仿宋_GBK" w:cs="方正仿宋_GBK"/>
          <w:sz w:val="32"/>
          <w:szCs w:val="32"/>
        </w:rPr>
        <w:t>电动汽车充（换）电基础设施</w:t>
      </w:r>
      <w:r>
        <w:rPr>
          <w:rFonts w:hint="eastAsia" w:ascii="方正仿宋_GBK" w:hAnsi="方正仿宋_GBK" w:eastAsia="方正仿宋_GBK" w:cs="方正仿宋_GBK"/>
          <w:sz w:val="32"/>
          <w:szCs w:val="32"/>
          <w:lang w:eastAsia="zh-CN"/>
        </w:rPr>
        <w:t>专项</w:t>
      </w:r>
      <w:r>
        <w:rPr>
          <w:rFonts w:hint="eastAsia" w:ascii="方正仿宋_GBK" w:hAnsi="方正仿宋_GBK" w:eastAsia="方正仿宋_GBK" w:cs="方正仿宋_GBK"/>
          <w:sz w:val="32"/>
          <w:szCs w:val="32"/>
        </w:rPr>
        <w:t>规划（202</w:t>
      </w: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lang w:val="en-US" w:eastAsia="zh-CN"/>
        </w:rPr>
        <w:t>30</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eastAsia="zh-CN"/>
        </w:rPr>
        <w:t>》</w:t>
      </w:r>
      <w:r>
        <w:rPr>
          <w:rFonts w:hint="eastAsia" w:ascii="仿宋" w:hAnsi="仿宋" w:eastAsia="仿宋" w:cs="仿宋"/>
          <w:sz w:val="32"/>
          <w:szCs w:val="32"/>
          <w:lang w:val="en-US" w:eastAsia="zh-CN"/>
        </w:rPr>
        <w:t>已完成初稿编制，待县政府常务会审议后印发。</w:t>
      </w:r>
    </w:p>
    <w:p w14:paraId="3C5016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此次规划重点向偏远乡镇、农村地区、景区等区域倾斜，优化充电网络布局，着力缓解部分区域充电桩拥挤、偏远地区覆盖不足的问题。居住区充电桩建设方面，</w:t>
      </w:r>
      <w:r>
        <w:rPr>
          <w:rFonts w:hint="eastAsia" w:ascii="仿宋" w:hAnsi="仿宋" w:eastAsia="仿宋" w:cs="仿宋"/>
          <w:b w:val="0"/>
          <w:bCs/>
          <w:i w:val="0"/>
          <w:iCs w:val="0"/>
          <w:caps w:val="0"/>
          <w:color w:val="auto"/>
          <w:spacing w:val="0"/>
          <w:sz w:val="32"/>
          <w:szCs w:val="32"/>
          <w:highlight w:val="none"/>
          <w:shd w:val="clear" w:color="auto" w:fill="auto"/>
          <w:lang w:val="en-US" w:eastAsia="zh-CN"/>
        </w:rPr>
        <w:t>居民</w:t>
      </w:r>
      <w:r>
        <w:rPr>
          <w:rFonts w:hint="eastAsia" w:ascii="仿宋" w:hAnsi="仿宋" w:eastAsia="仿宋" w:cs="仿宋"/>
          <w:b w:val="0"/>
          <w:bCs/>
          <w:i w:val="0"/>
          <w:iCs w:val="0"/>
          <w:caps w:val="0"/>
          <w:color w:val="auto"/>
          <w:spacing w:val="0"/>
          <w:sz w:val="32"/>
          <w:szCs w:val="32"/>
          <w:highlight w:val="none"/>
          <w:shd w:val="clear" w:color="auto" w:fill="auto"/>
        </w:rPr>
        <w:t>小区</w:t>
      </w:r>
      <w:r>
        <w:rPr>
          <w:rFonts w:hint="eastAsia" w:ascii="仿宋" w:hAnsi="仿宋" w:eastAsia="仿宋" w:cs="仿宋"/>
          <w:b w:val="0"/>
          <w:bCs/>
          <w:i w:val="0"/>
          <w:iCs w:val="0"/>
          <w:caps w:val="0"/>
          <w:color w:val="auto"/>
          <w:spacing w:val="0"/>
          <w:sz w:val="32"/>
          <w:szCs w:val="32"/>
          <w:highlight w:val="none"/>
          <w:shd w:val="clear" w:color="auto" w:fill="auto"/>
          <w:lang w:eastAsia="zh-CN"/>
        </w:rPr>
        <w:t>公共</w:t>
      </w:r>
      <w:r>
        <w:rPr>
          <w:rFonts w:hint="eastAsia" w:ascii="仿宋" w:hAnsi="仿宋" w:eastAsia="仿宋" w:cs="仿宋"/>
          <w:b w:val="0"/>
          <w:bCs/>
          <w:i w:val="0"/>
          <w:iCs w:val="0"/>
          <w:caps w:val="0"/>
          <w:color w:val="auto"/>
          <w:spacing w:val="0"/>
          <w:sz w:val="32"/>
          <w:szCs w:val="32"/>
          <w:highlight w:val="none"/>
          <w:shd w:val="clear" w:color="auto" w:fill="auto"/>
        </w:rPr>
        <w:t>充电桩</w:t>
      </w:r>
      <w:r>
        <w:rPr>
          <w:rFonts w:hint="eastAsia" w:ascii="仿宋" w:hAnsi="仿宋" w:eastAsia="仿宋" w:cs="仿宋"/>
          <w:b w:val="0"/>
          <w:bCs/>
          <w:i w:val="0"/>
          <w:iCs w:val="0"/>
          <w:caps w:val="0"/>
          <w:color w:val="auto"/>
          <w:spacing w:val="0"/>
          <w:sz w:val="32"/>
          <w:szCs w:val="32"/>
          <w:highlight w:val="none"/>
          <w:shd w:val="clear" w:color="auto" w:fill="auto"/>
          <w:lang w:eastAsia="zh-CN"/>
        </w:rPr>
        <w:t>应</w:t>
      </w:r>
      <w:r>
        <w:rPr>
          <w:rFonts w:hint="eastAsia" w:ascii="仿宋" w:hAnsi="仿宋" w:eastAsia="仿宋" w:cs="仿宋"/>
          <w:b w:val="0"/>
          <w:bCs/>
          <w:i w:val="0"/>
          <w:iCs w:val="0"/>
          <w:caps w:val="0"/>
          <w:color w:val="auto"/>
          <w:spacing w:val="0"/>
          <w:sz w:val="32"/>
          <w:szCs w:val="32"/>
          <w:highlight w:val="none"/>
          <w:shd w:val="clear" w:color="auto" w:fill="auto"/>
        </w:rPr>
        <w:t>优先在新能源汽车保有量高、居民充电需求迫切的小区进行充电桩建设。</w:t>
      </w:r>
      <w:r>
        <w:rPr>
          <w:rFonts w:hint="eastAsia" w:ascii="仿宋" w:hAnsi="仿宋" w:eastAsia="仿宋" w:cs="仿宋"/>
          <w:b w:val="0"/>
          <w:bCs/>
          <w:i w:val="0"/>
          <w:iCs w:val="0"/>
          <w:caps w:val="0"/>
          <w:color w:val="auto"/>
          <w:spacing w:val="0"/>
          <w:sz w:val="32"/>
          <w:szCs w:val="32"/>
          <w:highlight w:val="none"/>
          <w:shd w:val="clear" w:color="auto" w:fill="auto"/>
          <w:lang w:eastAsia="zh-CN"/>
        </w:rPr>
        <w:t>在规划期内鼓励投资运营企业与小区物业合作，采取统建统筹模式共建，</w:t>
      </w:r>
      <w:r>
        <w:rPr>
          <w:rFonts w:hint="eastAsia" w:ascii="仿宋" w:hAnsi="仿宋" w:eastAsia="仿宋" w:cs="仿宋"/>
          <w:b w:val="0"/>
          <w:bCs/>
          <w:i w:val="0"/>
          <w:iCs w:val="0"/>
          <w:caps w:val="0"/>
          <w:color w:val="auto"/>
          <w:spacing w:val="0"/>
          <w:sz w:val="32"/>
          <w:szCs w:val="32"/>
          <w:highlight w:val="none"/>
          <w:shd w:val="clear" w:color="auto" w:fill="auto"/>
          <w:lang w:val="en-US" w:eastAsia="zh-CN"/>
        </w:rPr>
        <w:t>为避免过度超前，产生浪费，</w:t>
      </w:r>
      <w:r>
        <w:rPr>
          <w:rFonts w:hint="eastAsia" w:ascii="仿宋" w:hAnsi="仿宋" w:eastAsia="仿宋" w:cs="仿宋"/>
          <w:b w:val="0"/>
          <w:bCs/>
          <w:i w:val="0"/>
          <w:iCs w:val="0"/>
          <w:caps w:val="0"/>
          <w:color w:val="auto"/>
          <w:spacing w:val="0"/>
          <w:sz w:val="32"/>
          <w:szCs w:val="32"/>
          <w:highlight w:val="none"/>
          <w:shd w:val="clear" w:color="auto" w:fill="auto"/>
          <w:lang w:eastAsia="zh-CN"/>
        </w:rPr>
        <w:t>依据后期建设实际需求配建。</w:t>
      </w:r>
    </w:p>
    <w:p w14:paraId="61C5793C">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规范充电桩收费标准，维护市场公平秩序</w:t>
      </w:r>
    </w:p>
    <w:p w14:paraId="7A57FBA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640" w:leftChars="0" w:firstLine="0" w:firstLineChars="0"/>
        <w:textAlignment w:val="auto"/>
        <w:rPr>
          <w:rFonts w:hint="eastAsia" w:ascii="华文楷体" w:hAnsi="华文楷体" w:eastAsia="华文楷体" w:cs="华文楷体"/>
          <w:sz w:val="32"/>
          <w:szCs w:val="32"/>
          <w:lang w:val="en-US" w:eastAsia="zh-CN"/>
        </w:rPr>
      </w:pPr>
      <w:r>
        <w:rPr>
          <w:rFonts w:hint="eastAsia" w:ascii="华文楷体" w:hAnsi="华文楷体" w:eastAsia="华文楷体" w:cs="华文楷体"/>
          <w:sz w:val="32"/>
          <w:szCs w:val="32"/>
          <w:lang w:val="en-US" w:eastAsia="zh-CN"/>
        </w:rPr>
        <w:t>制定分级定价机制方面</w:t>
      </w:r>
    </w:p>
    <w:p w14:paraId="25F7EB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b w:val="0"/>
          <w:bCs/>
          <w:i w:val="0"/>
          <w:iCs w:val="0"/>
          <w:caps w:val="0"/>
          <w:color w:val="auto"/>
          <w:spacing w:val="0"/>
          <w:sz w:val="32"/>
          <w:szCs w:val="32"/>
          <w:highlight w:val="none"/>
          <w:shd w:val="clear" w:color="auto" w:fill="auto"/>
          <w:lang w:val="en-US" w:eastAsia="zh-CN"/>
        </w:rPr>
      </w:pPr>
      <w:r>
        <w:rPr>
          <w:rFonts w:hint="eastAsia" w:ascii="仿宋" w:hAnsi="仿宋" w:eastAsia="仿宋" w:cs="仿宋"/>
          <w:b w:val="0"/>
          <w:bCs/>
          <w:i w:val="0"/>
          <w:iCs w:val="0"/>
          <w:caps w:val="0"/>
          <w:color w:val="auto"/>
          <w:spacing w:val="0"/>
          <w:sz w:val="32"/>
          <w:szCs w:val="32"/>
          <w:highlight w:val="none"/>
          <w:shd w:val="clear" w:color="auto" w:fill="auto"/>
          <w:lang w:val="en-US" w:eastAsia="zh-CN"/>
        </w:rPr>
        <w:t>根据盂县充换电基础设施建设协调领导小组职责分工，盂县发改局负责落实省发改委关于电动汽车充放电峰谷电价的系列政策。经与县发改局沟通了解：</w:t>
      </w:r>
      <w:r>
        <w:rPr>
          <w:rFonts w:hint="default" w:ascii="仿宋" w:hAnsi="仿宋" w:eastAsia="仿宋" w:cs="仿宋"/>
          <w:b w:val="0"/>
          <w:bCs/>
          <w:i w:val="0"/>
          <w:iCs w:val="0"/>
          <w:caps w:val="0"/>
          <w:color w:val="auto"/>
          <w:spacing w:val="0"/>
          <w:sz w:val="32"/>
          <w:szCs w:val="32"/>
          <w:highlight w:val="none"/>
          <w:shd w:val="clear" w:color="auto" w:fill="auto"/>
          <w:lang w:val="en-US" w:eastAsia="zh-CN"/>
        </w:rPr>
        <w:t>山西省充电桩电价根据充电桩类型及安装场所不同而执行不同的电价政策。‌‌‌电动汽车充电设施用电价格主要分为三类</w:t>
      </w:r>
      <w:r>
        <w:rPr>
          <w:rFonts w:hint="eastAsia" w:ascii="仿宋" w:hAnsi="仿宋" w:eastAsia="仿宋" w:cs="仿宋"/>
          <w:b w:val="0"/>
          <w:bCs/>
          <w:i w:val="0"/>
          <w:iCs w:val="0"/>
          <w:caps w:val="0"/>
          <w:color w:val="auto"/>
          <w:spacing w:val="0"/>
          <w:sz w:val="32"/>
          <w:szCs w:val="32"/>
          <w:highlight w:val="none"/>
          <w:shd w:val="clear" w:color="auto" w:fill="auto"/>
          <w:lang w:val="en-US" w:eastAsia="zh-CN"/>
        </w:rPr>
        <w:t>，</w:t>
      </w:r>
      <w:r>
        <w:rPr>
          <w:rFonts w:hint="default" w:ascii="仿宋" w:hAnsi="仿宋" w:eastAsia="仿宋" w:cs="仿宋"/>
          <w:b w:val="0"/>
          <w:bCs/>
          <w:i w:val="0"/>
          <w:iCs w:val="0"/>
          <w:caps w:val="0"/>
          <w:color w:val="auto"/>
          <w:spacing w:val="0"/>
          <w:sz w:val="32"/>
          <w:szCs w:val="32"/>
          <w:highlight w:val="none"/>
          <w:shd w:val="clear" w:color="auto" w:fill="auto"/>
          <w:lang w:val="en-US" w:eastAsia="zh-CN"/>
        </w:rPr>
        <w:t>‌经营性集中式充换电设施执行大工业输配电价</w:t>
      </w:r>
      <w:r>
        <w:rPr>
          <w:rFonts w:hint="eastAsia" w:ascii="仿宋" w:hAnsi="仿宋" w:eastAsia="仿宋" w:cs="仿宋"/>
          <w:b w:val="0"/>
          <w:bCs/>
          <w:i w:val="0"/>
          <w:iCs w:val="0"/>
          <w:caps w:val="0"/>
          <w:color w:val="auto"/>
          <w:spacing w:val="0"/>
          <w:sz w:val="32"/>
          <w:szCs w:val="32"/>
          <w:highlight w:val="none"/>
          <w:shd w:val="clear" w:color="auto" w:fill="auto"/>
          <w:lang w:val="en-US" w:eastAsia="zh-CN"/>
        </w:rPr>
        <w:t>，</w:t>
      </w:r>
      <w:r>
        <w:rPr>
          <w:rFonts w:hint="default" w:ascii="仿宋" w:hAnsi="仿宋" w:eastAsia="仿宋" w:cs="仿宋"/>
          <w:b w:val="0"/>
          <w:bCs/>
          <w:i w:val="0"/>
          <w:iCs w:val="0"/>
          <w:caps w:val="0"/>
          <w:color w:val="auto"/>
          <w:spacing w:val="0"/>
          <w:sz w:val="32"/>
          <w:szCs w:val="32"/>
          <w:highlight w:val="none"/>
          <w:shd w:val="clear" w:color="auto" w:fill="auto"/>
          <w:lang w:val="en-US" w:eastAsia="zh-CN"/>
        </w:rPr>
        <w:t>党政机关、企事业单位和社会公共停车场中设置的充电设施用电执行‌一般工商业输配电价</w:t>
      </w:r>
      <w:r>
        <w:rPr>
          <w:rFonts w:hint="eastAsia" w:ascii="仿宋" w:hAnsi="仿宋" w:eastAsia="仿宋" w:cs="仿宋"/>
          <w:b w:val="0"/>
          <w:bCs/>
          <w:i w:val="0"/>
          <w:iCs w:val="0"/>
          <w:caps w:val="0"/>
          <w:color w:val="auto"/>
          <w:spacing w:val="0"/>
          <w:sz w:val="32"/>
          <w:szCs w:val="32"/>
          <w:highlight w:val="none"/>
          <w:shd w:val="clear" w:color="auto" w:fill="auto"/>
          <w:lang w:val="en-US" w:eastAsia="zh-CN"/>
        </w:rPr>
        <w:t>，</w:t>
      </w:r>
      <w:r>
        <w:rPr>
          <w:rFonts w:hint="default" w:ascii="仿宋" w:hAnsi="仿宋" w:eastAsia="仿宋" w:cs="仿宋"/>
          <w:b w:val="0"/>
          <w:bCs/>
          <w:i w:val="0"/>
          <w:iCs w:val="0"/>
          <w:caps w:val="0"/>
          <w:color w:val="auto"/>
          <w:spacing w:val="0"/>
          <w:sz w:val="32"/>
          <w:szCs w:val="32"/>
          <w:highlight w:val="none"/>
          <w:shd w:val="clear" w:color="auto" w:fill="auto"/>
          <w:lang w:val="en-US" w:eastAsia="zh-CN"/>
        </w:rPr>
        <w:t>‌居民区充电设施用电执行‌居民合表用户电价‌。</w:t>
      </w:r>
      <w:r>
        <w:rPr>
          <w:rFonts w:hint="eastAsia" w:ascii="仿宋" w:hAnsi="仿宋" w:eastAsia="仿宋" w:cs="仿宋"/>
          <w:b w:val="0"/>
          <w:bCs/>
          <w:i w:val="0"/>
          <w:iCs w:val="0"/>
          <w:caps w:val="0"/>
          <w:color w:val="auto"/>
          <w:spacing w:val="0"/>
          <w:sz w:val="32"/>
          <w:szCs w:val="32"/>
          <w:highlight w:val="none"/>
          <w:shd w:val="clear" w:color="auto" w:fill="auto"/>
          <w:lang w:val="en-US" w:eastAsia="zh-CN"/>
        </w:rPr>
        <w:t>自2026年3月起，执行新出台的分时电价政策，</w:t>
      </w:r>
      <w:r>
        <w:rPr>
          <w:rFonts w:hint="default" w:ascii="仿宋" w:hAnsi="仿宋" w:eastAsia="仿宋" w:cs="仿宋"/>
          <w:b w:val="0"/>
          <w:bCs/>
          <w:i w:val="0"/>
          <w:iCs w:val="0"/>
          <w:caps w:val="0"/>
          <w:color w:val="auto"/>
          <w:spacing w:val="0"/>
          <w:sz w:val="32"/>
          <w:szCs w:val="32"/>
          <w:highlight w:val="none"/>
          <w:shd w:val="clear" w:color="auto" w:fill="auto"/>
          <w:lang w:val="en-US" w:eastAsia="zh-CN"/>
        </w:rPr>
        <w:t>高峰时段电价在平时段基础上上浮60%，低谷时段下浮55%，尖峰时段在高峰电价基础上再上浮20%，深谷时段在低谷电价基础上下浮20%</w:t>
      </w:r>
      <w:r>
        <w:rPr>
          <w:rFonts w:hint="eastAsia" w:ascii="仿宋" w:hAnsi="仿宋" w:eastAsia="仿宋" w:cs="仿宋"/>
          <w:b w:val="0"/>
          <w:bCs/>
          <w:i w:val="0"/>
          <w:iCs w:val="0"/>
          <w:caps w:val="0"/>
          <w:color w:val="auto"/>
          <w:spacing w:val="0"/>
          <w:sz w:val="32"/>
          <w:szCs w:val="32"/>
          <w:highlight w:val="none"/>
          <w:shd w:val="clear" w:color="auto" w:fill="auto"/>
          <w:lang w:val="en-US" w:eastAsia="zh-CN"/>
        </w:rPr>
        <w:t>。</w:t>
      </w:r>
      <w:r>
        <w:rPr>
          <w:rFonts w:hint="default" w:ascii="仿宋" w:hAnsi="仿宋" w:eastAsia="仿宋" w:cs="仿宋"/>
          <w:b w:val="0"/>
          <w:bCs/>
          <w:i w:val="0"/>
          <w:iCs w:val="0"/>
          <w:caps w:val="0"/>
          <w:color w:val="auto"/>
          <w:spacing w:val="0"/>
          <w:sz w:val="32"/>
          <w:szCs w:val="32"/>
          <w:highlight w:val="none"/>
          <w:shd w:val="clear" w:color="auto" w:fill="auto"/>
          <w:lang w:val="en-US" w:eastAsia="zh-CN"/>
        </w:rPr>
        <w:t>‌</w:t>
      </w:r>
    </w:p>
    <w:p w14:paraId="0C9B482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华文楷体" w:hAnsi="华文楷体" w:eastAsia="华文楷体" w:cs="华文楷体"/>
          <w:sz w:val="32"/>
          <w:szCs w:val="32"/>
          <w:lang w:val="en-US" w:eastAsia="zh-CN"/>
        </w:rPr>
      </w:pPr>
      <w:r>
        <w:rPr>
          <w:rFonts w:hint="eastAsia" w:ascii="华文楷体" w:hAnsi="华文楷体" w:eastAsia="华文楷体" w:cs="华文楷体"/>
          <w:sz w:val="32"/>
          <w:szCs w:val="32"/>
          <w:lang w:val="en-US" w:eastAsia="zh-CN"/>
        </w:rPr>
        <w:t>（二）推进收费信息公开透明及鼓励互联互通与市场化竞争方面</w:t>
      </w:r>
    </w:p>
    <w:p w14:paraId="6CDCAE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方正仿宋_GBK" w:hAnsi="方正仿宋_GBK" w:eastAsia="方正仿宋_GBK" w:cs="方正仿宋_GBK"/>
          <w:sz w:val="32"/>
          <w:szCs w:val="32"/>
          <w:lang w:eastAsia="zh-CN"/>
        </w:rPr>
      </w:pPr>
      <w:r>
        <w:rPr>
          <w:rFonts w:hint="eastAsia" w:ascii="仿宋" w:hAnsi="仿宋" w:eastAsia="仿宋" w:cs="仿宋"/>
          <w:b w:val="0"/>
          <w:bCs/>
          <w:i w:val="0"/>
          <w:iCs w:val="0"/>
          <w:caps w:val="0"/>
          <w:color w:val="auto"/>
          <w:spacing w:val="0"/>
          <w:sz w:val="32"/>
          <w:szCs w:val="32"/>
          <w:highlight w:val="none"/>
          <w:shd w:val="clear" w:color="auto" w:fill="auto"/>
          <w:lang w:val="en-US" w:eastAsia="zh-CN"/>
        </w:rPr>
        <w:t>2025年，盂县第十七届人大四次会议第61号建议</w:t>
      </w:r>
      <w:r>
        <w:rPr>
          <w:rFonts w:hint="eastAsia" w:ascii="方正仿宋_GBK" w:hAnsi="方正仿宋_GBK" w:eastAsia="方正仿宋_GBK" w:cs="方正仿宋_GBK"/>
          <w:sz w:val="32"/>
          <w:szCs w:val="32"/>
        </w:rPr>
        <w:t>《关于完善充电站路引指示牌的建议》</w:t>
      </w:r>
      <w:r>
        <w:rPr>
          <w:rFonts w:hint="eastAsia" w:ascii="方正仿宋_GBK" w:hAnsi="方正仿宋_GBK" w:eastAsia="方正仿宋_GBK" w:cs="方正仿宋_GBK"/>
          <w:sz w:val="32"/>
          <w:szCs w:val="32"/>
          <w:lang w:eastAsia="zh-CN"/>
        </w:rPr>
        <w:t>收悉后，我局多次对辖区内建成运营的充电站进行实地走访，明确提出完善路引指示牌、安全标志标识及价格公示牌。目前，全县建成运营的充电站内均设置价格公示栏。收费投诉举报方面，由县发改局负责，具体工作由其开展。</w:t>
      </w:r>
    </w:p>
    <w:p w14:paraId="414CEB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截止目前，全县共建成运营充电站</w:t>
      </w:r>
      <w:r>
        <w:rPr>
          <w:rFonts w:hint="eastAsia" w:ascii="方正仿宋_GBK" w:hAnsi="方正仿宋_GBK" w:eastAsia="方正仿宋_GBK" w:cs="方正仿宋_GBK"/>
          <w:sz w:val="32"/>
          <w:szCs w:val="32"/>
          <w:lang w:val="en-US" w:eastAsia="zh-CN"/>
        </w:rPr>
        <w:t>151家，充电枪1434把，90%以上的充电站由社会资本建设运营，充换电基础设施建设已形成成熟的市场化激励机制，社会资本参与意愿强，为后续扩容提质奠定了基础。为支持各运营企业实现互联互通、数据共享，省能源局建设完成省级充（换）电基础设施监管服务平台，已全面接入国家监管一体化平台，为各市编制规划、充电设施布局建设提供了技术支持。并同步完成“三晋智充”APP 客户端开发，具备“一键找桩”、行程导航、适时状态监控和价格比对等功能，为充电用户提供便捷实惠充电体验的同时，提升了政府智能化、数字化、便捷化监管能力。</w:t>
      </w:r>
    </w:p>
    <w:p w14:paraId="32B5D3E6">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强化安全监管力度，筑牢充电桩安全防线</w:t>
      </w:r>
    </w:p>
    <w:p w14:paraId="0301D8D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华文楷体" w:hAnsi="华文楷体" w:eastAsia="华文楷体" w:cs="华文楷体"/>
          <w:sz w:val="32"/>
          <w:szCs w:val="32"/>
          <w:lang w:val="en-US" w:eastAsia="zh-CN"/>
        </w:rPr>
      </w:pPr>
      <w:r>
        <w:rPr>
          <w:rFonts w:hint="eastAsia" w:ascii="华文楷体" w:hAnsi="华文楷体" w:eastAsia="华文楷体" w:cs="华文楷体"/>
          <w:sz w:val="32"/>
          <w:szCs w:val="32"/>
          <w:lang w:val="en-US" w:eastAsia="zh-CN"/>
        </w:rPr>
        <w:t>（一）严格落实建设安全标准方面</w:t>
      </w:r>
    </w:p>
    <w:p w14:paraId="4D6D3B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充电基础设施作为</w:t>
      </w:r>
      <w:r>
        <w:rPr>
          <w:rFonts w:hint="eastAsia" w:ascii="仿宋" w:hAnsi="仿宋" w:eastAsia="仿宋" w:cs="仿宋"/>
          <w:sz w:val="32"/>
          <w:szCs w:val="32"/>
          <w:highlight w:val="none"/>
          <w:lang w:val="en-US" w:eastAsia="zh-CN"/>
        </w:rPr>
        <w:t>电动汽车发展的必然</w:t>
      </w:r>
      <w:r>
        <w:rPr>
          <w:rFonts w:hint="default" w:ascii="仿宋" w:hAnsi="仿宋" w:eastAsia="仿宋" w:cs="仿宋"/>
          <w:sz w:val="32"/>
          <w:szCs w:val="32"/>
          <w:highlight w:val="none"/>
          <w:lang w:val="en-US" w:eastAsia="zh-CN"/>
        </w:rPr>
        <w:t>产物，其建设标准和规范体系经历了从无到有、逐步完善的过程。在行业发展初期，整体处于摸着石头过河的探索阶段，相关标准和技术要求尚不成熟，在建设布局、设备质量、运营管理、安全监管等多个领域还存在不少空白和薄弱环节。</w:t>
      </w:r>
      <w:r>
        <w:rPr>
          <w:rFonts w:hint="eastAsia" w:ascii="仿宋" w:hAnsi="仿宋" w:eastAsia="仿宋" w:cs="仿宋"/>
          <w:sz w:val="32"/>
          <w:szCs w:val="32"/>
          <w:highlight w:val="none"/>
          <w:lang w:val="en-US" w:eastAsia="zh-CN"/>
        </w:rPr>
        <w:t>近年来，</w:t>
      </w:r>
      <w:r>
        <w:rPr>
          <w:rFonts w:hint="default" w:ascii="仿宋" w:hAnsi="仿宋" w:eastAsia="仿宋" w:cs="仿宋"/>
          <w:sz w:val="32"/>
          <w:szCs w:val="32"/>
          <w:highlight w:val="none"/>
          <w:lang w:val="en-US" w:eastAsia="zh-CN"/>
        </w:rPr>
        <w:t>随着产业快速发展和实践经验不断积累，相关政策、标准和制度体系在实践中持续优化完善，逐步形成了较为系统、规范的建设管理要求</w:t>
      </w:r>
      <w:r>
        <w:rPr>
          <w:rFonts w:hint="eastAsia" w:ascii="仿宋" w:hAnsi="仿宋" w:eastAsia="仿宋" w:cs="仿宋"/>
          <w:sz w:val="32"/>
          <w:szCs w:val="32"/>
          <w:highlight w:val="none"/>
          <w:lang w:val="en-US" w:eastAsia="zh-CN"/>
        </w:rPr>
        <w:t>。我县充电基础设施建设发展过程中，始终严格遵循国家及省市关于充电基础设施建设的安全规范和技术标准，依法依规开展选址、设计、施工与安装工作。所有充电设施设备、电气线路等均经过严格审核把关，各项技术参数、安全条件和安装要求均符合现行规范规定，不存在违规建设、违规安装充电桩等情况，确保充电站建设合法合规、安全可靠。</w:t>
      </w:r>
    </w:p>
    <w:p w14:paraId="6BFE93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华文楷体" w:hAnsi="华文楷体" w:eastAsia="华文楷体" w:cs="华文楷体"/>
          <w:sz w:val="32"/>
          <w:szCs w:val="32"/>
          <w:lang w:val="en-US" w:eastAsia="zh-CN"/>
        </w:rPr>
      </w:pPr>
      <w:r>
        <w:rPr>
          <w:rFonts w:hint="eastAsia" w:ascii="华文楷体" w:hAnsi="华文楷体" w:eastAsia="华文楷体" w:cs="华文楷体"/>
          <w:sz w:val="32"/>
          <w:szCs w:val="32"/>
          <w:lang w:val="en-US" w:eastAsia="zh-CN"/>
        </w:rPr>
        <w:t>（二）建立常态化安全巡检机制方面</w:t>
      </w:r>
    </w:p>
    <w:p w14:paraId="17A228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我</w:t>
      </w:r>
      <w:r>
        <w:rPr>
          <w:rFonts w:hint="eastAsia" w:ascii="仿宋" w:hAnsi="仿宋" w:eastAsia="仿宋" w:cs="仿宋"/>
          <w:sz w:val="32"/>
          <w:szCs w:val="32"/>
          <w:highlight w:val="none"/>
          <w:lang w:val="en-US" w:eastAsia="zh-CN"/>
        </w:rPr>
        <w:t>局</w:t>
      </w:r>
      <w:r>
        <w:rPr>
          <w:rFonts w:hint="default" w:ascii="仿宋" w:hAnsi="仿宋" w:eastAsia="仿宋" w:cs="仿宋"/>
          <w:sz w:val="32"/>
          <w:szCs w:val="32"/>
          <w:highlight w:val="none"/>
          <w:lang w:val="en-US" w:eastAsia="zh-CN"/>
        </w:rPr>
        <w:t>坚持对充电桩运营企业开展每月常态化安全抽查，重点检查设施运行及用电安全等情况，督促企业落实主体责任。前期已下发</w:t>
      </w:r>
      <w:r>
        <w:rPr>
          <w:rFonts w:hint="eastAsia" w:ascii="仿宋" w:hAnsi="仿宋" w:eastAsia="仿宋" w:cs="仿宋"/>
          <w:sz w:val="32"/>
          <w:szCs w:val="32"/>
          <w:highlight w:val="none"/>
          <w:lang w:val="en-US" w:eastAsia="zh-CN"/>
        </w:rPr>
        <w:t>《关于进一步加强电动汽车充换电基础设施用电安全管理的通知》（盂能源函</w:t>
      </w:r>
      <w:r>
        <w:rPr>
          <w:rFonts w:hint="eastAsia" w:ascii="仿宋" w:hAnsi="仿宋" w:eastAsia="仿宋" w:cs="仿宋"/>
          <w:sz w:val="32"/>
          <w:szCs w:val="32"/>
          <w:lang w:val="en-US" w:eastAsia="zh-CN"/>
        </w:rPr>
        <w:t>[2025]162号</w:t>
      </w:r>
      <w:r>
        <w:rPr>
          <w:rFonts w:hint="eastAsia" w:ascii="仿宋" w:hAnsi="仿宋" w:eastAsia="仿宋" w:cs="仿宋"/>
          <w:sz w:val="32"/>
          <w:szCs w:val="32"/>
          <w:highlight w:val="none"/>
          <w:lang w:val="en-US" w:eastAsia="zh-CN"/>
        </w:rPr>
        <w:t>）等</w:t>
      </w:r>
      <w:r>
        <w:rPr>
          <w:rFonts w:hint="default" w:ascii="仿宋" w:hAnsi="仿宋" w:eastAsia="仿宋" w:cs="仿宋"/>
          <w:sz w:val="32"/>
          <w:szCs w:val="32"/>
          <w:highlight w:val="none"/>
          <w:lang w:val="en-US" w:eastAsia="zh-CN"/>
        </w:rPr>
        <w:t>通知，要求运营企业严格按照</w:t>
      </w:r>
      <w:r>
        <w:rPr>
          <w:rFonts w:hint="eastAsia" w:ascii="仿宋" w:hAnsi="仿宋" w:eastAsia="仿宋" w:cs="仿宋"/>
          <w:sz w:val="32"/>
          <w:szCs w:val="32"/>
          <w:highlight w:val="none"/>
          <w:lang w:val="en-US" w:eastAsia="zh-CN"/>
        </w:rPr>
        <w:t>政策要求</w:t>
      </w:r>
      <w:r>
        <w:rPr>
          <w:rFonts w:hint="default" w:ascii="仿宋" w:hAnsi="仿宋" w:eastAsia="仿宋" w:cs="仿宋"/>
          <w:sz w:val="32"/>
          <w:szCs w:val="32"/>
          <w:highlight w:val="none"/>
          <w:lang w:val="en-US" w:eastAsia="zh-CN"/>
        </w:rPr>
        <w:t>规范运营、强化安全管理。下一步，我</w:t>
      </w:r>
      <w:r>
        <w:rPr>
          <w:rFonts w:hint="eastAsia" w:ascii="仿宋" w:hAnsi="仿宋" w:eastAsia="仿宋" w:cs="仿宋"/>
          <w:sz w:val="32"/>
          <w:szCs w:val="32"/>
          <w:highlight w:val="none"/>
          <w:lang w:val="en-US" w:eastAsia="zh-CN"/>
        </w:rPr>
        <w:t>局</w:t>
      </w:r>
      <w:r>
        <w:rPr>
          <w:rFonts w:hint="default" w:ascii="仿宋" w:hAnsi="仿宋" w:eastAsia="仿宋" w:cs="仿宋"/>
          <w:sz w:val="32"/>
          <w:szCs w:val="32"/>
          <w:highlight w:val="none"/>
          <w:lang w:val="en-US" w:eastAsia="zh-CN"/>
        </w:rPr>
        <w:t>将充分发挥</w:t>
      </w:r>
      <w:r>
        <w:rPr>
          <w:rFonts w:hint="eastAsia" w:ascii="仿宋" w:hAnsi="仿宋" w:eastAsia="仿宋" w:cs="仿宋"/>
          <w:sz w:val="32"/>
          <w:szCs w:val="32"/>
          <w:highlight w:val="none"/>
          <w:lang w:val="en-US" w:eastAsia="zh-CN"/>
        </w:rPr>
        <w:t>专班统筹协调</w:t>
      </w:r>
      <w:r>
        <w:rPr>
          <w:rFonts w:hint="default" w:ascii="仿宋" w:hAnsi="仿宋" w:eastAsia="仿宋" w:cs="仿宋"/>
          <w:sz w:val="32"/>
          <w:szCs w:val="32"/>
          <w:highlight w:val="none"/>
          <w:lang w:val="en-US" w:eastAsia="zh-CN"/>
        </w:rPr>
        <w:t>作用，联合相关专班成员单位组织开展联合执法行动，全面排查整治充电基础设施领域安全隐患，切实筑牢用电安全和运营安全防线。</w:t>
      </w:r>
    </w:p>
    <w:p w14:paraId="74927EA8">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华文楷体" w:hAnsi="华文楷体" w:eastAsia="华文楷体" w:cs="华文楷体"/>
          <w:sz w:val="32"/>
          <w:szCs w:val="32"/>
          <w:lang w:val="en-US" w:eastAsia="zh-CN"/>
        </w:rPr>
      </w:pPr>
      <w:r>
        <w:rPr>
          <w:rFonts w:hint="eastAsia" w:ascii="仿宋" w:hAnsi="仿宋" w:eastAsia="仿宋" w:cs="仿宋"/>
          <w:sz w:val="32"/>
          <w:szCs w:val="32"/>
          <w:highlight w:val="none"/>
          <w:lang w:val="en-US" w:eastAsia="zh-CN"/>
        </w:rPr>
        <w:t xml:space="preserve">   </w:t>
      </w:r>
      <w:r>
        <w:rPr>
          <w:rFonts w:hint="eastAsia" w:ascii="华文楷体" w:hAnsi="华文楷体" w:eastAsia="华文楷体" w:cs="华文楷体"/>
          <w:sz w:val="32"/>
          <w:szCs w:val="32"/>
          <w:lang w:val="en-US" w:eastAsia="zh-CN"/>
        </w:rPr>
        <w:t xml:space="preserve"> （三）加强安全知识宣传教育方面</w:t>
      </w:r>
    </w:p>
    <w:p w14:paraId="1B02EF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在月度安全巡检工作中，我们均重点检查充电场站安全警示标志张贴是否规范到位、消防设施是否配备齐全且完好有效。针对新建及在建充电设施项目，及时向运营企业提出明确要求，督促其严格按照规范设置安全警示标识、配齐灭火器等消防器材，从源头落实安全管理措施。根据</w:t>
      </w:r>
      <w:r>
        <w:rPr>
          <w:rFonts w:hint="eastAsia" w:ascii="仿宋" w:hAnsi="仿宋" w:eastAsia="仿宋" w:cs="仿宋"/>
          <w:sz w:val="32"/>
          <w:szCs w:val="32"/>
          <w:highlight w:val="none"/>
          <w:lang w:val="en-US" w:eastAsia="zh-CN"/>
        </w:rPr>
        <w:t>领导小组分工要求</w:t>
      </w:r>
      <w:r>
        <w:rPr>
          <w:rFonts w:hint="default" w:ascii="仿宋" w:hAnsi="仿宋" w:eastAsia="仿宋" w:cs="仿宋"/>
          <w:sz w:val="32"/>
          <w:szCs w:val="32"/>
          <w:highlight w:val="none"/>
          <w:lang w:val="en-US" w:eastAsia="zh-CN"/>
        </w:rPr>
        <w:t>，充换电设施消防安全工作由</w:t>
      </w:r>
      <w:r>
        <w:rPr>
          <w:rFonts w:hint="eastAsia" w:ascii="仿宋" w:hAnsi="仿宋" w:eastAsia="仿宋" w:cs="仿宋"/>
          <w:sz w:val="32"/>
          <w:szCs w:val="32"/>
          <w:highlight w:val="none"/>
          <w:lang w:val="en-US" w:eastAsia="zh-CN"/>
        </w:rPr>
        <w:t>县消防救援大队</w:t>
      </w:r>
      <w:r>
        <w:rPr>
          <w:rFonts w:hint="default" w:ascii="仿宋" w:hAnsi="仿宋" w:eastAsia="仿宋" w:cs="仿宋"/>
          <w:sz w:val="32"/>
          <w:szCs w:val="32"/>
          <w:highlight w:val="none"/>
          <w:lang w:val="en-US" w:eastAsia="zh-CN"/>
        </w:rPr>
        <w:t>负责。下一步，我们将按职责分工对接</w:t>
      </w:r>
      <w:r>
        <w:rPr>
          <w:rFonts w:hint="eastAsia" w:ascii="仿宋" w:hAnsi="仿宋" w:eastAsia="仿宋" w:cs="仿宋"/>
          <w:sz w:val="32"/>
          <w:szCs w:val="32"/>
          <w:highlight w:val="none"/>
          <w:lang w:val="en-US" w:eastAsia="zh-CN"/>
        </w:rPr>
        <w:t>县消防救援大队</w:t>
      </w:r>
      <w:r>
        <w:rPr>
          <w:rFonts w:hint="default" w:ascii="仿宋" w:hAnsi="仿宋" w:eastAsia="仿宋" w:cs="仿宋"/>
          <w:sz w:val="32"/>
          <w:szCs w:val="32"/>
          <w:highlight w:val="none"/>
          <w:lang w:val="en-US" w:eastAsia="zh-CN"/>
        </w:rPr>
        <w:t>，督促</w:t>
      </w:r>
      <w:r>
        <w:rPr>
          <w:rFonts w:hint="eastAsia" w:ascii="仿宋" w:hAnsi="仿宋" w:eastAsia="仿宋" w:cs="仿宋"/>
          <w:sz w:val="32"/>
          <w:szCs w:val="32"/>
          <w:highlight w:val="none"/>
          <w:lang w:val="en-US" w:eastAsia="zh-CN"/>
        </w:rPr>
        <w:t>其</w:t>
      </w:r>
      <w:r>
        <w:rPr>
          <w:rFonts w:hint="default" w:ascii="仿宋" w:hAnsi="仿宋" w:eastAsia="仿宋" w:cs="仿宋"/>
          <w:sz w:val="32"/>
          <w:szCs w:val="32"/>
          <w:highlight w:val="none"/>
          <w:lang w:val="en-US" w:eastAsia="zh-CN"/>
        </w:rPr>
        <w:t>开展消防安全专项检查、安全知识宣传及科普引导等工作，切实增强行业从业人员和社会公众的消防安全防范意识。</w:t>
      </w:r>
    </w:p>
    <w:p w14:paraId="045D43E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完善配套保障措施，提升管理服务水平</w:t>
      </w:r>
    </w:p>
    <w:p w14:paraId="3646DC5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华文楷体" w:hAnsi="华文楷体" w:eastAsia="华文楷体" w:cs="华文楷体"/>
          <w:sz w:val="32"/>
          <w:szCs w:val="32"/>
          <w:lang w:val="en-US" w:eastAsia="zh-CN"/>
        </w:rPr>
      </w:pPr>
      <w:r>
        <w:rPr>
          <w:rFonts w:hint="eastAsia" w:ascii="华文楷体" w:hAnsi="华文楷体" w:eastAsia="华文楷体" w:cs="华文楷体"/>
          <w:sz w:val="32"/>
          <w:szCs w:val="32"/>
          <w:lang w:val="en-US" w:eastAsia="zh-CN"/>
        </w:rPr>
        <w:t>（一）加大政策资金支持方面</w:t>
      </w:r>
    </w:p>
    <w:p w14:paraId="5A7D310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截至目前，</w:t>
      </w:r>
      <w:r>
        <w:rPr>
          <w:rFonts w:hint="default" w:ascii="仿宋" w:hAnsi="仿宋" w:eastAsia="仿宋" w:cs="仿宋"/>
          <w:sz w:val="32"/>
          <w:szCs w:val="32"/>
          <w:highlight w:val="none"/>
          <w:lang w:val="en-US" w:eastAsia="zh-CN"/>
        </w:rPr>
        <w:t>我县先后两次落实充电基础设施财政补贴：2023年</w:t>
      </w:r>
      <w:r>
        <w:rPr>
          <w:rFonts w:hint="eastAsia" w:ascii="仿宋" w:hAnsi="仿宋" w:eastAsia="仿宋" w:cs="仿宋"/>
          <w:sz w:val="32"/>
          <w:szCs w:val="32"/>
          <w:highlight w:val="none"/>
          <w:lang w:val="en-US" w:eastAsia="zh-CN"/>
        </w:rPr>
        <w:t>，按照市局文件要求</w:t>
      </w:r>
      <w:r>
        <w:rPr>
          <w:rFonts w:hint="default" w:ascii="仿宋" w:hAnsi="仿宋" w:eastAsia="仿宋" w:cs="仿宋"/>
          <w:sz w:val="32"/>
          <w:szCs w:val="32"/>
          <w:highlight w:val="none"/>
          <w:lang w:val="en-US" w:eastAsia="zh-CN"/>
        </w:rPr>
        <w:t>对2016—2019年</w:t>
      </w:r>
      <w:r>
        <w:rPr>
          <w:rFonts w:hint="eastAsia" w:ascii="仿宋" w:hAnsi="仿宋" w:eastAsia="仿宋" w:cs="仿宋"/>
          <w:sz w:val="32"/>
          <w:szCs w:val="32"/>
          <w:highlight w:val="none"/>
          <w:lang w:val="en-US" w:eastAsia="zh-CN"/>
        </w:rPr>
        <w:t>符合相关规范标准已</w:t>
      </w:r>
      <w:r>
        <w:rPr>
          <w:rFonts w:hint="default" w:ascii="仿宋" w:hAnsi="仿宋" w:eastAsia="仿宋" w:cs="仿宋"/>
          <w:sz w:val="32"/>
          <w:szCs w:val="32"/>
          <w:highlight w:val="none"/>
          <w:lang w:val="en-US" w:eastAsia="zh-CN"/>
        </w:rPr>
        <w:t>建成运营的</w:t>
      </w:r>
      <w:r>
        <w:rPr>
          <w:rFonts w:hint="eastAsia" w:ascii="仿宋" w:hAnsi="仿宋" w:eastAsia="仿宋" w:cs="仿宋"/>
          <w:sz w:val="32"/>
          <w:szCs w:val="32"/>
          <w:highlight w:val="none"/>
          <w:lang w:val="en-US" w:eastAsia="zh-CN"/>
        </w:rPr>
        <w:t>社会</w:t>
      </w:r>
      <w:r>
        <w:rPr>
          <w:rFonts w:hint="default" w:ascii="仿宋" w:hAnsi="仿宋" w:eastAsia="仿宋" w:cs="仿宋"/>
          <w:sz w:val="32"/>
          <w:szCs w:val="32"/>
          <w:highlight w:val="none"/>
          <w:lang w:val="en-US" w:eastAsia="zh-CN"/>
        </w:rPr>
        <w:t>充电</w:t>
      </w:r>
      <w:r>
        <w:rPr>
          <w:rFonts w:hint="eastAsia" w:ascii="仿宋" w:hAnsi="仿宋" w:eastAsia="仿宋" w:cs="仿宋"/>
          <w:sz w:val="32"/>
          <w:szCs w:val="32"/>
          <w:highlight w:val="none"/>
          <w:lang w:val="en-US" w:eastAsia="zh-CN"/>
        </w:rPr>
        <w:t>设施进行奖补</w:t>
      </w:r>
      <w:r>
        <w:rPr>
          <w:rFonts w:hint="default" w:ascii="仿宋" w:hAnsi="仿宋" w:eastAsia="仿宋" w:cs="仿宋"/>
          <w:sz w:val="32"/>
          <w:szCs w:val="32"/>
          <w:highlight w:val="none"/>
          <w:lang w:val="en-US" w:eastAsia="zh-CN"/>
        </w:rPr>
        <w:t>；2025年</w:t>
      </w:r>
      <w:r>
        <w:rPr>
          <w:rFonts w:hint="eastAsia" w:ascii="仿宋" w:hAnsi="仿宋" w:eastAsia="仿宋" w:cs="仿宋"/>
          <w:sz w:val="32"/>
          <w:szCs w:val="32"/>
          <w:highlight w:val="none"/>
          <w:lang w:val="en-US" w:eastAsia="zh-CN"/>
        </w:rPr>
        <w:t>开展县</w:t>
      </w:r>
      <w:r>
        <w:rPr>
          <w:rFonts w:hint="default" w:ascii="仿宋" w:hAnsi="仿宋" w:eastAsia="仿宋" w:cs="仿宋"/>
          <w:sz w:val="32"/>
          <w:szCs w:val="32"/>
          <w:highlight w:val="none"/>
          <w:lang w:val="en-US" w:eastAsia="zh-CN"/>
        </w:rPr>
        <w:t>域充换电设施补短板</w:t>
      </w:r>
      <w:r>
        <w:rPr>
          <w:rFonts w:hint="eastAsia" w:ascii="仿宋" w:hAnsi="仿宋" w:eastAsia="仿宋" w:cs="仿宋"/>
          <w:sz w:val="32"/>
          <w:szCs w:val="32"/>
          <w:highlight w:val="none"/>
          <w:lang w:val="en-US" w:eastAsia="zh-CN"/>
        </w:rPr>
        <w:t>专项补贴</w:t>
      </w:r>
      <w:r>
        <w:rPr>
          <w:rFonts w:hint="default" w:ascii="仿宋" w:hAnsi="仿宋" w:eastAsia="仿宋" w:cs="仿宋"/>
          <w:sz w:val="32"/>
          <w:szCs w:val="32"/>
          <w:highlight w:val="none"/>
          <w:lang w:val="en-US" w:eastAsia="zh-CN"/>
        </w:rPr>
        <w:t>。今后，我</w:t>
      </w:r>
      <w:r>
        <w:rPr>
          <w:rFonts w:hint="eastAsia" w:ascii="仿宋" w:hAnsi="仿宋" w:eastAsia="仿宋" w:cs="仿宋"/>
          <w:sz w:val="32"/>
          <w:szCs w:val="32"/>
          <w:highlight w:val="none"/>
          <w:lang w:val="en-US" w:eastAsia="zh-CN"/>
        </w:rPr>
        <w:t>局</w:t>
      </w:r>
      <w:r>
        <w:rPr>
          <w:rFonts w:hint="default" w:ascii="仿宋" w:hAnsi="仿宋" w:eastAsia="仿宋" w:cs="仿宋"/>
          <w:sz w:val="32"/>
          <w:szCs w:val="32"/>
          <w:highlight w:val="none"/>
          <w:lang w:val="en-US" w:eastAsia="zh-CN"/>
        </w:rPr>
        <w:t xml:space="preserve">将主动加强与上级主管部门的沟通衔接，积极对接工信、财政等相关部门，持续跟踪、精准落实充电基础设施建设运营相关资金补贴政策。通过政策引导、资金支持，进一步鼓励和引导充电运营企业加大投入，推动设施提质升级、安全隐患整治和服务水平提升，不断完善辖区充电网络布局，为新能源汽车产业健康有序发展提供有力保障。 </w:t>
      </w:r>
    </w:p>
    <w:p w14:paraId="1CC3EE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华文楷体" w:hAnsi="华文楷体" w:eastAsia="华文楷体" w:cs="华文楷体"/>
          <w:sz w:val="32"/>
          <w:szCs w:val="32"/>
          <w:lang w:val="en-US" w:eastAsia="zh-CN"/>
        </w:rPr>
      </w:pPr>
      <w:r>
        <w:rPr>
          <w:rFonts w:hint="eastAsia" w:ascii="华文楷体" w:hAnsi="华文楷体" w:eastAsia="华文楷体" w:cs="华文楷体"/>
          <w:sz w:val="32"/>
          <w:szCs w:val="32"/>
          <w:lang w:val="en-US" w:eastAsia="zh-CN"/>
        </w:rPr>
        <w:t>（二）推广智慧平台建设及培育专用运维队伍方面</w:t>
      </w:r>
    </w:p>
    <w:p w14:paraId="1ACDA4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在省能源局搭建的</w:t>
      </w:r>
      <w:r>
        <w:rPr>
          <w:rFonts w:hint="eastAsia" w:ascii="方正仿宋_GBK" w:hAnsi="方正仿宋_GBK" w:eastAsia="方正仿宋_GBK" w:cs="方正仿宋_GBK"/>
          <w:sz w:val="32"/>
          <w:szCs w:val="32"/>
          <w:lang w:val="en-US" w:eastAsia="zh-CN"/>
        </w:rPr>
        <w:t>省级充（换）电基础设施监管服务平台</w:t>
      </w:r>
      <w:r>
        <w:rPr>
          <w:rFonts w:hint="eastAsia" w:ascii="仿宋" w:hAnsi="仿宋" w:eastAsia="仿宋" w:cs="仿宋"/>
          <w:sz w:val="32"/>
          <w:szCs w:val="32"/>
          <w:highlight w:val="none"/>
          <w:lang w:val="en-US" w:eastAsia="zh-CN"/>
        </w:rPr>
        <w:t>基础上，县属国有企业山西越霄交通运输投资有限公司建成我县充电桩监管服务平台，目前，已有20余家充电设施运营企业接入。接下来，山西越霄交通运输投资有限公司将持续优化完善平台功能，整合充电桩点位布局、运行状态、收费标准等数据信息，实现实时监测、故障预警、应急处置等全流程智能化监管，切实提升行业管理效能与服务水平。在培育专业运维队伍方面，我局不承担相关职能，相关工作建议咨询对应职能主管部门。</w:t>
      </w:r>
    </w:p>
    <w:p w14:paraId="60D098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感谢您对我们工作的关心、关注与支持。下一步，我们将继续立足本职、履职尽责，持续优化充电基础设施规划布局与规范管理，不断提升服务保障水平，全力推动我县充电基础设施规范有序、安全高效发展。</w:t>
      </w:r>
    </w:p>
    <w:p w14:paraId="766F4F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p>
    <w:p w14:paraId="485D6A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p>
    <w:p w14:paraId="44DE82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领导签字:</w:t>
      </w:r>
      <w:r>
        <w:rPr>
          <w:rFonts w:hint="eastAsia" w:ascii="仿宋" w:hAnsi="仿宋" w:eastAsia="仿宋" w:cs="仿宋"/>
          <w:sz w:val="32"/>
          <w:szCs w:val="32"/>
          <w:highlight w:val="none"/>
          <w:lang w:val="en-US" w:eastAsia="zh-CN"/>
        </w:rPr>
        <w:tab/>
      </w:r>
      <w:r>
        <w:rPr>
          <w:rFonts w:hint="eastAsia" w:ascii="仿宋" w:hAnsi="仿宋" w:eastAsia="仿宋" w:cs="仿宋"/>
          <w:sz w:val="32"/>
          <w:szCs w:val="32"/>
          <w:highlight w:val="none"/>
          <w:lang w:val="en-US" w:eastAsia="zh-CN"/>
        </w:rPr>
        <w:t xml:space="preserve">                   </w:t>
      </w:r>
    </w:p>
    <w:p w14:paraId="0E05DB3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p>
    <w:p w14:paraId="412EDF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承办人姓名:闫时杰</w:t>
      </w:r>
    </w:p>
    <w:p w14:paraId="2AD21A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联系电话:13935315199</w:t>
      </w:r>
    </w:p>
    <w:p w14:paraId="3690A1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120" w:firstLineChars="16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盂县能源局</w:t>
      </w:r>
    </w:p>
    <w:p w14:paraId="6D1A01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1400" w:firstLine="640" w:firstLineChars="200"/>
        <w:jc w:val="center"/>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2026年3月12日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CBEDCC-0B6B-4299-8657-39CCF74A06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4E801C6B-2F0B-42EC-B017-883205280C7B}"/>
  </w:font>
  <w:font w:name="方正仿宋_GBK">
    <w:panose1 w:val="02000000000000000000"/>
    <w:charset w:val="86"/>
    <w:family w:val="auto"/>
    <w:pitch w:val="default"/>
    <w:sig w:usb0="A00002BF" w:usb1="38CF7CFA" w:usb2="00082016" w:usb3="00000000" w:csb0="00040001" w:csb1="00000000"/>
    <w:embedRegular r:id="rId3" w:fontKey="{ACAEF2E8-4108-4B88-9500-CC188783FCAC}"/>
  </w:font>
  <w:font w:name="华文楷体">
    <w:panose1 w:val="02010600040101010101"/>
    <w:charset w:val="86"/>
    <w:family w:val="auto"/>
    <w:pitch w:val="default"/>
    <w:sig w:usb0="00000287" w:usb1="080F0000" w:usb2="00000000" w:usb3="00000000" w:csb0="0004009F" w:csb1="DFD70000"/>
    <w:embedRegular r:id="rId4" w:fontKey="{48DA8FA9-014F-4201-8201-DAB0D029C9BE}"/>
  </w:font>
  <w:font w:name="方正黑体_GBK">
    <w:panose1 w:val="02010600010101010101"/>
    <w:charset w:val="86"/>
    <w:family w:val="auto"/>
    <w:pitch w:val="default"/>
    <w:sig w:usb0="00000001" w:usb1="080E0000" w:usb2="00000000" w:usb3="00000000" w:csb0="00040000" w:csb1="00000000"/>
    <w:embedRegular r:id="rId5" w:fontKey="{8C162521-DC8E-4480-AD42-FC0EAA1F757C}"/>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61EB4"/>
    <w:multiLevelType w:val="singleLevel"/>
    <w:tmpl w:val="DFF61EB4"/>
    <w:lvl w:ilvl="0" w:tentative="0">
      <w:start w:val="1"/>
      <w:numFmt w:val="chineseCounting"/>
      <w:suff w:val="nothing"/>
      <w:lvlText w:val="（%1）"/>
      <w:lvlJc w:val="left"/>
      <w:pPr>
        <w:ind w:left="640" w:leftChars="0" w:firstLine="0" w:firstLineChars="0"/>
      </w:pPr>
      <w:rPr>
        <w:rFonts w:hint="eastAsia"/>
      </w:rPr>
    </w:lvl>
  </w:abstractNum>
  <w:abstractNum w:abstractNumId="1">
    <w:nsid w:val="DFFDF601"/>
    <w:multiLevelType w:val="singleLevel"/>
    <w:tmpl w:val="DFFDF601"/>
    <w:lvl w:ilvl="0" w:tentative="0">
      <w:start w:val="1"/>
      <w:numFmt w:val="chineseCounting"/>
      <w:suff w:val="nothing"/>
      <w:lvlText w:val="%1、"/>
      <w:lvlJc w:val="left"/>
      <w:rPr>
        <w:rFonts w:hint="eastAsia"/>
      </w:rPr>
    </w:lvl>
  </w:abstractNum>
  <w:abstractNum w:abstractNumId="2">
    <w:nsid w:val="FBFAECF9"/>
    <w:multiLevelType w:val="singleLevel"/>
    <w:tmpl w:val="FBFAECF9"/>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A407AE"/>
    <w:rsid w:val="02B8562E"/>
    <w:rsid w:val="02B8743D"/>
    <w:rsid w:val="04427077"/>
    <w:rsid w:val="06E03F5B"/>
    <w:rsid w:val="07B01934"/>
    <w:rsid w:val="08B532B2"/>
    <w:rsid w:val="09EB0ED1"/>
    <w:rsid w:val="0A314FEE"/>
    <w:rsid w:val="0B686480"/>
    <w:rsid w:val="0BB52450"/>
    <w:rsid w:val="0DEAD246"/>
    <w:rsid w:val="0EE55E99"/>
    <w:rsid w:val="0FF77E35"/>
    <w:rsid w:val="0FFD5D6B"/>
    <w:rsid w:val="10515F1F"/>
    <w:rsid w:val="10867DDC"/>
    <w:rsid w:val="13D36BF8"/>
    <w:rsid w:val="15CD7C38"/>
    <w:rsid w:val="15FD3098"/>
    <w:rsid w:val="180F0B8C"/>
    <w:rsid w:val="1A863081"/>
    <w:rsid w:val="1BF3FA0B"/>
    <w:rsid w:val="1C512254"/>
    <w:rsid w:val="1CBF3C6D"/>
    <w:rsid w:val="1D664EE2"/>
    <w:rsid w:val="1DEE9C34"/>
    <w:rsid w:val="1E7BE2AC"/>
    <w:rsid w:val="1EAA6110"/>
    <w:rsid w:val="1EB81C01"/>
    <w:rsid w:val="1EBA9670"/>
    <w:rsid w:val="1F311FFB"/>
    <w:rsid w:val="1FF72FC7"/>
    <w:rsid w:val="1FF77C15"/>
    <w:rsid w:val="1FFB8807"/>
    <w:rsid w:val="1FFFDEA3"/>
    <w:rsid w:val="2086693B"/>
    <w:rsid w:val="21CB297F"/>
    <w:rsid w:val="236271B7"/>
    <w:rsid w:val="24FF287C"/>
    <w:rsid w:val="25777D91"/>
    <w:rsid w:val="2794519A"/>
    <w:rsid w:val="29752839"/>
    <w:rsid w:val="2A7E387C"/>
    <w:rsid w:val="2AEA393F"/>
    <w:rsid w:val="2C7657D7"/>
    <w:rsid w:val="2D1C5D2D"/>
    <w:rsid w:val="2E0C1292"/>
    <w:rsid w:val="2E1459FB"/>
    <w:rsid w:val="2EDFB5B9"/>
    <w:rsid w:val="2EFD0CE6"/>
    <w:rsid w:val="2FB0EF36"/>
    <w:rsid w:val="2FF41FDE"/>
    <w:rsid w:val="2FF930D3"/>
    <w:rsid w:val="319F9DC4"/>
    <w:rsid w:val="33F77566"/>
    <w:rsid w:val="357EFEE8"/>
    <w:rsid w:val="364D1643"/>
    <w:rsid w:val="36551380"/>
    <w:rsid w:val="375FF4C1"/>
    <w:rsid w:val="376F3C65"/>
    <w:rsid w:val="37722262"/>
    <w:rsid w:val="37DEC615"/>
    <w:rsid w:val="37FB0C8E"/>
    <w:rsid w:val="380E5F7E"/>
    <w:rsid w:val="395F8A34"/>
    <w:rsid w:val="3A0F0224"/>
    <w:rsid w:val="3AFB3296"/>
    <w:rsid w:val="3B2E25C2"/>
    <w:rsid w:val="3BD3ED20"/>
    <w:rsid w:val="3BEF7DFD"/>
    <w:rsid w:val="3BFF8C3B"/>
    <w:rsid w:val="3CAA49B9"/>
    <w:rsid w:val="3DB114C5"/>
    <w:rsid w:val="3DBE99F6"/>
    <w:rsid w:val="3DD55216"/>
    <w:rsid w:val="3DDE20F0"/>
    <w:rsid w:val="3DFB5199"/>
    <w:rsid w:val="3E5AA2FF"/>
    <w:rsid w:val="3E6B775E"/>
    <w:rsid w:val="3E9CAEBC"/>
    <w:rsid w:val="3EA7D600"/>
    <w:rsid w:val="3EEB483F"/>
    <w:rsid w:val="3EF7CB0D"/>
    <w:rsid w:val="3EFD52FB"/>
    <w:rsid w:val="3F6DCB43"/>
    <w:rsid w:val="3F6F1721"/>
    <w:rsid w:val="3F8844F1"/>
    <w:rsid w:val="3F99FD37"/>
    <w:rsid w:val="3FB83725"/>
    <w:rsid w:val="3FEE1B49"/>
    <w:rsid w:val="3FEEB193"/>
    <w:rsid w:val="3FF758E8"/>
    <w:rsid w:val="3FFB8148"/>
    <w:rsid w:val="3FFF0171"/>
    <w:rsid w:val="3FFF4886"/>
    <w:rsid w:val="407A02DD"/>
    <w:rsid w:val="41281AE7"/>
    <w:rsid w:val="41E225DE"/>
    <w:rsid w:val="42C825DA"/>
    <w:rsid w:val="43D4331E"/>
    <w:rsid w:val="46DE4CCF"/>
    <w:rsid w:val="477FF008"/>
    <w:rsid w:val="47811F51"/>
    <w:rsid w:val="490D6193"/>
    <w:rsid w:val="4AFF743A"/>
    <w:rsid w:val="4BED74DF"/>
    <w:rsid w:val="4D736834"/>
    <w:rsid w:val="4E092EB4"/>
    <w:rsid w:val="4E173610"/>
    <w:rsid w:val="4F5B44AC"/>
    <w:rsid w:val="4F79B05D"/>
    <w:rsid w:val="4FFDDB43"/>
    <w:rsid w:val="50CD7B2B"/>
    <w:rsid w:val="511E3E76"/>
    <w:rsid w:val="524D7600"/>
    <w:rsid w:val="538232D9"/>
    <w:rsid w:val="53FE307A"/>
    <w:rsid w:val="55168755"/>
    <w:rsid w:val="55CC1183"/>
    <w:rsid w:val="56151419"/>
    <w:rsid w:val="56FFFE13"/>
    <w:rsid w:val="58F06F08"/>
    <w:rsid w:val="59379010"/>
    <w:rsid w:val="599A6BA0"/>
    <w:rsid w:val="59CF2123"/>
    <w:rsid w:val="5A322C80"/>
    <w:rsid w:val="5A57120A"/>
    <w:rsid w:val="5A757B96"/>
    <w:rsid w:val="5ADF06D4"/>
    <w:rsid w:val="5B96E978"/>
    <w:rsid w:val="5BDC3081"/>
    <w:rsid w:val="5BFFF0ED"/>
    <w:rsid w:val="5D7FF14F"/>
    <w:rsid w:val="5DEEF7E9"/>
    <w:rsid w:val="5DF50B4C"/>
    <w:rsid w:val="5F73AF51"/>
    <w:rsid w:val="5F776599"/>
    <w:rsid w:val="5FB93590"/>
    <w:rsid w:val="5FCF8BD6"/>
    <w:rsid w:val="5FD7DA8C"/>
    <w:rsid w:val="5FE709D1"/>
    <w:rsid w:val="5FF492FF"/>
    <w:rsid w:val="5FFDA6B9"/>
    <w:rsid w:val="5FFE8BF5"/>
    <w:rsid w:val="60BE98D6"/>
    <w:rsid w:val="60FEA865"/>
    <w:rsid w:val="614E0C9F"/>
    <w:rsid w:val="61BB6864"/>
    <w:rsid w:val="61BD14D2"/>
    <w:rsid w:val="63F72D0B"/>
    <w:rsid w:val="65A64446"/>
    <w:rsid w:val="65BFCCDF"/>
    <w:rsid w:val="66FEA600"/>
    <w:rsid w:val="66FF61A2"/>
    <w:rsid w:val="677F67C3"/>
    <w:rsid w:val="67FFCA03"/>
    <w:rsid w:val="68486CF8"/>
    <w:rsid w:val="68591702"/>
    <w:rsid w:val="68626D59"/>
    <w:rsid w:val="69800ACA"/>
    <w:rsid w:val="6A9E9796"/>
    <w:rsid w:val="6B2D401B"/>
    <w:rsid w:val="6B7EC1A2"/>
    <w:rsid w:val="6BDD5F42"/>
    <w:rsid w:val="6CE62740"/>
    <w:rsid w:val="6CF7B4FD"/>
    <w:rsid w:val="6CF928F2"/>
    <w:rsid w:val="6CFBA016"/>
    <w:rsid w:val="6D745E29"/>
    <w:rsid w:val="6D7D8DB1"/>
    <w:rsid w:val="6DBF38BA"/>
    <w:rsid w:val="6DFDC9F4"/>
    <w:rsid w:val="6E9654C2"/>
    <w:rsid w:val="6ECC8233"/>
    <w:rsid w:val="6EDF7916"/>
    <w:rsid w:val="6EFCFEA9"/>
    <w:rsid w:val="6EFF8B98"/>
    <w:rsid w:val="6F4E4E11"/>
    <w:rsid w:val="6FEDC8B7"/>
    <w:rsid w:val="6FFDD0F0"/>
    <w:rsid w:val="6FFFA0FA"/>
    <w:rsid w:val="72E0000C"/>
    <w:rsid w:val="72ECB4EB"/>
    <w:rsid w:val="735FE43A"/>
    <w:rsid w:val="73F78E44"/>
    <w:rsid w:val="74992DF6"/>
    <w:rsid w:val="74EB6D02"/>
    <w:rsid w:val="74FBC03A"/>
    <w:rsid w:val="759F4AB9"/>
    <w:rsid w:val="75DD20DB"/>
    <w:rsid w:val="75EBF656"/>
    <w:rsid w:val="75FF6999"/>
    <w:rsid w:val="75FFFEE4"/>
    <w:rsid w:val="765C6A40"/>
    <w:rsid w:val="768581EE"/>
    <w:rsid w:val="7695AC3D"/>
    <w:rsid w:val="775F08F1"/>
    <w:rsid w:val="77A47413"/>
    <w:rsid w:val="77AF8F10"/>
    <w:rsid w:val="77B39E35"/>
    <w:rsid w:val="77C62551"/>
    <w:rsid w:val="77EFD4B2"/>
    <w:rsid w:val="77F7698F"/>
    <w:rsid w:val="77FF912B"/>
    <w:rsid w:val="77FFC4CA"/>
    <w:rsid w:val="78737410"/>
    <w:rsid w:val="789FEABC"/>
    <w:rsid w:val="795B024A"/>
    <w:rsid w:val="79668B47"/>
    <w:rsid w:val="797ED0B2"/>
    <w:rsid w:val="797FF75B"/>
    <w:rsid w:val="79A407AE"/>
    <w:rsid w:val="79FF2129"/>
    <w:rsid w:val="7A37DD57"/>
    <w:rsid w:val="7A3D8218"/>
    <w:rsid w:val="7ADCADBF"/>
    <w:rsid w:val="7B40684C"/>
    <w:rsid w:val="7B503B39"/>
    <w:rsid w:val="7B77E19B"/>
    <w:rsid w:val="7B7D5086"/>
    <w:rsid w:val="7BC7BF45"/>
    <w:rsid w:val="7BDF67EC"/>
    <w:rsid w:val="7BEEDEB9"/>
    <w:rsid w:val="7BEFE1F9"/>
    <w:rsid w:val="7C7E93F0"/>
    <w:rsid w:val="7CEEFE63"/>
    <w:rsid w:val="7DD4C40F"/>
    <w:rsid w:val="7E8F4D8B"/>
    <w:rsid w:val="7EAE4F3F"/>
    <w:rsid w:val="7ED71611"/>
    <w:rsid w:val="7EE11D7E"/>
    <w:rsid w:val="7EF74D60"/>
    <w:rsid w:val="7EFFB01A"/>
    <w:rsid w:val="7F4F276B"/>
    <w:rsid w:val="7F763D7E"/>
    <w:rsid w:val="7F7A6B34"/>
    <w:rsid w:val="7FAFB0F6"/>
    <w:rsid w:val="7FAFEBE7"/>
    <w:rsid w:val="7FBC4A9C"/>
    <w:rsid w:val="7FBFF42A"/>
    <w:rsid w:val="7FDF491E"/>
    <w:rsid w:val="7FDFDFCE"/>
    <w:rsid w:val="7FE3A8FF"/>
    <w:rsid w:val="7FF1BA7E"/>
    <w:rsid w:val="7FF37985"/>
    <w:rsid w:val="7FF7152A"/>
    <w:rsid w:val="7FFBC0F0"/>
    <w:rsid w:val="7FFFA5B2"/>
    <w:rsid w:val="83EFC025"/>
    <w:rsid w:val="879C9666"/>
    <w:rsid w:val="8F9E7554"/>
    <w:rsid w:val="8FCFEB34"/>
    <w:rsid w:val="95F980B6"/>
    <w:rsid w:val="9FFDFCB1"/>
    <w:rsid w:val="A46B133F"/>
    <w:rsid w:val="A6FBD9A1"/>
    <w:rsid w:val="ABB6F198"/>
    <w:rsid w:val="ADFD903B"/>
    <w:rsid w:val="AF75BB29"/>
    <w:rsid w:val="AFFFFEFF"/>
    <w:rsid w:val="B58FC166"/>
    <w:rsid w:val="B5FE7682"/>
    <w:rsid w:val="B7F31AC9"/>
    <w:rsid w:val="B9FBD0FA"/>
    <w:rsid w:val="BAB51B5F"/>
    <w:rsid w:val="BAEF14B3"/>
    <w:rsid w:val="BB5B8345"/>
    <w:rsid w:val="BBEB6346"/>
    <w:rsid w:val="BBFF5424"/>
    <w:rsid w:val="BCBB42F5"/>
    <w:rsid w:val="BDB56118"/>
    <w:rsid w:val="BDEDA52C"/>
    <w:rsid w:val="BEB3004D"/>
    <w:rsid w:val="BED33B5B"/>
    <w:rsid w:val="BEF5788D"/>
    <w:rsid w:val="BEFFF52D"/>
    <w:rsid w:val="BFAE1E2A"/>
    <w:rsid w:val="BFDD4047"/>
    <w:rsid w:val="BFEFD259"/>
    <w:rsid w:val="BFFB157F"/>
    <w:rsid w:val="BFFF541E"/>
    <w:rsid w:val="C4FD1128"/>
    <w:rsid w:val="C62DFE3B"/>
    <w:rsid w:val="C7FB5921"/>
    <w:rsid w:val="CBAF9D31"/>
    <w:rsid w:val="CDDFC284"/>
    <w:rsid w:val="CFBF9F4C"/>
    <w:rsid w:val="CFD5FD50"/>
    <w:rsid w:val="CFDA7B5B"/>
    <w:rsid w:val="D2AFE047"/>
    <w:rsid w:val="D31E59CF"/>
    <w:rsid w:val="D37BEBCA"/>
    <w:rsid w:val="D7AFF3E9"/>
    <w:rsid w:val="D7F956E5"/>
    <w:rsid w:val="D9FF09E4"/>
    <w:rsid w:val="DAF52553"/>
    <w:rsid w:val="DBBED0D2"/>
    <w:rsid w:val="DBFDE577"/>
    <w:rsid w:val="DBFF1918"/>
    <w:rsid w:val="DCED4725"/>
    <w:rsid w:val="DDA2F5D1"/>
    <w:rsid w:val="DDF2F3DF"/>
    <w:rsid w:val="DDFF08B5"/>
    <w:rsid w:val="DE9E92DE"/>
    <w:rsid w:val="DEB7D81F"/>
    <w:rsid w:val="DEF71C16"/>
    <w:rsid w:val="DF77A54B"/>
    <w:rsid w:val="DF7DF010"/>
    <w:rsid w:val="DF9E6A64"/>
    <w:rsid w:val="DFF5C6DF"/>
    <w:rsid w:val="DFFABDA0"/>
    <w:rsid w:val="DFFECBDB"/>
    <w:rsid w:val="DFFF51A7"/>
    <w:rsid w:val="E3371CAA"/>
    <w:rsid w:val="E6E63B7E"/>
    <w:rsid w:val="E73EEA11"/>
    <w:rsid w:val="E7DD7751"/>
    <w:rsid w:val="E7FD30CB"/>
    <w:rsid w:val="E96B96B5"/>
    <w:rsid w:val="E9F3DDB2"/>
    <w:rsid w:val="EAFF1E56"/>
    <w:rsid w:val="EBCF2530"/>
    <w:rsid w:val="EBDB72AA"/>
    <w:rsid w:val="EBDFCFA3"/>
    <w:rsid w:val="ED57D838"/>
    <w:rsid w:val="EE3BEE00"/>
    <w:rsid w:val="EE3F941A"/>
    <w:rsid w:val="EE759D0C"/>
    <w:rsid w:val="EE7FFAE5"/>
    <w:rsid w:val="EF6F7A72"/>
    <w:rsid w:val="EF7B562E"/>
    <w:rsid w:val="EFA8FA74"/>
    <w:rsid w:val="EFAAF67E"/>
    <w:rsid w:val="EFBD5ABE"/>
    <w:rsid w:val="EFF3061A"/>
    <w:rsid w:val="EFF68740"/>
    <w:rsid w:val="EFF7043F"/>
    <w:rsid w:val="EFFA5A96"/>
    <w:rsid w:val="EFFFA646"/>
    <w:rsid w:val="F2371B80"/>
    <w:rsid w:val="F3FF9053"/>
    <w:rsid w:val="F3FFEF66"/>
    <w:rsid w:val="F53C6886"/>
    <w:rsid w:val="F57AA8D8"/>
    <w:rsid w:val="F6EC82EA"/>
    <w:rsid w:val="F6F76BDE"/>
    <w:rsid w:val="F6FF2048"/>
    <w:rsid w:val="F6FFCB85"/>
    <w:rsid w:val="F777ED53"/>
    <w:rsid w:val="F77F9876"/>
    <w:rsid w:val="F79E3AE4"/>
    <w:rsid w:val="F7AFFD20"/>
    <w:rsid w:val="F7EB74AA"/>
    <w:rsid w:val="F7ED5FD4"/>
    <w:rsid w:val="F7FA3D30"/>
    <w:rsid w:val="F7FF4573"/>
    <w:rsid w:val="F7FFEC7B"/>
    <w:rsid w:val="F8B23DF5"/>
    <w:rsid w:val="F9C79541"/>
    <w:rsid w:val="F9ECF828"/>
    <w:rsid w:val="FAFAE623"/>
    <w:rsid w:val="FB3718A9"/>
    <w:rsid w:val="FB771392"/>
    <w:rsid w:val="FB7D049D"/>
    <w:rsid w:val="FB7F3431"/>
    <w:rsid w:val="FBA6E100"/>
    <w:rsid w:val="FBDFF23B"/>
    <w:rsid w:val="FBF38653"/>
    <w:rsid w:val="FBFA192D"/>
    <w:rsid w:val="FBFBDC83"/>
    <w:rsid w:val="FBFF390E"/>
    <w:rsid w:val="FCFFC1BD"/>
    <w:rsid w:val="FD2F1A5A"/>
    <w:rsid w:val="FD643E6F"/>
    <w:rsid w:val="FD8D8CFD"/>
    <w:rsid w:val="FDAB3D7D"/>
    <w:rsid w:val="FDBFC512"/>
    <w:rsid w:val="FDC3B32F"/>
    <w:rsid w:val="FDE5C509"/>
    <w:rsid w:val="FDECB5A0"/>
    <w:rsid w:val="FDEDFB1D"/>
    <w:rsid w:val="FDF88999"/>
    <w:rsid w:val="FDFD3DF6"/>
    <w:rsid w:val="FDFE164B"/>
    <w:rsid w:val="FE5A46C1"/>
    <w:rsid w:val="FEAF3721"/>
    <w:rsid w:val="FEB81B2E"/>
    <w:rsid w:val="FEEFD075"/>
    <w:rsid w:val="FEFF9405"/>
    <w:rsid w:val="FEFF9948"/>
    <w:rsid w:val="FEFFEB2D"/>
    <w:rsid w:val="FF6EA01E"/>
    <w:rsid w:val="FFAF6237"/>
    <w:rsid w:val="FFB3C649"/>
    <w:rsid w:val="FFB73E05"/>
    <w:rsid w:val="FFB947BC"/>
    <w:rsid w:val="FFBF5592"/>
    <w:rsid w:val="FFBFF9E1"/>
    <w:rsid w:val="FFCD2767"/>
    <w:rsid w:val="FFDD8895"/>
    <w:rsid w:val="FFDEC752"/>
    <w:rsid w:val="FFDECB8C"/>
    <w:rsid w:val="FFEC557A"/>
    <w:rsid w:val="FFEF2A31"/>
    <w:rsid w:val="FFFB5B7B"/>
    <w:rsid w:val="FFFE76A1"/>
    <w:rsid w:val="FFFEF36C"/>
    <w:rsid w:val="FFFF3CA7"/>
    <w:rsid w:val="FFFF9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3098</Words>
  <Characters>3194</Characters>
  <Lines>0</Lines>
  <Paragraphs>0</Paragraphs>
  <TotalTime>2</TotalTime>
  <ScaleCrop>false</ScaleCrop>
  <LinksUpToDate>false</LinksUpToDate>
  <CharactersWithSpaces>3273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2026-02-18T09:20:00Z</dcterms:created>
  <dc:creator>阿杜</dc:creator>
  <cp:lastModifiedBy>哈哈哈哈哈</cp:lastModifiedBy>
  <dcterms:modified xsi:type="dcterms:W3CDTF">2026-07-22T02:08:56Z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8EF17CC9DF9241C4B46025A8B8271BCF_13</vt:lpwstr>
  </property>
  <property fmtid="{D5CDD505-2E9C-101B-9397-08002B2CF9AE}" pid="4" name="KSOTemplateDocerSaveRecord">
    <vt:lpwstr>eyJoZGlkIjoiMjk4N2FmYjkwMTIyYjM1ZmFhOWU3YWJhYzNlMzAzOGMiLCJ1c2VySWQiOiI1Mzg4Mzc1NDUifQ==</vt:lpwstr>
  </property>
</Properties>
</file>