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98611"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B）</w:t>
      </w:r>
    </w:p>
    <w:p w14:paraId="5EE38DD2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对政协盂县第十届委员六次会议第12号提案的答复</w:t>
      </w:r>
    </w:p>
    <w:p w14:paraId="175C7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</w:p>
    <w:p w14:paraId="79D9E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武晓芸</w:t>
      </w:r>
      <w:r>
        <w:rPr>
          <w:rFonts w:hint="eastAsia" w:ascii="仿宋" w:hAnsi="仿宋" w:eastAsia="仿宋" w:cs="仿宋"/>
          <w:sz w:val="32"/>
          <w:szCs w:val="32"/>
        </w:rPr>
        <w:t>委员：</w:t>
      </w:r>
    </w:p>
    <w:p w14:paraId="21259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进一步优化环境，推动盂县民营企业做强做优做大</w:t>
      </w:r>
      <w:r>
        <w:rPr>
          <w:rFonts w:hint="eastAsia" w:ascii="仿宋" w:hAnsi="仿宋" w:eastAsia="仿宋" w:cs="仿宋"/>
          <w:sz w:val="32"/>
          <w:szCs w:val="32"/>
        </w:rPr>
        <w:t>的建议》的提案收悉，现答复如下：</w:t>
      </w:r>
    </w:p>
    <w:p w14:paraId="2C67C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感谢您对我县营商环境建设工作的关心与支持，提案中所反映的问题，正是当前我县营商环境工作的重点方向，所提出的各项建议，我们也已在相关工作中积极推进落实：</w:t>
      </w:r>
    </w:p>
    <w:p w14:paraId="5DA02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一、聚焦政策集成与精准落地，持续强化制度保障</w:t>
      </w:r>
    </w:p>
    <w:p w14:paraId="575DE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着力构建多层次、立体化的惠企政策体系，推动各项措施直达快享。县发改局牵头制定《盂县推进服务业提质增效2025年行动计划》及配套任务清单，县工商联推出《盂县服务民营企业直通车制度实施方案》，县法院印发《关于进一步加强沟通联动服务保障民营企业高质量发展的实施办法》，从产业引导、服务对接、司法保障等多维度提供支撑。同步优化涉企政策服务平台，依托省级政策云平台归集发布惠企政策，已完成15条政策清单梳理与发布。2025年已为28家单位配置平台账号，并出台首批涉企政策奖补清单。在资金兑现方面，县财政局为9家中小企业拨付各级专项奖补资金434万元；县市场局为西小坪耐火材料有限公司等企业发放“个转企”及专项奖补资金共计9.2万元。县审批局常态化运营“优化营商环境会客厅”，累计举办10期政银企茶叙活动，强化政策解读、资源对接与诉求响应，助力企业全生命周期发展。</w:t>
      </w:r>
    </w:p>
    <w:p w14:paraId="1316B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二、深化金融对接与产品创新，着力破解融资瓶颈</w:t>
      </w:r>
    </w:p>
    <w:p w14:paraId="6D148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持续拓宽企业融资渠道，提升金融服务实体经济效能。县金融办推动金融机构创新“政采贷”“银税贷”等信用类产品，常态化开展政银企对接。2025年已收集74家企业融资需求共计58.2亿元。同时，县财政局向方舟信保盂县分公司注资4000万元，联合3家银行开展融资担保服务，2025年累计担保28笔，在保余额8831万元，有效缓解了中小企业融资难、融资贵问题。</w:t>
      </w:r>
    </w:p>
    <w:p w14:paraId="0BAC3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三、实施人才引育与服务提升，夯实企业发展根基</w:t>
      </w:r>
    </w:p>
    <w:p w14:paraId="345D8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坚持人才引领发展，持续优化人力资源生态。县人社局2025年组织各类招聘活动17场，提供岗位3644个，达成就业意向206人；深化政校企合作，为15家企业开通职工培训权限，完成企业职工培训1900人。创业带动就业成效明显，现有市、县级创业园区及孵化基地6个，入驻企业300余户，带动就业2000余人。在公共服务配套方面，累计建设公租房、经适房2600余套，入住率超过95%；完成5所寄宿制学校改造，保障随迁子女就学924人，发放学生资助522.9万元；县人民医院、中医医院实现检验检查结果互认，累计节约群众医疗费用60万余元。</w:t>
      </w:r>
    </w:p>
    <w:p w14:paraId="0CF6FC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四、推进“高效办成一件事”改革与法治护航，持续优化公平竞争环境</w:t>
      </w:r>
    </w:p>
    <w:p w14:paraId="38122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以“高效办成一件事”改革为抓手，大力提升政务服务集成化、便捷化水平。严格落实省级安排部署，目前山西省政务服务平台上线51个“一件事”中，可在县级办理的达34项。在政务服务大厅设立专窗，配备专人提供咨询引导，开展线上线下联合宣传。2025年，全县累计办理“一件事”67572件，覆盖企业经营和民生服务关键领域。积极推进“一网通办、一窗受理”。2025年完成167项事项与省级平台对接，深化“综合窗口”“证照联办”改革，推行电子证照归集与应用，已为256家企业免费申领电子印章1006个。</w:t>
      </w:r>
    </w:p>
    <w:p w14:paraId="58EEA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，我县持续强化法治保障，营造稳定公平可预期的发展环境。规范涉企执法行为，依托“企静通”小程序实行“扫码入企”，推动“双随机、一公开”监管全覆盖。2025年开展部门联合检查28次，出动执法人员616人次，检查市场主体154户。多部门协同提供优质法律服务：县检察院开展知识产权保护、防范非法集资等专项宣传；县审批局与司法局合作推出“法律托管”服务，已与26家民营企业签订协议；县司法局深入企业80余次，举办法治讲座25场，成功化解纠纷60起，解决实际难题65个，精准疏通营商环境中的法治堵点，为企业高质量发展保驾护航。</w:t>
      </w:r>
    </w:p>
    <w:p w14:paraId="7DF54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五、激发内生动力与创新潜能，助力企业提质升级</w:t>
      </w:r>
    </w:p>
    <w:p w14:paraId="727BB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积极引导企业加强技术创新与品牌建设，培育发展新动能。建立民营科技领军企业及新锐企业培育库，入库企业5家，并对重点企业进行跟踪辅导。通过举办光子芯片等产业项目对接活动，推动企业把握科技前沿，因地制宜发展新质生产力，助力产业技术升级与成果转化。</w:t>
      </w:r>
    </w:p>
    <w:p w14:paraId="20981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体来看，我县在政策供给、融资支持、人才服务、政务法治及企业培育等方面取得了一定成效。但我们也清醒地认识到，对照提案要求与先进地区标准，我县在产业转型升级、高端人才配套、融资机制完善、政策动态优化等方面仍需持续发力。下一步，我们将坚持问题导向，积极吸纳您的建议，以更高标准、更实举措推动营商环境整体提升，为企业高质量发展提供更加有力的支撑。</w:t>
      </w:r>
    </w:p>
    <w:p w14:paraId="26560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再次感谢您对我县经济社会发展的关注与贡献！</w:t>
      </w:r>
    </w:p>
    <w:p w14:paraId="6D36A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BCF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D1503C4">
      <w:pPr>
        <w:keepNext w:val="0"/>
        <w:keepLines w:val="0"/>
        <w:pageBreakBefore w:val="0"/>
        <w:widowControl w:val="0"/>
        <w:tabs>
          <w:tab w:val="left" w:pos="73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630" w:rightChars="300" w:firstLine="640" w:firstLineChars="200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盂县行政审批服务管理局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C58B5"/>
    <w:rsid w:val="05C764E9"/>
    <w:rsid w:val="071650BF"/>
    <w:rsid w:val="0978567E"/>
    <w:rsid w:val="0EFF4F1E"/>
    <w:rsid w:val="10AF0D0A"/>
    <w:rsid w:val="114312D0"/>
    <w:rsid w:val="18331072"/>
    <w:rsid w:val="18E81D62"/>
    <w:rsid w:val="200224E2"/>
    <w:rsid w:val="22EF792B"/>
    <w:rsid w:val="25B97D8C"/>
    <w:rsid w:val="27074BAA"/>
    <w:rsid w:val="293026C8"/>
    <w:rsid w:val="2DE2481A"/>
    <w:rsid w:val="31E95E3F"/>
    <w:rsid w:val="36FD417B"/>
    <w:rsid w:val="384479F0"/>
    <w:rsid w:val="44CA0F6F"/>
    <w:rsid w:val="4CEB3F2E"/>
    <w:rsid w:val="5B2316C0"/>
    <w:rsid w:val="5B7A7E95"/>
    <w:rsid w:val="5DF42070"/>
    <w:rsid w:val="61942828"/>
    <w:rsid w:val="64BD0A9D"/>
    <w:rsid w:val="6A255FE1"/>
    <w:rsid w:val="6B565AEE"/>
    <w:rsid w:val="7C57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0"/>
    <w:pPr>
      <w:spacing w:after="120" w:afterLines="0"/>
      <w:ind w:left="420" w:leftChars="200"/>
    </w:p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aae38fe5-9333-4d48-a4a3-8bc1e9cb2f36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51598611</paraID>
      <start>0</start>
      <end>1</end>
      <status>unmodified</status>
      <modifiedWord/>
      <trackRevisions>false</trackRevisions>
    </reviewItem>
    <reviewItem>
      <errorID>cb422998-87ce-41a9-af57-511a085e432c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51598611</paraID>
      <start>2</start>
      <end>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6b1b9d0-9ff4-40b9-bbdd-fc75937f60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1823</Words>
  <Characters>1916</Characters>
  <Lines>0</Lines>
  <Paragraphs>0</Paragraphs>
  <TotalTime>2</TotalTime>
  <ScaleCrop>false</ScaleCrop>
  <LinksUpToDate>false</LinksUpToDate>
  <CharactersWithSpaces>1916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2025-06-17T07:32:00Z</dcterms:created>
  <dc:creator>admin</dc:creator>
  <cp:lastModifiedBy>哈哈哈哈哈</cp:lastModifiedBy>
  <dcterms:modified xsi:type="dcterms:W3CDTF">2026-07-28T02:25:31Z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96BAE37ED8154902AD26646C4055EF75_12</vt:lpwstr>
  </property>
</Properties>
</file>