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21333">
      <w:pPr>
        <w:keepNext w:val="0"/>
        <w:keepLines w:val="0"/>
        <w:pageBreakBefore w:val="0"/>
        <w:widowControl w:val="0"/>
        <w:kinsoku/>
        <w:wordWrap/>
        <w:overflowPunct/>
        <w:topLinePunct w:val="0"/>
        <w:autoSpaceDE/>
        <w:autoSpaceDN/>
        <w:bidi w:val="0"/>
        <w:adjustRightInd/>
        <w:snapToGrid/>
        <w:spacing w:line="560" w:lineRule="exact"/>
        <w:ind w:left="0" w:leftChars="0" w:firstLine="7680" w:firstLineChars="2400"/>
        <w:textAlignment w:val="auto"/>
        <w:rPr>
          <w:rFonts w:hint="eastAsia" w:ascii="仿宋_GB2312" w:hAnsi="仿宋_GB2312" w:eastAsia="仿宋_GB2312" w:cs="仿宋_GB2312"/>
          <w:sz w:val="32"/>
          <w:lang w:eastAsia="zh-CN"/>
        </w:rPr>
      </w:pPr>
      <w:r>
        <w:rPr>
          <w:rFonts w:hint="eastAsia" w:cs="仿宋_GB2312"/>
          <w:sz w:val="32"/>
          <w:lang w:eastAsia="zh-CN"/>
        </w:rPr>
        <w:t>（</w:t>
      </w:r>
      <w:r>
        <w:rPr>
          <w:rFonts w:hint="eastAsia" w:cs="仿宋_GB2312"/>
          <w:sz w:val="32"/>
          <w:lang w:val="en-US" w:eastAsia="zh-CN"/>
        </w:rPr>
        <w:t>B</w:t>
      </w:r>
      <w:r>
        <w:rPr>
          <w:rFonts w:hint="eastAsia" w:cs="仿宋_GB2312"/>
          <w:sz w:val="32"/>
          <w:lang w:eastAsia="zh-CN"/>
        </w:rPr>
        <w:t>）</w:t>
      </w:r>
    </w:p>
    <w:p w14:paraId="2CD86F35">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rPr>
      </w:pPr>
    </w:p>
    <w:p w14:paraId="6059FED2">
      <w:pPr>
        <w:spacing w:line="240" w:lineRule="auto"/>
        <w:ind w:firstLine="0" w:firstLineChars="0"/>
        <w:jc w:val="center"/>
        <w:rPr>
          <w:rFonts w:hint="eastAsia" w:ascii="仿宋" w:hAnsi="仿宋" w:eastAsia="仿宋" w:cs="仿宋"/>
          <w:b/>
          <w:bCs/>
          <w:i w:val="0"/>
          <w:iCs w:val="0"/>
          <w:sz w:val="36"/>
          <w:szCs w:val="36"/>
          <w:u w:val="none"/>
          <w:lang w:val="en-US" w:eastAsia="zh-CN"/>
        </w:rPr>
      </w:pPr>
      <w:bookmarkStart w:id="0" w:name="_GoBack"/>
      <w:r>
        <w:rPr>
          <w:rFonts w:hint="eastAsia" w:ascii="仿宋" w:hAnsi="仿宋" w:eastAsia="仿宋" w:cs="仿宋"/>
          <w:b/>
          <w:bCs/>
          <w:i w:val="0"/>
          <w:iCs w:val="0"/>
          <w:sz w:val="36"/>
          <w:szCs w:val="36"/>
          <w:u w:val="none"/>
          <w:lang w:val="en-US" w:eastAsia="zh-CN"/>
        </w:rPr>
        <w:t>对盂县第十七届人大六次会议第9号建议的答复</w:t>
      </w:r>
    </w:p>
    <w:bookmarkEnd w:id="0"/>
    <w:p w14:paraId="27CB2B39">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p>
    <w:p w14:paraId="35A8797B">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rPr>
      </w:pPr>
    </w:p>
    <w:p w14:paraId="70A70AF4">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sz w:val="32"/>
        </w:rPr>
      </w:pPr>
      <w:r>
        <w:rPr>
          <w:rFonts w:hint="eastAsia" w:ascii="Arial" w:hAnsi="Arial" w:cs="Arial"/>
          <w:color w:val="333333"/>
          <w:sz w:val="32"/>
          <w:u w:val="none"/>
          <w:lang w:val="en-US" w:eastAsia="zh-CN"/>
        </w:rPr>
        <w:t>刘千里</w:t>
      </w:r>
      <w:r>
        <w:rPr>
          <w:rFonts w:hint="eastAsia" w:ascii="仿宋_GB2312" w:hAnsi="仿宋_GB2312" w:eastAsia="仿宋_GB2312" w:cs="仿宋_GB2312"/>
          <w:sz w:val="32"/>
          <w:u w:val="none"/>
        </w:rPr>
        <w:t>代表</w:t>
      </w:r>
      <w:r>
        <w:rPr>
          <w:rFonts w:hint="eastAsia" w:ascii="仿宋_GB2312" w:hAnsi="仿宋_GB2312" w:eastAsia="仿宋_GB2312" w:cs="仿宋_GB2312"/>
          <w:sz w:val="32"/>
        </w:rPr>
        <w:t>：</w:t>
      </w:r>
    </w:p>
    <w:p w14:paraId="21FA1F3B">
      <w:pPr>
        <w:keepNext w:val="0"/>
        <w:keepLines w:val="0"/>
        <w:pageBreakBefore w:val="0"/>
        <w:widowControl w:val="0"/>
        <w:kinsoku/>
        <w:wordWrap/>
        <w:overflowPunct/>
        <w:topLinePunct w:val="0"/>
        <w:autoSpaceDE/>
        <w:autoSpaceDN/>
        <w:bidi w:val="0"/>
        <w:adjustRightInd/>
        <w:snapToGrid/>
        <w:spacing w:line="560" w:lineRule="exact"/>
        <w:ind w:firstLine="645" w:firstLineChars="0"/>
        <w:textAlignment w:val="auto"/>
        <w:rPr>
          <w:rFonts w:hint="eastAsia"/>
          <w:sz w:val="32"/>
          <w:lang w:val="en-US" w:eastAsia="zh-CN"/>
        </w:rPr>
      </w:pPr>
      <w:r>
        <w:rPr>
          <w:rFonts w:hint="eastAsia" w:ascii="仿宋_GB2312" w:hAnsi="仿宋_GB2312" w:eastAsia="仿宋_GB2312"/>
          <w:sz w:val="32"/>
        </w:rPr>
        <w:t>您提出的关于《</w:t>
      </w:r>
      <w:r>
        <w:rPr>
          <w:rFonts w:hint="eastAsia"/>
          <w:sz w:val="32"/>
          <w:lang w:val="en-US" w:eastAsia="zh-CN"/>
        </w:rPr>
        <w:t>关于上社镇建设生态农业开展市区居民“租种一块地”活动建议</w:t>
      </w:r>
      <w:r>
        <w:rPr>
          <w:rFonts w:hint="eastAsia" w:ascii="仿宋_GB2312" w:hAnsi="仿宋_GB2312" w:eastAsia="仿宋_GB2312"/>
          <w:sz w:val="32"/>
        </w:rPr>
        <w:t>》的提案收悉，现答复如</w:t>
      </w:r>
      <w:r>
        <w:rPr>
          <w:rFonts w:hint="eastAsia"/>
          <w:sz w:val="32"/>
          <w:lang w:eastAsia="zh-CN"/>
        </w:rPr>
        <w:t>下：</w:t>
      </w:r>
      <w:r>
        <w:rPr>
          <w:rFonts w:hint="eastAsia"/>
          <w:sz w:val="32"/>
          <w:lang w:val="en-US" w:eastAsia="zh-CN"/>
        </w:rPr>
        <w:t>衷心感谢您对上社镇生态农业发展和乡村振兴工作的认可、支持与建言献策，您的建议贴合中国式现代化发展过程中人民群众对高质量农产品的广泛需求和建设美丽中国的美好期盼，为我镇农业产业发展提供了宝贵思路。</w:t>
      </w:r>
    </w:p>
    <w:p w14:paraId="38685907">
      <w:pPr>
        <w:keepNext w:val="0"/>
        <w:keepLines w:val="0"/>
        <w:pageBreakBefore w:val="0"/>
        <w:widowControl w:val="0"/>
        <w:kinsoku/>
        <w:wordWrap/>
        <w:overflowPunct/>
        <w:topLinePunct w:val="0"/>
        <w:autoSpaceDE/>
        <w:autoSpaceDN/>
        <w:bidi w:val="0"/>
        <w:adjustRightInd/>
        <w:snapToGrid/>
        <w:spacing w:line="560" w:lineRule="exact"/>
        <w:ind w:firstLine="645" w:firstLineChars="0"/>
        <w:textAlignment w:val="auto"/>
        <w:rPr>
          <w:rFonts w:hint="default"/>
          <w:sz w:val="32"/>
          <w:lang w:val="en-US" w:eastAsia="zh-CN"/>
        </w:rPr>
      </w:pPr>
      <w:r>
        <w:rPr>
          <w:rFonts w:hint="eastAsia"/>
          <w:sz w:val="32"/>
          <w:lang w:val="en-US" w:eastAsia="zh-CN"/>
        </w:rPr>
        <w:t>经充分调研论证，一是</w:t>
      </w:r>
      <w:r>
        <w:rPr>
          <w:rFonts w:hint="eastAsia" w:cs="Times New Roman"/>
          <w:sz w:val="32"/>
          <w:lang w:val="en-US" w:eastAsia="zh-CN"/>
        </w:rPr>
        <w:t>上社镇生态农业基础设施仍在完善中，土地规划、规模化管理、配套服务等方面尚未达到开展此类活动的条件，同时土地管理流转相关手续不完善、流转机制不够健全，难以规范保障租地双方合法权益，若贸然推进，既无法保障活动效果和居民体验，也可能引发土地相关纠纷。有鉴于此，为推进城乡要素融合，促进乡村振兴，上社镇已在部分区域试行试点，以期逐步推行。</w:t>
      </w:r>
    </w:p>
    <w:p w14:paraId="156F6F6D">
      <w:pPr>
        <w:keepNext w:val="0"/>
        <w:keepLines w:val="0"/>
        <w:pageBreakBefore w:val="0"/>
        <w:widowControl w:val="0"/>
        <w:kinsoku/>
        <w:wordWrap/>
        <w:overflowPunct/>
        <w:topLinePunct w:val="0"/>
        <w:autoSpaceDE/>
        <w:autoSpaceDN/>
        <w:bidi w:val="0"/>
        <w:adjustRightInd/>
        <w:snapToGrid/>
        <w:spacing w:line="560" w:lineRule="exact"/>
        <w:ind w:firstLine="645" w:firstLineChars="0"/>
        <w:textAlignment w:val="auto"/>
        <w:rPr>
          <w:rFonts w:hint="default" w:eastAsia="仿宋_GB2312"/>
          <w:sz w:val="32"/>
          <w:lang w:val="en-US" w:eastAsia="zh-CN"/>
        </w:rPr>
      </w:pPr>
      <w:r>
        <w:rPr>
          <w:rFonts w:hint="eastAsia"/>
          <w:sz w:val="32"/>
          <w:lang w:val="en-US" w:eastAsia="zh-CN"/>
        </w:rPr>
        <w:t>二是关于您提出的建议，上社镇已于2025年在龙门汖黄沙口自然村“又见桃花”休闲营地布局试点。其是盂县北部地区最大的</w:t>
      </w:r>
      <w:r>
        <w:rPr>
          <w:rFonts w:hint="eastAsia" w:ascii="仿宋_GB2312" w:hAnsi="仿宋_GB2312" w:eastAsia="仿宋_GB2312" w:cs="仿宋_GB2312"/>
          <w:sz w:val="32"/>
          <w:szCs w:val="32"/>
        </w:rPr>
        <w:t>沉浸式农耕体验空间</w:t>
      </w:r>
      <w:r>
        <w:rPr>
          <w:rFonts w:hint="eastAsia"/>
          <w:sz w:val="32"/>
          <w:lang w:val="en-US" w:eastAsia="zh-CN"/>
        </w:rPr>
        <w:t>田园综合体，</w:t>
      </w:r>
      <w:r>
        <w:rPr>
          <w:rFonts w:hint="eastAsia" w:cs="仿宋_GB2312"/>
          <w:sz w:val="32"/>
          <w:szCs w:val="32"/>
          <w:lang w:val="en-US" w:eastAsia="zh-CN"/>
        </w:rPr>
        <w:t>具备</w:t>
      </w:r>
      <w:r>
        <w:rPr>
          <w:rFonts w:hint="eastAsia" w:ascii="仿宋_GB2312" w:hAnsi="仿宋_GB2312" w:eastAsia="仿宋_GB2312" w:cs="仿宋_GB2312"/>
          <w:sz w:val="32"/>
          <w:szCs w:val="32"/>
          <w:lang w:val="en-US" w:eastAsia="zh-CN"/>
        </w:rPr>
        <w:t>60块</w:t>
      </w:r>
      <w:r>
        <w:rPr>
          <w:rFonts w:hint="eastAsia" w:ascii="仿宋_GB2312" w:hAnsi="仿宋_GB2312" w:eastAsia="仿宋_GB2312" w:cs="仿宋_GB2312"/>
          <w:sz w:val="32"/>
          <w:szCs w:val="32"/>
        </w:rPr>
        <w:t>有机共享菜园打造沉浸式农耕体验空间</w:t>
      </w:r>
      <w:r>
        <w:rPr>
          <w:rFonts w:hint="eastAsia" w:cs="仿宋_GB2312"/>
          <w:sz w:val="32"/>
          <w:szCs w:val="32"/>
          <w:lang w:eastAsia="zh-CN"/>
        </w:rPr>
        <w:t>，</w:t>
      </w:r>
      <w:r>
        <w:rPr>
          <w:rFonts w:hint="eastAsia" w:cs="仿宋_GB2312"/>
          <w:sz w:val="32"/>
          <w:szCs w:val="32"/>
          <w:lang w:val="en-US" w:eastAsia="zh-CN"/>
        </w:rPr>
        <w:t>土地较为集中，运营规范；并且村内具有许多从事农业、具备农耕经验的新时代专业农民，可以有效提供农业指导与后续相关托管服务，从而在享受优质农产品的同时增加当地农民收入，助力乡村振兴。</w:t>
      </w:r>
    </w:p>
    <w:p w14:paraId="519BC72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cs="仿宋_GB2312"/>
          <w:sz w:val="32"/>
          <w:szCs w:val="32"/>
          <w:lang w:val="en-US" w:eastAsia="zh-CN"/>
        </w:rPr>
        <w:t>再次</w:t>
      </w:r>
      <w:r>
        <w:rPr>
          <w:rFonts w:hint="eastAsia" w:ascii="仿宋_GB2312" w:hAnsi="仿宋_GB2312" w:eastAsia="仿宋_GB2312" w:cs="仿宋_GB2312"/>
          <w:sz w:val="32"/>
          <w:szCs w:val="32"/>
          <w:lang w:val="en-US" w:eastAsia="zh-CN"/>
        </w:rPr>
        <w:t>感谢您为我县发展提出</w:t>
      </w:r>
      <w:r>
        <w:rPr>
          <w:rFonts w:hint="eastAsia" w:cs="仿宋_GB2312"/>
          <w:sz w:val="32"/>
          <w:szCs w:val="32"/>
          <w:lang w:val="en-US" w:eastAsia="zh-CN"/>
        </w:rPr>
        <w:t>的</w:t>
      </w:r>
      <w:r>
        <w:rPr>
          <w:rFonts w:hint="eastAsia" w:ascii="仿宋_GB2312" w:hAnsi="仿宋_GB2312" w:eastAsia="仿宋_GB2312" w:cs="仿宋_GB2312"/>
          <w:sz w:val="32"/>
          <w:szCs w:val="32"/>
          <w:lang w:val="en-US" w:eastAsia="zh-CN"/>
        </w:rPr>
        <w:t>宝贵意见。下一步，我们将持续推进上社镇生态农业建设，不断完善相关配套条件，期待您继续关注和支持我县各项工作，多提宝贵建议。</w:t>
      </w:r>
    </w:p>
    <w:p w14:paraId="3FFA9190">
      <w:pPr>
        <w:keepNext w:val="0"/>
        <w:keepLines w:val="0"/>
        <w:pageBreakBefore w:val="0"/>
        <w:widowControl w:val="0"/>
        <w:kinsoku/>
        <w:wordWrap/>
        <w:overflowPunct/>
        <w:topLinePunct w:val="0"/>
        <w:autoSpaceDE/>
        <w:autoSpaceDN/>
        <w:bidi w:val="0"/>
        <w:adjustRightInd/>
        <w:snapToGrid/>
        <w:spacing w:line="560" w:lineRule="exact"/>
        <w:ind w:firstLine="645" w:firstLineChars="0"/>
        <w:textAlignment w:val="auto"/>
        <w:rPr>
          <w:rFonts w:hint="eastAsia"/>
          <w:sz w:val="32"/>
          <w:lang w:eastAsia="zh-CN"/>
        </w:rPr>
      </w:pPr>
    </w:p>
    <w:p w14:paraId="7E5ACEF4">
      <w:pPr>
        <w:keepNext w:val="0"/>
        <w:keepLines w:val="0"/>
        <w:pageBreakBefore w:val="0"/>
        <w:widowControl w:val="0"/>
        <w:kinsoku/>
        <w:wordWrap/>
        <w:overflowPunct/>
        <w:topLinePunct w:val="0"/>
        <w:autoSpaceDE/>
        <w:autoSpaceDN/>
        <w:bidi w:val="0"/>
        <w:adjustRightInd/>
        <w:snapToGrid/>
        <w:spacing w:line="560" w:lineRule="exact"/>
        <w:ind w:firstLine="645" w:firstLineChars="0"/>
        <w:textAlignment w:val="auto"/>
        <w:rPr>
          <w:rFonts w:hint="eastAsia"/>
          <w:sz w:val="32"/>
          <w:lang w:eastAsia="zh-CN"/>
        </w:rPr>
      </w:pPr>
    </w:p>
    <w:p w14:paraId="5E52A2D7">
      <w:pPr>
        <w:keepNext w:val="0"/>
        <w:keepLines w:val="0"/>
        <w:pageBreakBefore w:val="0"/>
        <w:widowControl w:val="0"/>
        <w:kinsoku/>
        <w:wordWrap/>
        <w:overflowPunct/>
        <w:topLinePunct w:val="0"/>
        <w:autoSpaceDE/>
        <w:autoSpaceDN/>
        <w:bidi w:val="0"/>
        <w:adjustRightInd/>
        <w:snapToGrid/>
        <w:spacing w:line="560" w:lineRule="exact"/>
        <w:ind w:firstLine="645" w:firstLineChars="0"/>
        <w:textAlignment w:val="auto"/>
        <w:rPr>
          <w:rFonts w:hint="eastAsia"/>
          <w:sz w:val="32"/>
          <w:lang w:eastAsia="zh-CN"/>
        </w:rPr>
      </w:pPr>
    </w:p>
    <w:p w14:paraId="060F8582">
      <w:pPr>
        <w:keepNext w:val="0"/>
        <w:keepLines w:val="0"/>
        <w:pageBreakBefore w:val="0"/>
        <w:widowControl w:val="0"/>
        <w:kinsoku/>
        <w:wordWrap/>
        <w:overflowPunct/>
        <w:topLinePunct w:val="0"/>
        <w:autoSpaceDE/>
        <w:autoSpaceDN/>
        <w:bidi w:val="0"/>
        <w:adjustRightInd/>
        <w:snapToGrid/>
        <w:ind w:right="640" w:rightChars="200" w:firstLine="640" w:firstLineChars="200"/>
        <w:jc w:val="right"/>
        <w:textAlignment w:val="auto"/>
        <w:rPr>
          <w:rFonts w:hint="eastAsia" w:eastAsia="仿宋_GB2312"/>
          <w:lang w:eastAsia="zh-CN"/>
        </w:rPr>
      </w:pPr>
      <w:r>
        <w:rPr>
          <w:rFonts w:hint="eastAsia"/>
          <w:lang w:eastAsia="zh-CN"/>
        </w:rPr>
        <w:t>盂县上社镇人民政府</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A65933"/>
    <w:rsid w:val="24EE0F8B"/>
    <w:rsid w:val="446411EF"/>
    <w:rsid w:val="48353471"/>
    <w:rsid w:val="4DEF1FC5"/>
    <w:rsid w:val="55D957DE"/>
    <w:rsid w:val="57172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1142e3b3-607f-4b02-93d0-52541f4c5d18</errorID>
      <errorWord>（</errorWord>
      <group>L1_Format</group>
      <groupName>格式问题</groupName>
      <ability>L2_HalfPunc_CN</ability>
      <abilityName>全半角检查</abilityName>
      <candidateList>
        <item>(</item>
      </candidateList>
      <explain>文本全半角错误。</explain>
      <paraID>57121333</paraID>
      <start>0</start>
      <end>1</end>
      <status>unmodified</status>
      <modifiedWord/>
      <trackRevisions>false</trackRevisions>
    </reviewItem>
    <reviewItem>
      <errorID>64521d96-be2e-4ce2-a759-b0019df50f9b</errorID>
      <errorWord>）</errorWord>
      <group>L1_Format</group>
      <groupName>格式问题</groupName>
      <ability>L2_HalfPunc_CN</ability>
      <abilityName>全半角检查</abilityName>
      <candidateList>
        <item>)</item>
      </candidateList>
      <explain>文本全半角错误。</explain>
      <paraID>57121333</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3bf085f3-b360-4133-b706-cc3330623db4}">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613</Words>
  <Characters>617</Characters>
  <Lines>0</Lines>
  <Paragraphs>0</Paragraphs>
  <TotalTime>50</TotalTime>
  <ScaleCrop>false</ScaleCrop>
  <LinksUpToDate>false</LinksUpToDate>
  <CharactersWithSpaces>617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2026-01-23T08:23:00Z</dcterms:created>
  <dc:creator>admin</dc:creator>
  <cp:lastModifiedBy>哈哈哈哈哈</cp:lastModifiedBy>
  <cp:lastPrinted>2026-05-28T03:23:00Z</cp:lastPrinted>
  <dcterms:modified xsi:type="dcterms:W3CDTF">2026-07-22T02:45:29Z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eyJoZGlkIjoiMjk4N2FmYjkwMTIyYjM1ZmFhOWU3YWJhYzNlMzAzOGMiLCJ1c2VySWQiOiI1Mzg4Mzc1NDUifQ==</vt:lpwstr>
  </property>
  <property fmtid="{D5CDD505-2E9C-101B-9397-08002B2CF9AE}" pid="4" name="ICV">
    <vt:lpwstr>D10DCDDA46074F18B7869E6FC6B1F2F5_12</vt:lpwstr>
  </property>
</Properties>
</file>