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4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300" w:lineRule="exact"/>
        <w:jc w:val="center"/>
        <w:textAlignment w:val="auto"/>
        <w:rPr>
          <w:rFonts w:hint="eastAsia" w:ascii="宋体" w:hAnsi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 xml:space="preserve">             </w:t>
      </w:r>
    </w:p>
    <w:p w14:paraId="63B94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                               （A）</w:t>
      </w:r>
    </w:p>
    <w:p w14:paraId="0300C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cs="宋体"/>
          <w:b/>
          <w:sz w:val="44"/>
          <w:szCs w:val="44"/>
          <w:lang w:val="en-US" w:eastAsia="zh-CN"/>
        </w:rPr>
      </w:pPr>
    </w:p>
    <w:p w14:paraId="2EBD4B27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对盂县第十七届人大六次会议第7号建议的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答复</w:t>
      </w:r>
    </w:p>
    <w:p w14:paraId="0EB61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2385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刘俊红代表：</w:t>
      </w:r>
    </w:p>
    <w:p w14:paraId="78E52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您提出的《关于解决就业问题的建议》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收悉，现答复如下：</w:t>
      </w:r>
    </w:p>
    <w:p w14:paraId="444F4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一、优化见习岗位供需对接机制</w:t>
      </w:r>
    </w:p>
    <w:p w14:paraId="74158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始终高度重视高校毕业生就业见习工作，2025年对接80余家企事业单位开发见习岗位，累计为197名符合条件的人员（其中高校毕业生164人）匹配见习岗位，充实了本地重点行业人才队伍。同时，为山西省上级平台推送的437名离校未就业高校毕业生和57名“雨露计划”人员提供了电话服务和岗位推荐。</w:t>
      </w:r>
    </w:p>
    <w:p w14:paraId="4EFB1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针对见习岗位匹配度不足的问题，下一步将从三方面优化对接机制：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精准摸排供需信息，前期通过问卷调查、电话访谈等方式，全面掌握高校毕业生专业特长、就业意向、见习期望等信息，同步深入企业调研岗位需求、技能要求、培养计划，建立供需信息台账；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搭建精准对接平台，举办“高校毕业生见习岗位专场招聘会”，推行“双向选择+定向推荐”模式，根据毕业生专业与企业需求进行匹配，提高岗位适配度；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完善跟踪调整机制，建立见习岗位动态管理台账，定期回访见习生和用人单位，及时了解见习情况，对匹配度不高的，协调调整岗位或补充推荐合适人员，确保人岗相适。</w:t>
      </w:r>
    </w:p>
    <w:p w14:paraId="2B9E0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二、升级技能培训，鼓励居家就业项目</w:t>
      </w:r>
    </w:p>
    <w:p w14:paraId="3C563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技能培训方面，2025年我们已开展多维度培训工作：面向有创业意愿的高校毕业生、脱贫劳动力等群体，开展创业培训,带动就业44人；开展求职能力培训4期，培训133人。培训前深入调研需求，优化课程体系，确保理论与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践相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结合，同时做好教材筹备、设备调试等保障工作。</w:t>
      </w:r>
    </w:p>
    <w:p w14:paraId="4D24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我们将重点推进技能培训升级：一是丰富培训内容，在现有创业培训、求职能力培训基础上，强化数字技能、新媒体营销、家政服务、电子商务等热门培训项目，结合县域产业需求增设特色产业技能培训，同步优化创业培训课程；二是创新培训模式，推行“线上+线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理论+实操”相结合的培训方式，方便各类群体参与；三是鼓励居家就业项目，结合培训内容，挖掘推广手工制作、网络客服、电商带货等适合居家开展的就业项目，对接相关企业建立居家就业合作机制，为学员提供项目对接、订单支持等服务，拓宽就业渠道。</w:t>
      </w:r>
    </w:p>
    <w:p w14:paraId="7112B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三、强化零工市场与创业支持</w:t>
      </w:r>
    </w:p>
    <w:p w14:paraId="3E298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（一）强化零工市场建设</w:t>
      </w:r>
    </w:p>
    <w:p w14:paraId="33AA9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零工市场2025年为102个用工主体提供服务，发布零工岗位1671个，服务求职人员491人，进场服务948人；同时在乡镇、社区（村）及零工聚集区设立15个零工驿站，延伸服务触角。针对供需对接效率不足的问题，下一步将从三方面发力：一是构建双向联动工作机制，建立健全“线上赋能线下、线下反哺线上”的良性循环工作机制，形成数据互通、服务互补的公共就业服务新格局；二是优化现场对接服务，利用零工市场咨询服务台，提供岗位推荐、求职登记、政策咨询等一站式服务，组织政企对接会，促进供需精准匹配。</w:t>
      </w:r>
    </w:p>
    <w:p w14:paraId="4EE1E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（二）强化创业支持与便民业态培育</w:t>
      </w:r>
    </w:p>
    <w:p w14:paraId="756C1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创业支持方面，2025年已认定市级创业园区2个、市级创业孵化基地1个，县级创业园区1个、县级创业孵化基地2个，进驻企业243余户，吸纳就业3021余人；发放创业担保贷款15笔，总额383万元，带动就业42人。下一步，一是加大对农家乐、便民商超、社区服务等业态的支持力度，将其纳入创业孵化重点扶持范围，提供场地租赁补贴、创业培训、政策咨询等服务；二是优化创业担保贷款政策，简化审批流程，提高贷款发放效率，为便民业态创业者提供资金支持；三是搭建创业交流平台，组织创业者开展经验分享、资源对接活动，邀请行业专家提供经营指导，助力便民业态持续健康发展。</w:t>
      </w:r>
    </w:p>
    <w:p w14:paraId="2B6E8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四、加大企业稳岗激励</w:t>
      </w:r>
    </w:p>
    <w:p w14:paraId="56587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我县始终注重发挥企业吸纳就业的主体作用，2025年通过排查社会保险参保企业，为4家符合条件的重点企业发放社会保险补贴4417.03元；通过开展招聘活动、推荐就业见习人员等方式，助力企业解决用工需求。</w:t>
      </w:r>
    </w:p>
    <w:p w14:paraId="0D499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我们将进一步加大企业稳岗激励力度：一是扩大补贴政策覆盖面，对吸纳高校毕业生、就业困难人员等重点群体就业的企业，按规定落实社保补贴、岗位补贴，对稳岗成效显著的企业，给予稳岗返还补贴，提高企业吸纳就业的积极性；二是优化补贴申报流程，通过岗位发布、求职登记、人岗匹配、就失业登记、政策查询与申领等功能于一体的线上公共就业服务平台，实现线上线下信息同源共享、业务协同办理；三是强化政策宣传引导，全方位宣传稳岗激励政策，确保企业应知尽知、应享尽享。</w:t>
      </w:r>
    </w:p>
    <w:p w14:paraId="75C94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五、保障政策有效落实</w:t>
      </w:r>
    </w:p>
    <w:p w14:paraId="748EC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工作实际，今后我们将做好以下工作：一是建立月度调度机制，牵头成立就业工作推进专班，梳理各项工作进展情况，分析存在的问题，研究解决措施，确保工作有序推进；二是完善考核评价体系，将就业工作纳入乡镇和相关部门年度考核指标体系，明确考核内容、评分标准，重点考核岗位开发、技能培训、政策落实等工作成效；三是强化督导检查，定期对各乡镇、相关部门就业工作开展情况进行督导，确保各项工作任务落到实处，全力推动我县就业工作高质量发展。</w:t>
      </w:r>
    </w:p>
    <w:p w14:paraId="60A20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再次感谢您对我县就业工作的关心与支持，欢迎您继续对我们的工作提出宝贵意见和建议。</w:t>
      </w:r>
    </w:p>
    <w:p w14:paraId="04FF87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p w14:paraId="4A3012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p w14:paraId="1CB79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盂县人力资源和社会保障局</w:t>
      </w:r>
    </w:p>
    <w:sectPr>
      <w:pgSz w:w="11906" w:h="16838"/>
      <w:pgMar w:top="1985" w:right="147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hZDEwYWU3MTk5OTFkNmQyZTYzMTBkYTczM2U1NjYifQ=="/>
  </w:docVars>
  <w:rsids>
    <w:rsidRoot w:val="006C1E88"/>
    <w:rsid w:val="001704BD"/>
    <w:rsid w:val="001911F2"/>
    <w:rsid w:val="001D0D89"/>
    <w:rsid w:val="00203566"/>
    <w:rsid w:val="0026418D"/>
    <w:rsid w:val="002E5159"/>
    <w:rsid w:val="0037212D"/>
    <w:rsid w:val="003869BA"/>
    <w:rsid w:val="00481AF4"/>
    <w:rsid w:val="004C1502"/>
    <w:rsid w:val="00513B53"/>
    <w:rsid w:val="00532CF9"/>
    <w:rsid w:val="005368EC"/>
    <w:rsid w:val="00552A1D"/>
    <w:rsid w:val="00556872"/>
    <w:rsid w:val="00557C2F"/>
    <w:rsid w:val="00563BCE"/>
    <w:rsid w:val="005B0273"/>
    <w:rsid w:val="005D07DE"/>
    <w:rsid w:val="005D5B1F"/>
    <w:rsid w:val="005E0958"/>
    <w:rsid w:val="0065172C"/>
    <w:rsid w:val="006C1E88"/>
    <w:rsid w:val="00715FDE"/>
    <w:rsid w:val="00771939"/>
    <w:rsid w:val="00775390"/>
    <w:rsid w:val="00800A19"/>
    <w:rsid w:val="008D09A0"/>
    <w:rsid w:val="008D469D"/>
    <w:rsid w:val="008E78FC"/>
    <w:rsid w:val="008F3066"/>
    <w:rsid w:val="00935502"/>
    <w:rsid w:val="009707A5"/>
    <w:rsid w:val="009B3266"/>
    <w:rsid w:val="009F4557"/>
    <w:rsid w:val="00A15855"/>
    <w:rsid w:val="00A27392"/>
    <w:rsid w:val="00A57C4B"/>
    <w:rsid w:val="00BD3A78"/>
    <w:rsid w:val="00BE45EE"/>
    <w:rsid w:val="00C0746C"/>
    <w:rsid w:val="00C131E0"/>
    <w:rsid w:val="00C368F0"/>
    <w:rsid w:val="00C54816"/>
    <w:rsid w:val="00C62E56"/>
    <w:rsid w:val="00CA4F88"/>
    <w:rsid w:val="00D17C46"/>
    <w:rsid w:val="00D66DE3"/>
    <w:rsid w:val="00E841CB"/>
    <w:rsid w:val="00E9441F"/>
    <w:rsid w:val="00EA45DF"/>
    <w:rsid w:val="00F53778"/>
    <w:rsid w:val="0A0C79B4"/>
    <w:rsid w:val="254A0D4A"/>
    <w:rsid w:val="3D2A5291"/>
    <w:rsid w:val="3FBE3C20"/>
    <w:rsid w:val="46565349"/>
    <w:rsid w:val="4D990B9C"/>
    <w:rsid w:val="553C2AA9"/>
    <w:rsid w:val="5A9804D2"/>
    <w:rsid w:val="6AD65F91"/>
    <w:rsid w:val="6B9D6AAA"/>
    <w:rsid w:val="752F0D0B"/>
    <w:rsid w:val="7A2D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ffedaf35-4bc0-42fe-97a2-abebcf35a477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63B94730</paraID>
      <start>32</start>
      <end>33</end>
      <status>unmodified</status>
      <modifiedWord/>
      <trackRevisions>false</trackRevisions>
    </reviewItem>
    <reviewItem>
      <errorID>3d7879ef-4cc1-48f1-93df-8632961f3080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63B94730</paraID>
      <start>34</start>
      <end>35</end>
      <status>unmodified</status>
      <modifiedWord/>
      <trackRevisions>false</trackRevisions>
    </reviewItem>
    <reviewItem>
      <errorID>b8b9e4b8-78b0-4300-bbb9-925a46b8a524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3C563B03</paraID>
      <start>55</start>
      <end>56</end>
      <status>unmodified</status>
      <modifiedWord/>
      <trackRevisions>false</trackRevisions>
    </reviewItem>
    <reviewItem>
      <errorID>4d5e172d-ccef-451a-92ec-1f0a14bd9b72</errorID>
      <errorWord>践</errorWord>
      <group>L1_Word</group>
      <groupName>字词问题</groupName>
      <ability>L2_Typo</ability>
      <abilityName>字词错误</abilityName>
      <candidateList>
        <item>践相</item>
      </candidateList>
      <explain/>
      <paraID>3C563B03</paraID>
      <start>105</start>
      <end>107</end>
      <status>modified</status>
      <modifiedWord>践相</modifiedWord>
      <trackRevisions>false</trackRevisions>
    </reviewItem>
    <reviewItem>
      <errorID>37773e43-885a-4f62-8388-5d1ab9b96e04</errorID>
      <errorWord>”、“</errorWord>
      <group>L1_Punc</group>
      <groupName>标点问题</groupName>
      <ability>L2_Punc_CN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4D240EBF</paraID>
      <start>123</start>
      <end>125</end>
      <status>modified</status>
      <modifiedWord>”“</modifiedWord>
      <trackRevisions>false</trackRevisions>
    </reviewItem>
    <reviewItem>
      <errorID>0c2bfc84-600f-46b7-9833-059aa0e3092f</errorID>
      <errorWord>带货</errorWord>
      <group>L1_Official</group>
      <groupName>公文问题</groupName>
      <ability>L2_Official</ability>
      <abilityName>公文问题</abilityName>
      <candidateList/>
      <explain>公文中禁止出现该词语</explain>
      <paraID>4D240EBF</paraID>
      <start>183</start>
      <end>185</end>
      <status>unmodified</status>
      <modifiedWord/>
      <trackRevisions>false</trackRevisions>
    </reviewItem>
    <reviewItem>
      <errorID>ef4b7a32-4e50-44a2-8068-fdc17f5d5fdb</errorID>
      <errorWord>、就</errorWord>
      <group>L1_Punc</group>
      <groupName>标点问题</groupName>
      <ability>L2_Punc_CN</ability>
      <abilityName>标点符号检查</abilityName>
      <candidateList>
        <item>，就</item>
      </candidateList>
      <explain>连接词前后不宜使用顿号，建议使用逗号。</explain>
      <paraID> D499580</paraID>
      <start>134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b862148-bb57-4b66-929d-452a6bd04f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盂县人社局</Company>
  <Pages>4</Pages>
  <Words>1974</Words>
  <Characters>2028</Characters>
  <Lines>14</Lines>
  <Paragraphs>4</Paragraphs>
  <TotalTime>20</TotalTime>
  <ScaleCrop>false</ScaleCrop>
  <LinksUpToDate>false</LinksUpToDate>
  <CharactersWithSpaces>2073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2026-01-30T03:15:00Z</dcterms:created>
  <dc:creator>盂县人社局</dc:creator>
  <cp:lastModifiedBy>哈哈哈哈哈</cp:lastModifiedBy>
  <cp:lastPrinted>2026-05-22T07:46:00Z</cp:lastPrinted>
  <dcterms:modified xsi:type="dcterms:W3CDTF">2026-07-22T02:44:58Z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eyJoZGlkIjoiMjk4N2FmYjkwMTIyYjM1ZmFhOWU3YWJhYzNlMzAzOGMiLCJ1c2VySWQiOiI1Mzg4Mzc1NDUifQ==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3378C7C3A2E2411D877D1064820A1028_12</vt:lpwstr>
  </property>
</Properties>
</file>