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26A90">
      <w:pPr>
        <w:pStyle w:val="2"/>
        <w:keepNext w:val="0"/>
        <w:keepLines w:val="0"/>
        <w:pageBreakBefore w:val="0"/>
        <w:kinsoku/>
        <w:wordWrap/>
        <w:overflowPunct/>
        <w:topLinePunct w:val="0"/>
        <w:autoSpaceDE/>
        <w:autoSpaceDN/>
        <w:bidi w:val="0"/>
        <w:adjustRightInd/>
        <w:snapToGrid/>
        <w:spacing w:before="0" w:beforeAutospacing="0" w:after="0" w:afterAutospacing="0" w:line="540" w:lineRule="exact"/>
        <w:ind w:left="0" w:leftChars="0"/>
        <w:jc w:val="both"/>
        <w:textAlignment w:val="auto"/>
        <w:rPr>
          <w:rFonts w:hint="eastAsia"/>
        </w:rPr>
      </w:pPr>
      <w:r>
        <w:rPr>
          <w:rFonts w:hint="eastAsia"/>
          <w:sz w:val="36"/>
          <w:szCs w:val="36"/>
          <w:lang w:val="en-US" w:eastAsia="zh-CN"/>
        </w:rPr>
        <w:t xml:space="preserve">                                        (A)</w:t>
      </w:r>
    </w:p>
    <w:p w14:paraId="3E72EBE2">
      <w:pPr>
        <w:pStyle w:val="2"/>
        <w:keepNext w:val="0"/>
        <w:keepLines w:val="0"/>
        <w:pageBreakBefore w:val="0"/>
        <w:kinsoku/>
        <w:wordWrap/>
        <w:overflowPunct/>
        <w:topLinePunct w:val="0"/>
        <w:autoSpaceDE/>
        <w:autoSpaceDN/>
        <w:bidi w:val="0"/>
        <w:adjustRightInd/>
        <w:snapToGrid/>
        <w:spacing w:before="0" w:beforeAutospacing="0" w:after="0" w:afterAutospacing="0" w:line="540" w:lineRule="exact"/>
        <w:ind w:left="0" w:leftChars="0"/>
        <w:jc w:val="center"/>
        <w:textAlignment w:val="auto"/>
        <w:rPr>
          <w:rFonts w:hint="eastAsia" w:ascii="仿宋" w:hAnsi="仿宋" w:eastAsia="仿宋" w:cs="仿宋"/>
          <w:sz w:val="36"/>
          <w:szCs w:val="36"/>
        </w:rPr>
      </w:pPr>
      <w:r>
        <w:rPr>
          <w:rFonts w:hint="eastAsia" w:ascii="仿宋" w:hAnsi="仿宋" w:eastAsia="仿宋" w:cs="仿宋"/>
          <w:sz w:val="36"/>
          <w:szCs w:val="36"/>
        </w:rPr>
        <w:t>对盂县第十七届人大</w:t>
      </w:r>
      <w:r>
        <w:rPr>
          <w:rFonts w:hint="eastAsia" w:ascii="仿宋" w:hAnsi="仿宋" w:eastAsia="仿宋" w:cs="仿宋"/>
          <w:sz w:val="36"/>
          <w:szCs w:val="36"/>
          <w:lang w:eastAsia="zh-CN"/>
        </w:rPr>
        <w:t>六次会议</w:t>
      </w:r>
      <w:r>
        <w:rPr>
          <w:rFonts w:hint="eastAsia" w:ascii="仿宋" w:hAnsi="仿宋" w:eastAsia="仿宋" w:cs="仿宋"/>
          <w:sz w:val="36"/>
          <w:szCs w:val="36"/>
        </w:rPr>
        <w:t>第</w:t>
      </w:r>
      <w:r>
        <w:rPr>
          <w:rFonts w:hint="eastAsia" w:ascii="仿宋" w:hAnsi="仿宋" w:eastAsia="仿宋" w:cs="仿宋"/>
          <w:sz w:val="36"/>
          <w:szCs w:val="36"/>
          <w:lang w:val="en-US" w:eastAsia="zh-CN"/>
        </w:rPr>
        <w:t>37</w:t>
      </w:r>
      <w:r>
        <w:rPr>
          <w:rFonts w:hint="eastAsia" w:ascii="仿宋" w:hAnsi="仿宋" w:eastAsia="仿宋" w:cs="仿宋"/>
          <w:sz w:val="36"/>
          <w:szCs w:val="36"/>
        </w:rPr>
        <w:t>号建议的答复</w:t>
      </w:r>
    </w:p>
    <w:p w14:paraId="550C1ADB">
      <w:pPr>
        <w:keepNext w:val="0"/>
        <w:keepLines w:val="0"/>
        <w:pageBreakBefore w:val="0"/>
        <w:widowControl w:val="0"/>
        <w:kinsoku/>
        <w:wordWrap/>
        <w:overflowPunct/>
        <w:topLinePunct w:val="0"/>
        <w:autoSpaceDE/>
        <w:autoSpaceDN/>
        <w:bidi w:val="0"/>
        <w:adjustRightInd/>
        <w:snapToGrid/>
        <w:spacing w:beforeAutospacing="0" w:line="540" w:lineRule="exact"/>
        <w:ind w:left="0" w:leftChars="0"/>
        <w:textAlignment w:val="auto"/>
        <w:rPr>
          <w:rFonts w:hint="eastAsia" w:ascii="仿宋_GB2312" w:hAnsi="仿宋_GB2312" w:eastAsia="仿宋_GB2312" w:cs="仿宋_GB2312"/>
          <w:sz w:val="32"/>
          <w:szCs w:val="32"/>
        </w:rPr>
      </w:pPr>
    </w:p>
    <w:p w14:paraId="44490C1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eastAsia="zh-CN"/>
        </w:rPr>
        <w:t>梁彦果</w:t>
      </w:r>
      <w:r>
        <w:rPr>
          <w:rFonts w:hint="eastAsia" w:ascii="仿宋_GB2312" w:hAnsi="仿宋_GB2312" w:eastAsia="仿宋_GB2312" w:cs="仿宋_GB2312"/>
          <w:sz w:val="32"/>
          <w:szCs w:val="32"/>
          <w:u w:val="none"/>
          <w:lang w:eastAsia="zh-CN"/>
        </w:rPr>
        <w:t>代</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rPr>
        <w:t>：</w:t>
      </w:r>
    </w:p>
    <w:p w14:paraId="013C027B">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您提出的关于《整治校园周边小摊小贩食品卫生安全的建议》的提案收悉，现答复如下：</w:t>
      </w:r>
    </w:p>
    <w:p w14:paraId="2E338E4A">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始终坚守以学生为中心的工作理念，将学生身心健康与校园饮食安全作为工作重中之重，深刻研判校园周边食品摊贩乱象的安全风险，严格按照“疏堵结合、标本兼治、协同共治”的工作原则，主动对接联动市场监管、城管、公安、卫健等相关职能部门，坚持多措并举、精准靶向发力，扎实开展校园周边食品摊贩专项整治行动，全力守护广大学生饮食安全。具体工作措施如下：</w:t>
      </w:r>
    </w:p>
    <w:p w14:paraId="5B17D7B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一、提高思想认识，强化组织保障</w:t>
      </w:r>
    </w:p>
    <w:p w14:paraId="1857F1EB">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召开专题工作会议部署整治任务，引导全县各中小学、幼儿园</w:t>
      </w:r>
      <w:r>
        <w:rPr>
          <w:rFonts w:hint="eastAsia" w:ascii="仿宋_GB2312" w:hAnsi="仿宋_GB2312" w:eastAsia="仿宋_GB2312" w:cs="仿宋_GB2312"/>
          <w:sz w:val="32"/>
          <w:szCs w:val="32"/>
          <w:lang w:val="en-US" w:eastAsia="zh-CN"/>
        </w:rPr>
        <w:t>切实增强治理工作责任感与紧迫感，坚决杜绝松懈思想、侥幸心态。</w:t>
      </w:r>
      <w:r>
        <w:rPr>
          <w:rFonts w:hint="eastAsia" w:ascii="仿宋_GB2312" w:hAnsi="仿宋_GB2312" w:eastAsia="仿宋_GB2312" w:cs="仿宋_GB2312"/>
          <w:sz w:val="32"/>
          <w:szCs w:val="32"/>
        </w:rPr>
        <w:t>将校园周边食品摊贩整治工作纳入学校安全工作核心范畴与年度绩效考核重点内容，严格落实校（园）长第一责任人、分管领导直接责任、相关岗位人员具体责任的“三级责任体系”，明确专人专职对接整治各项工作，做到层层分解责任、细化工作举措。建立“常态化部署、定期化调度、随机化督查”工作机制，定期深入校园周边督导检查整治推进情况，及时排查问题、督促限期整改，为整治工作扎实开展筑牢校内组织保障。</w:t>
      </w:r>
    </w:p>
    <w:p w14:paraId="7D70A232">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深化宣传教育，提升防护意识</w:t>
      </w:r>
    </w:p>
    <w:p w14:paraId="48336E6F">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坚持“预防为主、宣传先行”工作思路，依托班会、日常教学等载体，多渠道、多形式开展食品安全宣传教育，引导学生自觉抵制违规食品摊贩、远离不安全食品。</w:t>
      </w:r>
    </w:p>
    <w:p w14:paraId="75BBADA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（一）融入日常教学，普及基础常识。</w:t>
      </w:r>
    </w:p>
    <w:p w14:paraId="4A7C8645">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食品安全知识有机融入中小学日常教学与健康教育课堂，贴合学生认知规律，通过课堂渗透、典型案例解析等方式，普及“不购买三无食品、不食用过期食品”、不合格食品辨识方法、消费维权基本路径等实用知识，从源头提升学生自我防护能力。</w:t>
      </w:r>
    </w:p>
    <w:p w14:paraId="106D14ED">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（二）聚焦主题班会，增强教育实效。</w:t>
      </w:r>
    </w:p>
    <w:p w14:paraId="42F1CD1D">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态化开设食品安全主题班会，邀请市场监管、卫健部门专家入校授课，结合真实案例剖析校园周边无证摊贩食品的安全风险；通过情景模拟、小组研讨等互动形式，讲解高危食品潜在危害与误食应急处置办法，进一步强化学生安全饮食意识，引导其主动远离违规摊贩食品。</w:t>
      </w:r>
    </w:p>
    <w:p w14:paraId="5EA5B2E9">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（三）丰富宣传载体，营造浓厚氛围。</w:t>
      </w:r>
    </w:p>
    <w:p w14:paraId="567F1E3A">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托校园广播、宣传栏、电子屏等固定载体，滚动播放食品安全温馨提示；结合校园文化活动，组织开展“拒绝不安全食品”签名、知识竞赛、手抄报创作展览等特色活动，以寓教于乐的方式传播食品安全理念，营造“人人关注食品安全、人人守护饮食安全”的校园共治氛围。</w:t>
      </w:r>
    </w:p>
    <w:p w14:paraId="3E384B45">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三、加强家校协同，凝聚共治合力</w:t>
      </w:r>
    </w:p>
    <w:p w14:paraId="0B676E6A">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家长会、致家长一封信、校园公众号等多元渠道，向家长传递校园周边食品整治要求及食品安全知识，督促家长切实履行监护责任，加强子女上下学途中饮食安全监管，引导家长以身作则，自觉抵制违规摊贩食品、不购买不食用不安全食品。建立健全家校联动机制，积极鼓励家长主动反馈校园周边违规经营线索，进一步凝聚家校监管合力，构建“学校教育、家庭监管”双重防护网，共同守护学生饮食安全。​</w:t>
      </w:r>
    </w:p>
    <w:p w14:paraId="5EB6634B">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四、加强校园联动，配合联合治理</w:t>
      </w:r>
    </w:p>
    <w:p w14:paraId="52B5930F">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将建立校园与监管部门的信息联动机制，组织各学校在上下学重点时段，安排安保人员、值班教师值守校门，重点排查违规占道经营摊贩，第一时间向城管、市场监管部门反馈问题线索。同时，积极配合市场监管、城管等相关部门开展联合整治行动，精准提供校园周边摊贩日常活动规律等基础信息，协助做好重点时段、重点区域的监管管控工作，推动联合治理落地见效。</w:t>
      </w:r>
    </w:p>
    <w:p w14:paraId="362FC49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五、畅通监督渠道，强化全民参与</w:t>
      </w:r>
    </w:p>
    <w:p w14:paraId="31757195">
      <w:pPr>
        <w:keepNext w:val="0"/>
        <w:keepLines w:val="0"/>
        <w:pageBreakBefore w:val="0"/>
        <w:widowControl w:val="0"/>
        <w:numPr>
          <w:ilvl w:val="0"/>
          <w:numId w:val="0"/>
        </w:numPr>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我局将在各学校公布校园周边食品安全举报电话，鼓励师生、家长对违规经营的摊贩进行监督举报。同时，建立“举报</w:t>
      </w:r>
      <w:bookmarkStart w:id="0" w:name="_GoBack"/>
      <w:r>
        <w:rPr>
          <w:rFonts w:hint="eastAsia" w:ascii="仿宋_GB2312" w:hAnsi="仿宋_GB2312" w:eastAsia="仿宋_GB2312" w:cs="仿宋_GB2312"/>
          <w:sz w:val="32"/>
          <w:szCs w:val="32"/>
          <w:lang w:val="en-US" w:eastAsia="zh-CN"/>
        </w:rPr>
        <w:t>-</w:t>
      </w:r>
      <w:bookmarkEnd w:id="0"/>
      <w:r>
        <w:rPr>
          <w:rFonts w:hint="eastAsia" w:ascii="仿宋_GB2312" w:hAnsi="仿宋_GB2312" w:eastAsia="仿宋_GB2312" w:cs="仿宋_GB2312"/>
          <w:sz w:val="32"/>
          <w:szCs w:val="32"/>
          <w:lang w:val="en-US" w:eastAsia="zh-CN"/>
        </w:rPr>
        <w:t>核查-反馈”快速响应机制，对收到的举报信息及时转交相关执法部门，全程跟踪处置进展，并向举报人反馈处理结果，以畅通的监督渠道、高效的处置流程，广泛发动社会力量参与监督，切实形成全民参与的校园周边食品安全整治氛围。</w:t>
      </w:r>
    </w:p>
    <w:p w14:paraId="771CDA4D">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六、健全长效管控，巩固整治成效</w:t>
      </w:r>
    </w:p>
    <w:p w14:paraId="6A3B5E9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动参与定期“回头看”行动，跟踪整治实效，及时向联合治理机制反馈校园周边食品安全新情况、新问题，并提出优化整治措施的合理化建议。配合市场监管等部门做好临时经营区域动态调整、摊贩竞争淘汰等相关工作，持续巩固集中整治成果，推动校园周边食品安全治理常态化、规范化，切实为学生营造安全、整洁、有序的校园周边环境。</w:t>
      </w:r>
    </w:p>
    <w:p w14:paraId="6CFC64AC">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感谢您对教育工作的关心和支持。我们将以此次提案办理为契机，持续深化举措、压实责任，全力守护学生饮食安全。希望您继续关注和支持我们的工作，提出更多宝贵的意见和建议。</w:t>
      </w:r>
    </w:p>
    <w:p w14:paraId="02A3FA46">
      <w:pPr>
        <w:pStyle w:val="4"/>
        <w:keepNext w:val="0"/>
        <w:keepLines w:val="0"/>
        <w:pageBreakBefore w:val="0"/>
        <w:kinsoku/>
        <w:wordWrap/>
        <w:overflowPunct/>
        <w:topLinePunct w:val="0"/>
        <w:autoSpaceDE/>
        <w:autoSpaceDN/>
        <w:bidi w:val="0"/>
        <w:adjustRightInd/>
        <w:snapToGrid/>
        <w:spacing w:before="0" w:beforeAutospacing="0" w:line="560" w:lineRule="exact"/>
        <w:ind w:left="0" w:leftChars="0"/>
        <w:textAlignment w:val="auto"/>
        <w:rPr>
          <w:rFonts w:hint="eastAsia" w:ascii="仿宋_GB2312" w:hAnsi="仿宋_GB2312" w:eastAsia="仿宋_GB2312" w:cs="仿宋_GB2312"/>
          <w:sz w:val="32"/>
          <w:szCs w:val="32"/>
        </w:rPr>
      </w:pPr>
    </w:p>
    <w:p w14:paraId="5182A693">
      <w:pPr>
        <w:pStyle w:val="4"/>
        <w:keepNext w:val="0"/>
        <w:keepLines w:val="0"/>
        <w:pageBreakBefore w:val="0"/>
        <w:kinsoku/>
        <w:wordWrap/>
        <w:overflowPunct/>
        <w:topLinePunct w:val="0"/>
        <w:autoSpaceDE/>
        <w:autoSpaceDN/>
        <w:bidi w:val="0"/>
        <w:adjustRightInd/>
        <w:snapToGrid/>
        <w:spacing w:before="0" w:beforeAutospacing="0" w:line="560" w:lineRule="exact"/>
        <w:ind w:left="0" w:leftChars="0"/>
        <w:textAlignment w:val="auto"/>
        <w:rPr>
          <w:rFonts w:hint="eastAsia" w:ascii="仿宋_GB2312" w:hAnsi="仿宋_GB2312" w:eastAsia="仿宋_GB2312" w:cs="仿宋_GB2312"/>
          <w:sz w:val="32"/>
          <w:szCs w:val="32"/>
        </w:rPr>
      </w:pPr>
    </w:p>
    <w:p w14:paraId="69362E7E">
      <w:pPr>
        <w:pStyle w:val="4"/>
        <w:keepNext w:val="0"/>
        <w:keepLines w:val="0"/>
        <w:pageBreakBefore w:val="0"/>
        <w:kinsoku/>
        <w:wordWrap/>
        <w:overflowPunct/>
        <w:topLinePunct w:val="0"/>
        <w:autoSpaceDE/>
        <w:autoSpaceDN/>
        <w:bidi w:val="0"/>
        <w:adjustRightInd/>
        <w:snapToGrid/>
        <w:spacing w:before="0" w:beforeAutospacing="0" w:line="560" w:lineRule="exact"/>
        <w:ind w:left="0" w:leftChars="0"/>
        <w:textAlignment w:val="auto"/>
        <w:rPr>
          <w:rFonts w:hint="eastAsia" w:ascii="仿宋_GB2312" w:hAnsi="仿宋_GB2312" w:eastAsia="仿宋_GB2312" w:cs="仿宋_GB2312"/>
          <w:sz w:val="32"/>
          <w:szCs w:val="32"/>
        </w:rPr>
      </w:pPr>
    </w:p>
    <w:p w14:paraId="261C43DF">
      <w:pPr>
        <w:keepNext w:val="0"/>
        <w:keepLines w:val="0"/>
        <w:pageBreakBefore w:val="0"/>
        <w:widowControl w:val="0"/>
        <w:kinsoku/>
        <w:wordWrap/>
        <w:overflowPunct/>
        <w:topLinePunct w:val="0"/>
        <w:autoSpaceDE/>
        <w:autoSpaceDN/>
        <w:bidi w:val="0"/>
        <w:adjustRightInd/>
        <w:snapToGrid/>
        <w:spacing w:beforeAutospacing="0" w:line="540" w:lineRule="exact"/>
        <w:ind w:left="0" w:leftChars="0" w:right="630" w:rightChars="300" w:firstLine="640" w:firstLineChars="2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盂县教育局</w:t>
      </w:r>
    </w:p>
    <w:p w14:paraId="52CD02DA">
      <w:pPr>
        <w:keepNext w:val="0"/>
        <w:keepLines w:val="0"/>
        <w:pageBreakBefore w:val="0"/>
        <w:widowControl w:val="0"/>
        <w:kinsoku/>
        <w:wordWrap/>
        <w:overflowPunct/>
        <w:topLinePunct w:val="0"/>
        <w:autoSpaceDE/>
        <w:autoSpaceDN/>
        <w:bidi w:val="0"/>
        <w:adjustRightInd/>
        <w:snapToGrid/>
        <w:spacing w:beforeAutospacing="0" w:line="540" w:lineRule="exact"/>
        <w:ind w:left="0" w:leftChars="0"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mMDc3ZGNkMDdlNGVkZDg4ZGI5ZDI1M2U5N2E5YzEifQ=="/>
  </w:docVars>
  <w:rsids>
    <w:rsidRoot w:val="00000000"/>
    <w:rsid w:val="1DFB4C20"/>
    <w:rsid w:val="205D627B"/>
    <w:rsid w:val="23556E98"/>
    <w:rsid w:val="31892BEF"/>
    <w:rsid w:val="4FF95889"/>
    <w:rsid w:val="5A586696"/>
    <w:rsid w:val="65E14258"/>
    <w:rsid w:val="6DE7B358"/>
    <w:rsid w:val="71F4C1F6"/>
    <w:rsid w:val="794F4180"/>
    <w:rsid w:val="796F7054"/>
    <w:rsid w:val="9EF77406"/>
    <w:rsid w:val="B7EE789C"/>
    <w:rsid w:val="EE5B7F3A"/>
    <w:rsid w:val="FF3E71F2"/>
    <w:rsid w:val="FFD3D6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Body Text First Indent 2"/>
    <w:basedOn w:val="3"/>
    <w:unhideWhenUsed/>
    <w:qFormat/>
    <w:uiPriority w:val="99"/>
    <w:pPr>
      <w:spacing w:before="100" w:beforeAutospacing="1" w:after="0"/>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3e9c595f-7d11-439b-8ccf-94cb08eed4dd</errorID>
      <errorWord>-</errorWord>
      <group>L1_Format</group>
      <groupName>格式问题</groupName>
      <ability>L2_HalfPunc_CN</ability>
      <abilityName>全半角检查</abilityName>
      <candidateList>
        <item>－</item>
      </candidateList>
      <explain>文本全半角错误。</explain>
      <paraID>31757195</paraID>
      <start>52</start>
      <end>53</end>
      <status>unmodified</status>
      <modifiedWord/>
      <trackRevisions>false</trackRevisions>
    </reviewItem>
    <reviewItem>
      <errorID>2452fc8d-75aa-49c9-8980-0875167c195d</errorID>
      <errorWord>-</errorWord>
      <group>L1_Format</group>
      <groupName>格式问题</groupName>
      <ability>L2_HalfPunc_CN</ability>
      <abilityName>全半角检查</abilityName>
      <candidateList>
        <item>－</item>
      </candidateList>
      <explain>文本全半角错误。</explain>
      <paraID>31757195</paraID>
      <start>55</start>
      <end>56</end>
      <status>unmodified</status>
      <modifiedWord/>
      <trackRevisions>false</trackRevisions>
    </reviewItem>
  </reviewItems>
  <config/>
</contractReview>
</file>

<file path=customXml/itemProps1.xml><?xml version="1.0" encoding="utf-8"?>
<ds:datastoreItem xmlns:ds="http://schemas.openxmlformats.org/officeDocument/2006/customXml" ds:itemID="{fa7e80ca-ddaa-4bf2-b7e8-52ea4ecc9ce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1829</Words>
  <Characters>1846</Characters>
  <Lines>0</Lines>
  <Paragraphs>0</Paragraphs>
  <TotalTime>1</TotalTime>
  <ScaleCrop>false</ScaleCrop>
  <LinksUpToDate>false</LinksUpToDate>
  <CharactersWithSpaces>1904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2026-01-31T11:10:00Z</dcterms:created>
  <dc:creator>greatwall</dc:creator>
  <cp:lastModifiedBy>哈哈哈哈哈</cp:lastModifiedBy>
  <dcterms:modified xsi:type="dcterms:W3CDTF">2026-07-23T08:35:42Z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CD6B7929AAB24B8FB35EA1B9C0DE000A_13</vt:lpwstr>
  </property>
  <property fmtid="{D5CDD505-2E9C-101B-9397-08002B2CF9AE}" pid="4" name="KSOTemplateDocerSaveRecord">
    <vt:lpwstr>eyJoZGlkIjoiMjk4N2FmYjkwMTIyYjM1ZmFhOWU3YWJhYzNlMzAzOGMiLCJ1c2VySWQiOiI1Mzg4Mzc1NDUifQ==</vt:lpwstr>
  </property>
</Properties>
</file>