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E89150">
      <w:pPr>
        <w:jc w:val="right"/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（A）</w:t>
      </w:r>
    </w:p>
    <w:p w14:paraId="3407FB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对盂县第十七届人大</w:t>
      </w:r>
      <w:r>
        <w:rPr>
          <w:rFonts w:hint="eastAsia" w:ascii="仿宋" w:hAnsi="仿宋" w:eastAsia="仿宋" w:cs="仿宋"/>
          <w:sz w:val="36"/>
          <w:szCs w:val="36"/>
          <w:highlight w:val="none"/>
          <w:lang w:val="en-US" w:eastAsia="zh-CN"/>
        </w:rPr>
        <w:t>六次会议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第23号建议的答复</w:t>
      </w:r>
    </w:p>
    <w:p w14:paraId="20CA9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C215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南秀斌、魏星代表：</w:t>
      </w:r>
    </w:p>
    <w:p w14:paraId="310D48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您提出的关于《加快农产品加工业高质量发展赋能乡村振兴》的提案收悉，经认真研究，现答复如下：</w:t>
      </w:r>
    </w:p>
    <w:p w14:paraId="0EE88E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一、强化政策赋能，构建全链条支持体系</w:t>
      </w:r>
    </w:p>
    <w:p w14:paraId="778998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我县严格落实山西省农产品加工业高质量发展六大行动，围绕农产品初加工、精深加工、综合利用加工全链条，统筹政策、资金、项目、要素协同发力。积极落实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省级层面每年安排的贷款贴息、奖补资金及产业发展基金等政策，重点支持农产品加工园区建设、龙头企业培育、设施装备提升等。立足资源禀赋，依据《阳泉市富硒产业发展规划（2022—2030年）》，将富硒农产品加工作为我县农业转型和乡村振兴的重要抓手，积极争取专项资金给予支持。</w:t>
      </w:r>
    </w:p>
    <w:p w14:paraId="67F137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同时，强化财政奖补、金融支持、用地保障联动，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对新认定省市级农业产业化龙头企业给予奖补支持，落实省级贷款贴息政策；推行存量与增量用地统筹调度的综合供地模式，探索建立重大产业项目用地遴选机制，保障项目用地需求；县主要领导主持召开政银企对接座谈会，持续优化营商环境，为银企合作开辟“绿色通道”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全力构建覆盖产前、产中、产后的全链条政策支持体系。</w:t>
      </w:r>
    </w:p>
    <w:p w14:paraId="0E8B7A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二、聚焦科技驱动，提升产业核心竞争力</w:t>
      </w:r>
    </w:p>
    <w:p w14:paraId="1641C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highlight w:val="none"/>
          <w:lang w:val="en-US" w:eastAsia="zh-CN"/>
        </w:rPr>
        <w:t>深入实施种业振兴行动，聚焦本地优势杂粮、黑山羊等特色品种，建设农作物品种展示示范基地和种畜禽繁育基地，在良种选育、繁育、推广等方面实现新突破。实施农产品加工科技创新升级行动，着力攻关农产品生物发酵、成分提取、智能生产工艺等精深加工技术，做好特色农产品的工业化转化。加强与农业类高等院校、徐明岗院士工作站等科研院校及高端创新平台深化合作，建立“产学研用”精准对接机制，加大农业技术创新推广，支持农业科技研究机构在盂县设立试验田、实验基地，持续推动农业技术试验示范与推广应用，加快关键核心技术攻关和落地转化。实施农技人员“特聘计划”，构建县域现代农业产业技术体系、农技推广体系和农科人才培养体系。大力实施“互联网+”现代农业，发挥智慧农业数字信息化综合平台网络作用，运用环境监测、农机作业监测、遥感农情监测等数字信息，扩大“5G+”智慧种植、智慧养殖等应用场景。加快推动物联网、云计算、大数据、移动互联等技术在农业生产、经营、服务领域的应用。</w:t>
      </w:r>
    </w:p>
    <w:p w14:paraId="7F8F89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黑体" w:hAnsi="黑体" w:eastAsia="黑体" w:cs="黑体"/>
          <w:strike w:val="0"/>
          <w:dstrike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trike w:val="0"/>
          <w:dstrike w:val="0"/>
          <w:sz w:val="32"/>
          <w:szCs w:val="32"/>
          <w:highlight w:val="none"/>
          <w:lang w:val="en-US" w:eastAsia="zh-CN"/>
        </w:rPr>
        <w:t>三、延伸产业链条，打造“兴村共富链”</w:t>
      </w:r>
    </w:p>
    <w:p w14:paraId="3876E3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highlight w:val="none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highlight w:val="none"/>
          <w:lang w:val="en-US" w:eastAsia="zh-CN"/>
        </w:rPr>
        <w:t>我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highlight w:val="none"/>
          <w:lang w:val="en-US" w:eastAsia="zh-CN"/>
        </w:rPr>
        <w:t>县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highlight w:val="none"/>
          <w:lang w:val="en-US" w:eastAsia="zh-CN"/>
        </w:rPr>
        <w:t>紧扣山西省农产品精深加工十大产业集群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highlight w:val="none"/>
          <w:lang w:val="en-US" w:eastAsia="zh-CN"/>
        </w:rPr>
        <w:t>等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highlight w:val="none"/>
          <w:lang w:val="en-US" w:eastAsia="zh-CN"/>
        </w:rPr>
        <w:t>建设要求，以延链、补链、强链为主攻方向，全力打造联农带农“兴村共富链”。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highlight w:val="none"/>
          <w:u w:val="none"/>
          <w:lang w:val="en-US" w:eastAsia="zh-CN"/>
        </w:rPr>
        <w:t>大力培育农业产业化联合体，支持建设农业产业强镇、优势特色产业集群，推动“原料基地+加工车间+物流配送”融合发展。推动农产品由初加工向精深加工延伸，开发富硒功能食品、休闲食品、药茶饮品等高附加值产品；培育壮大加工龙头企业、农民专业合作社、家庭农场等经营主体，健全订单农业、保底分红等利益联结机制，让小农户更多分享产业链增值收益，实现产业增效、农民增收、乡村增富。</w:t>
      </w:r>
    </w:p>
    <w:p w14:paraId="2CC996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黑体" w:hAnsi="黑体" w:eastAsia="黑体" w:cs="黑体"/>
          <w:strike w:val="0"/>
          <w:dstrike w:val="0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trike w:val="0"/>
          <w:dstrike w:val="0"/>
          <w:sz w:val="32"/>
          <w:szCs w:val="32"/>
          <w:highlight w:val="none"/>
          <w:u w:val="none"/>
          <w:lang w:val="en-US" w:eastAsia="zh-CN"/>
        </w:rPr>
        <w:t>四、强化品牌培育，拓宽市场开拓渠道</w:t>
      </w:r>
    </w:p>
    <w:p w14:paraId="3B5E78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highlight w:val="none"/>
          <w:u w:val="none"/>
          <w:lang w:val="en-US" w:eastAsia="zh-CN"/>
        </w:rPr>
        <w:t>我县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highlight w:val="none"/>
          <w:u w:val="none"/>
          <w:lang w:val="en-US" w:eastAsia="zh-CN"/>
        </w:rPr>
        <w:t>持续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highlight w:val="none"/>
          <w:u w:val="none"/>
          <w:lang w:val="en-US" w:eastAsia="zh-CN"/>
        </w:rPr>
        <w:t>鼓励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highlight w:val="none"/>
          <w:u w:val="none"/>
          <w:lang w:val="en-US" w:eastAsia="zh-CN"/>
        </w:rPr>
        <w:t>绿色、有机、地理标志农产品认证，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highlight w:val="none"/>
          <w:u w:val="none"/>
          <w:lang w:val="en-US" w:eastAsia="zh-CN"/>
        </w:rPr>
        <w:t>引导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highlight w:val="none"/>
          <w:u w:val="none"/>
          <w:lang w:val="en-US" w:eastAsia="zh-CN"/>
        </w:rPr>
        <w:t>企业参加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highlight w:val="none"/>
          <w:u w:val="none"/>
          <w:lang w:val="en-US" w:eastAsia="zh-CN"/>
        </w:rPr>
        <w:t>省市县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highlight w:val="none"/>
          <w:u w:val="none"/>
          <w:lang w:val="en-US" w:eastAsia="zh-CN"/>
        </w:rPr>
        <w:t>组织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highlight w:val="none"/>
          <w:u w:val="none"/>
          <w:lang w:val="en-US" w:eastAsia="zh-CN"/>
        </w:rPr>
        <w:t>的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highlight w:val="none"/>
          <w:u w:val="none"/>
          <w:lang w:val="en-US" w:eastAsia="zh-CN"/>
        </w:rPr>
        <w:t>各类展会和产销对接活动，拓展京津冀、长三角、粤港澳大湾区等重点市场。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highlight w:val="none"/>
          <w:u w:val="none"/>
          <w:lang w:val="en-US" w:eastAsia="zh-CN"/>
        </w:rPr>
        <w:t>深度融入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highlight w:val="none"/>
          <w:u w:val="none"/>
          <w:lang w:val="en-US" w:eastAsia="zh-CN"/>
        </w:rPr>
        <w:t>“阳泉硒品”区域公用品牌，构建“区域公用品牌+企业品牌+产品品牌”矩阵，培育一批“山西精品”和市场认可度高的特色产品；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highlight w:val="none"/>
          <w:u w:val="none"/>
          <w:lang w:val="en-US" w:eastAsia="zh-CN"/>
        </w:rPr>
        <w:t>调动企业对接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highlight w:val="none"/>
          <w:u w:val="none"/>
          <w:lang w:val="en-US" w:eastAsia="zh-CN"/>
        </w:rPr>
        <w:t>市级富硒农产品展销中心，大力发展电商直播、线上展销、社区团购、省外直营店等新模式，推进农产品“五进”行动，不断提升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highlight w:val="none"/>
          <w:u w:val="none"/>
          <w:lang w:val="en-US" w:eastAsia="zh-CN"/>
        </w:rPr>
        <w:t>盂县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highlight w:val="none"/>
          <w:u w:val="none"/>
          <w:lang w:val="en-US" w:eastAsia="zh-CN"/>
        </w:rPr>
        <w:t>优质农产品知名度、美誉度和市场占有率。</w:t>
      </w:r>
    </w:p>
    <w:p w14:paraId="635A12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黑体" w:hAnsi="黑体" w:eastAsia="黑体" w:cs="黑体"/>
          <w:strike w:val="0"/>
          <w:dstrike w:val="0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trike w:val="0"/>
          <w:dstrike w:val="0"/>
          <w:sz w:val="32"/>
          <w:szCs w:val="32"/>
          <w:highlight w:val="none"/>
          <w:u w:val="none"/>
          <w:lang w:val="en-US" w:eastAsia="zh-CN"/>
        </w:rPr>
        <w:t>五、破解发展瓶颈，强化人才与服务保障</w:t>
      </w:r>
    </w:p>
    <w:p w14:paraId="725586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highlight w:val="yellow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highlight w:val="none"/>
          <w:u w:val="none"/>
          <w:lang w:val="en-US" w:eastAsia="zh-CN"/>
        </w:rPr>
        <w:t>我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highlight w:val="none"/>
          <w:u w:val="none"/>
          <w:lang w:val="en-US" w:eastAsia="zh-CN"/>
        </w:rPr>
        <w:t>县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highlight w:val="none"/>
          <w:u w:val="none"/>
          <w:lang w:val="en-US" w:eastAsia="zh-CN"/>
        </w:rPr>
        <w:t>紧盯农产品加工业发展中的人才短缺、要素制约、服务不足等瓶颈问题，强化系统保障、精准施策。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highlight w:val="none"/>
          <w:u w:val="none"/>
          <w:lang w:val="en-US" w:eastAsia="zh-CN"/>
        </w:rPr>
        <w:t>积极宣传省市对企业人才引进的奖补政策，不定期对龙头企业内各类职称技术人才与高学历人才进行摸底。实施农技人员“特聘计划”，构建县域现代农业产业技术体系、农技推广体系和农科人才培养体系，积极开展职业技能培训，促进农民从简单提供劳动力向提供技术和技能转变。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highlight w:val="none"/>
          <w:u w:val="none"/>
          <w:lang w:val="en-US" w:eastAsia="zh-CN"/>
        </w:rPr>
        <w:t>着力解决企业融资难、用地难、用工难、销售难等问题，为农产品加工业高质量发展提供坚实支撑。</w:t>
      </w:r>
    </w:p>
    <w:p w14:paraId="47F3D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下一步，我们将继续认真吸纳您的宝贵建议，全面对标省市工作部署，以更大力度、更实举措推动农产品加工业规模化、标准化、品牌化、数字化、融合化发展，持续做强特色产业、延伸产业链条、提升综合效益，为全面推进乡村振兴、加快农业农村现代化提供更强有力的产业支撑。</w:t>
      </w:r>
    </w:p>
    <w:p w14:paraId="428CC4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再次感谢您对“三农”工作的关心和支持，欢迎今后多提宝贵意见建议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11DC37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735379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6D5815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 w14:paraId="252162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30" w:rightChars="300" w:firstLine="641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盂县农业农村局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hMTQ4MjMzZGFkZGY0OGE5ZTFkMjk4ZWIwODhkMTgifQ=="/>
  </w:docVars>
  <w:rsids>
    <w:rsidRoot w:val="00000000"/>
    <w:rsid w:val="08850B9A"/>
    <w:rsid w:val="09486EF1"/>
    <w:rsid w:val="102B03CB"/>
    <w:rsid w:val="13B06B31"/>
    <w:rsid w:val="1DCE6586"/>
    <w:rsid w:val="229D6F1A"/>
    <w:rsid w:val="27176113"/>
    <w:rsid w:val="28526B1F"/>
    <w:rsid w:val="34660977"/>
    <w:rsid w:val="38374F39"/>
    <w:rsid w:val="42FD7A03"/>
    <w:rsid w:val="5FF80E90"/>
    <w:rsid w:val="67E1505B"/>
    <w:rsid w:val="696B6D5F"/>
    <w:rsid w:val="75465EEF"/>
    <w:rsid w:val="78281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489151b9-0a37-4ada-8244-702e898687f4</errorID>
      <errorWord>（</errorWord>
      <group>L1_Format</group>
      <groupName>格式问题</groupName>
      <ability>L2_HalfPunc_CN</ability>
      <abilityName>全半角检查</abilityName>
      <candidateList>
        <item>(</item>
      </candidateList>
      <explain>文本全半角错误。</explain>
      <paraID>65E89150</paraID>
      <start>0</start>
      <end>1</end>
      <status>unmodified</status>
      <modifiedWord/>
      <trackRevisions>false</trackRevisions>
    </reviewItem>
    <reviewItem>
      <errorID>9a73289c-9f23-489c-b740-d3f4fb94f08b</errorID>
      <errorWord>）</errorWord>
      <group>L1_Format</group>
      <groupName>格式问题</groupName>
      <ability>L2_HalfPunc_CN</ability>
      <abilityName>全半角检查</abilityName>
      <candidateList>
        <item>)</item>
      </candidateList>
      <explain>文本全半角错误。</explain>
      <paraID>65E89150</paraID>
      <start>2</start>
      <end>3</end>
      <status>unmodified</status>
      <modifiedWord/>
      <trackRevisions>false</trackRevisions>
    </reviewItem>
    <reviewItem>
      <errorID>25ef5ed9-5a35-4ed6-b8f3-cf80b777016b</errorID>
      <errorWord>金</errorWord>
      <group>L1_Word</group>
      <groupName>字词问题</groupName>
      <ability>L2_Typo</ability>
      <abilityName>字词错误</abilityName>
      <candidateList>
        <item>金给</item>
      </candidateList>
      <explain/>
      <paraID>778998E6</paraID>
      <start>198</start>
      <end>200</end>
      <status>modified</status>
      <modifiedWord>金给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2091cafe-a7cc-4ca2-bb3a-a1db78922c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1814</Words>
  <Characters>1837</Characters>
  <Lines>0</Lines>
  <Paragraphs>0</Paragraphs>
  <TotalTime>14</TotalTime>
  <ScaleCrop>false</ScaleCrop>
  <LinksUpToDate>false</LinksUpToDate>
  <CharactersWithSpaces>1884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2023-06-14T12:19:00Z</dcterms:created>
  <dc:creator>admin</dc:creator>
  <cp:lastModifiedBy>哈哈哈哈哈</cp:lastModifiedBy>
  <dcterms:modified xsi:type="dcterms:W3CDTF">2026-07-23T07:58:35Z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6D233E2BE1F04C3489A0F2E8D3AEE271_12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