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8350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righ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 w14:paraId="3FC43AC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default"/>
        </w:rPr>
      </w:pPr>
      <w:r>
        <w:t>关于对县</w:t>
      </w:r>
      <w:r>
        <w:rPr>
          <w:rFonts w:hint="default"/>
        </w:rPr>
        <w:t>十</w:t>
      </w:r>
      <w:r>
        <w:rPr>
          <w:rFonts w:hint="eastAsia"/>
          <w:lang w:val="en-US" w:eastAsia="zh-CN"/>
        </w:rPr>
        <w:t>七</w:t>
      </w:r>
      <w:r>
        <w:rPr>
          <w:rFonts w:hint="default"/>
        </w:rPr>
        <w:t>届人大</w:t>
      </w:r>
      <w:r>
        <w:rPr>
          <w:rFonts w:hint="eastAsia"/>
          <w:lang w:val="en-US" w:eastAsia="zh-CN"/>
        </w:rPr>
        <w:t>四</w:t>
      </w:r>
      <w:r>
        <w:rPr>
          <w:rFonts w:hint="default"/>
        </w:rPr>
        <w:t>次会议</w:t>
      </w:r>
      <w:r>
        <w:rPr>
          <w:rFonts w:hint="eastAsia"/>
          <w:lang w:val="en-US" w:eastAsia="zh-CN"/>
        </w:rPr>
        <w:t>第13号</w:t>
      </w:r>
      <w:r>
        <w:rPr>
          <w:rFonts w:hint="default"/>
        </w:rPr>
        <w:t>建议的答复</w:t>
      </w:r>
    </w:p>
    <w:p w14:paraId="12C393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刘保卿代表：</w:t>
      </w:r>
    </w:p>
    <w:p w14:paraId="35077E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关于您在县十七届人大四次会议上提出的《关于加快盂县供销社综合改革发展》的建议收悉。经盂县供销社认真研究办理，现答复如下：</w:t>
      </w:r>
    </w:p>
    <w:p w14:paraId="615870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供销社综合改革是党中央、国务院着眼于全面深化农村改革、加快推进农业现代化作出的重要部署，是深入贯彻落实习近平总书记重要指示批示精神的重要举措，该工作既是社会关注的热点，也是我县供销社工作的重点。2024年，盂县供销社按照县委、县政府的经济工作要求，对照省、市供销社下达的重点任务，建设农业社会化服务中心等工作，凝心聚力、开拓进取，着力提升全县供销系统为农服务能力和水平，持续推动供销社综合改革工作向纵深推进，全方位助力乡村振兴。</w:t>
      </w:r>
    </w:p>
    <w:p w14:paraId="3E79514C">
      <w:pPr>
        <w:keepNext w:val="0"/>
        <w:keepLines w:val="0"/>
        <w:pageBreakBefore w:val="0"/>
        <w:widowControl w:val="0"/>
        <w:kinsoku w:val="0"/>
        <w:wordWrap/>
        <w:overflowPunct/>
        <w:topLinePunct/>
        <w:autoSpaceDE w:val="0"/>
        <w:autoSpaceDN w:val="0"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5月，盂县供销社汇农农业服务有限公司成立，标志着盂县供销社农业社会化惠农服务中心正式投入运营。该中心位于盂县牛村镇温池村，区位优越、交通便利，紧邻314省道和阳五高速盂县东出口，是盂县供销社全资打造的“高标准、规范化、专业化”的农业社会化为农服务综合平台。中心占地面积10.5亩，注册资金50万元，争取省级培育壮大工程资金52万元，总投资200余万元。经营范围涵盖农业机械销售与服务、农业机械租赁、农业技术咨询培训等多个领域。</w:t>
      </w:r>
    </w:p>
    <w:p w14:paraId="78CE2E3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农业机械设备方面</w:t>
      </w:r>
    </w:p>
    <w:p w14:paraId="4DD7169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中心购置了轮式拖拉机、旋耕机、播种机、收割机、无人机及农业综合检测设备等一系列先进的农业机械设备，形成了集农资储备直供、农机作业、飞防作业、统防统治、良种推广、农情监测、测土配方施肥、农技培训、土地托管、农产品仓储保鲜等功能于一体的闭环式农业社会化服务体系。</w:t>
      </w:r>
    </w:p>
    <w:p w14:paraId="018A3E6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二、农业技术和服务方面</w:t>
      </w:r>
    </w:p>
    <w:p w14:paraId="22BA35C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中心组建了农资销售、技术培训、农机服务三支专业团队，积极推广有机肥、水溶肥、高含量复合肥及高效低残留农药的使用。同时整合全系统13个乡镇级服务站和146个村级服务点，服务区域辐射全县行政村，打通了为农服务的最末端。中心与专业合作社、新型经营主体及农户签订了合作协议，提供大田托管、代耕代种、统防统治、订单农业等多元化服务，并实施了绿色、环保农资保供行动，有效解决了农户在技术和劳动力方面的难题，为“谁来种地”和“地怎么种”的问题提供了创新性的解决方案。自春夏以来，中心已承担了包括财政农业社会化一喷多促、单产提升、抗旱救灾等在内的21万亩项目。根据盂县农业生产托管服务试点工作实施方案，中心成功中标托管土地3000亩，每亩补助40元（其中本项目补助40元，其他环节补助120元未计入此数），项目补助涵盖玉米机收+运输和2025年春季旋耕两个环节，托管作业计划将于2024年10月至2025年5月底全面完成。</w:t>
      </w:r>
    </w:p>
    <w:p w14:paraId="342E88A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textAlignment w:val="auto"/>
        <w:rPr>
          <w:rFonts w:hint="default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三、农产品冷链物流体系建设方面</w:t>
      </w:r>
    </w:p>
    <w:p w14:paraId="4248143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农产品冷链物流体系建设工程于7月29日开始施工，现已建成1个总面积达300立方米的冷库，包含冷藏和冷冻区域各150立方米，为农产品的保鲜和储存提供了有力保障。</w:t>
      </w:r>
    </w:p>
    <w:p w14:paraId="64B20F0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截至目前，中心共销售化肥11286吨、种子3万亩、农药200吨、地膜300吨、喷防3万亩，全县农业社会化服务面积已累计达到30万亩次，为农业现代化进程注入了新的活力。       </w:t>
      </w:r>
    </w:p>
    <w:p w14:paraId="014033F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 w14:paraId="56C6F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再次感谢您对供销合作社工作的重视和关心。</w:t>
      </w:r>
    </w:p>
    <w:p w14:paraId="01ADA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特此函复。</w:t>
      </w:r>
    </w:p>
    <w:p w14:paraId="1ED92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</w:p>
    <w:p w14:paraId="48AF88B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</w:p>
    <w:p w14:paraId="48C9E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 xml:space="preserve">       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盂县供销社</w:t>
      </w:r>
    </w:p>
    <w:p w14:paraId="6DD8B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80" w:firstLineChars="1400"/>
        <w:textAlignment w:val="auto"/>
        <w:rPr>
          <w:rFonts w:hint="eastAsia" w:ascii="方正仿宋_GBK" w:hAnsi="方正仿宋_GBK" w:eastAsia="方正仿宋_GBK" w:cs="方正仿宋_GBK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lang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lang w:val="en-US" w:eastAsia="zh-CN"/>
        </w:rPr>
        <w:t>2</w:t>
      </w:r>
      <w:r>
        <w:rPr>
          <w:rFonts w:hint="eastAsia" w:ascii="方正仿宋_GBK" w:hAnsi="方正仿宋_GBK" w:cs="方正仿宋_GBK"/>
          <w:sz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</w:rPr>
        <w:t>年</w:t>
      </w:r>
      <w:r>
        <w:rPr>
          <w:rFonts w:hint="eastAsia" w:ascii="方正仿宋_GBK" w:hAnsi="方正仿宋_GBK" w:cs="方正仿宋_GBK"/>
          <w:sz w:val="32"/>
          <w:lang w:eastAsia="zh-CN"/>
        </w:rPr>
        <w:t>10月20日</w:t>
      </w:r>
    </w:p>
    <w:p w14:paraId="6B2BDE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DEA66AE"/>
    <w:rsid w:val="0DEA66AE"/>
    <w:rsid w:val="0E1F572C"/>
    <w:rsid w:val="17A71E25"/>
    <w:rsid w:val="1907172C"/>
    <w:rsid w:val="1BC87896"/>
    <w:rsid w:val="1DE008F5"/>
    <w:rsid w:val="2B56424F"/>
    <w:rsid w:val="2E8203DE"/>
    <w:rsid w:val="33601B60"/>
    <w:rsid w:val="47E768CE"/>
    <w:rsid w:val="49155047"/>
    <w:rsid w:val="56EB1E9C"/>
    <w:rsid w:val="588372B6"/>
    <w:rsid w:val="5AD00DCE"/>
    <w:rsid w:val="6F4D5FFA"/>
    <w:rsid w:val="77C90413"/>
    <w:rsid w:val="7B4A1E99"/>
    <w:rsid w:val="7DFC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eastAsia="方正仿宋_GBK" w:asciiTheme="minorAscii" w:hAnsiTheme="minorAsci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方正小标宋_GBK"/>
      <w:b/>
      <w:kern w:val="44"/>
      <w:sz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Arial" w:hAnsi="Arial" w:eastAsia="方正黑体_GBK" w:cs="Times New Roman"/>
      <w:b/>
      <w:sz w:val="32"/>
      <w:szCs w:val="2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60" w:lineRule="exact"/>
      <w:outlineLvl w:val="2"/>
    </w:pPr>
    <w:rPr>
      <w:rFonts w:eastAsia="方正楷体_GBK" w:asciiTheme="minorAscii" w:hAnsiTheme="minorAscii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9">
    <w:name w:val="标题 2 Char"/>
    <w:link w:val="3"/>
    <w:autoRedefine/>
    <w:qFormat/>
    <w:uiPriority w:val="0"/>
    <w:rPr>
      <w:rFonts w:ascii="Arial" w:hAnsi="Arial" w:eastAsia="方正黑体_GBK" w:cs="Times New Roman"/>
      <w:b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1266</Words>
  <Characters>1329</Characters>
  <Lines>0</Lines>
  <Paragraphs>0</Paragraphs>
  <TotalTime>1</TotalTime>
  <ScaleCrop>false</ScaleCrop>
  <LinksUpToDate>false</LinksUpToDate>
  <CharactersWithSpaces>1361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2024-10-31T01:39:00Z</dcterms:created>
  <dc:creator>微风</dc:creator>
  <cp:lastModifiedBy>赵瑞</cp:lastModifiedBy>
  <cp:lastPrinted>2024-10-31T02:17:00Z</cp:lastPrinted>
  <dcterms:modified xsi:type="dcterms:W3CDTF">2024-11-15T02:30:21Z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EFE54E50D2A4405F94EF275DDCC1F43F_13</vt:lpwstr>
  </property>
</Properties>
</file>