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753"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3393"/>
        <w:gridCol w:w="963"/>
        <w:gridCol w:w="691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63" w:type="dxa"/>
            <w:gridSpan w:val="5"/>
            <w:noWrap w:val="0"/>
            <w:vAlign w:val="center"/>
          </w:tcPr>
          <w:p>
            <w:pPr>
              <w:widowControl w:val="0"/>
              <w:tabs>
                <w:tab w:val="left" w:pos="5020"/>
              </w:tabs>
              <w:jc w:val="center"/>
              <w:rPr>
                <w:rFonts w:hint="default" w:ascii="仿宋" w:hAnsi="仿宋" w:eastAsia="仿宋" w:cs="仿宋"/>
                <w:b/>
                <w:bCs/>
                <w:sz w:val="21"/>
                <w:szCs w:val="21"/>
                <w:lang w:val="en-US" w:eastAsia="zh-CN"/>
              </w:rPr>
            </w:pPr>
            <w:r>
              <w:rPr>
                <w:rFonts w:hint="eastAsia" w:ascii="仿宋" w:hAnsi="仿宋" w:eastAsia="仿宋" w:cs="仿宋"/>
                <w:b/>
                <w:bCs/>
                <w:sz w:val="44"/>
                <w:szCs w:val="44"/>
                <w:lang w:val="en-US" w:eastAsia="zh-CN"/>
              </w:rPr>
              <w:t>东梁乡涉企执法事项清单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2" w:type="dxa"/>
            <w:noWrap w:val="0"/>
            <w:vAlign w:val="center"/>
          </w:tcPr>
          <w:p>
            <w:pPr>
              <w:widowControl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序号</w:t>
            </w:r>
          </w:p>
        </w:tc>
        <w:tc>
          <w:tcPr>
            <w:tcW w:w="3393" w:type="dxa"/>
            <w:noWrap w:val="0"/>
            <w:vAlign w:val="center"/>
          </w:tcPr>
          <w:p>
            <w:pPr>
              <w:widowControl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职权名称</w:t>
            </w:r>
          </w:p>
        </w:tc>
        <w:tc>
          <w:tcPr>
            <w:tcW w:w="963" w:type="dxa"/>
            <w:noWrap w:val="0"/>
            <w:vAlign w:val="center"/>
          </w:tcPr>
          <w:p>
            <w:pPr>
              <w:widowControl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职权类型</w:t>
            </w:r>
          </w:p>
        </w:tc>
        <w:tc>
          <w:tcPr>
            <w:tcW w:w="6912" w:type="dxa"/>
            <w:noWrap w:val="0"/>
            <w:vAlign w:val="center"/>
          </w:tcPr>
          <w:p>
            <w:pPr>
              <w:widowControl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职权依据</w:t>
            </w:r>
          </w:p>
        </w:tc>
        <w:tc>
          <w:tcPr>
            <w:tcW w:w="1723" w:type="dxa"/>
            <w:noWrap w:val="0"/>
            <w:vAlign w:val="center"/>
          </w:tcPr>
          <w:p>
            <w:pPr>
              <w:widowControl w:val="0"/>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1</w:t>
            </w:r>
          </w:p>
        </w:tc>
        <w:tc>
          <w:tcPr>
            <w:tcW w:w="33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对本辖区内煤、铁、焦炭等重点货运源头单位的监督管理</w:t>
            </w:r>
          </w:p>
        </w:tc>
        <w:tc>
          <w:tcPr>
            <w:tcW w:w="9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行政检查</w:t>
            </w:r>
          </w:p>
        </w:tc>
        <w:tc>
          <w:tcPr>
            <w:tcW w:w="69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《山西省治理道路货物运输源头超限超载办法》（山西省人民政府令301号）第四条</w:t>
            </w:r>
          </w:p>
        </w:tc>
        <w:tc>
          <w:tcPr>
            <w:tcW w:w="17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33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对消防安全的检查</w:t>
            </w:r>
          </w:p>
        </w:tc>
        <w:tc>
          <w:tcPr>
            <w:tcW w:w="9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行政检查</w:t>
            </w:r>
          </w:p>
        </w:tc>
        <w:tc>
          <w:tcPr>
            <w:tcW w:w="69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《中华人民共和国消防法》（2021年修正）第三十一条、第三十二条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《山西省消防安全责任制实施办法》（2020年省政府令第267号）第八条</w:t>
            </w:r>
          </w:p>
        </w:tc>
        <w:tc>
          <w:tcPr>
            <w:tcW w:w="17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33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指导、监督、检查宗教活动场所</w:t>
            </w:r>
          </w:p>
        </w:tc>
        <w:tc>
          <w:tcPr>
            <w:tcW w:w="9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行政检查</w:t>
            </w:r>
          </w:p>
        </w:tc>
        <w:tc>
          <w:tcPr>
            <w:tcW w:w="69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《宗教事务条例》（2004年国务院令第426号，2017年修订）第二十六条</w:t>
            </w:r>
          </w:p>
        </w:tc>
        <w:tc>
          <w:tcPr>
            <w:tcW w:w="17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472" w:type="dxa"/>
            <w:noWrap w:val="0"/>
            <w:vAlign w:val="center"/>
          </w:tcPr>
          <w:p>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4</w:t>
            </w:r>
          </w:p>
        </w:tc>
        <w:tc>
          <w:tcPr>
            <w:tcW w:w="3393" w:type="dxa"/>
            <w:noWrap w:val="0"/>
            <w:vAlign w:val="center"/>
          </w:tcPr>
          <w:p>
            <w:pPr>
              <w:spacing w:before="68" w:line="224" w:lineRule="auto"/>
              <w:ind w:left="41" w:leftChars="0" w:right="109" w:rightChars="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z w:val="21"/>
                <w:szCs w:val="21"/>
              </w:rPr>
              <w:t>对拒绝现场检查或被检查时弄虚作假的行为的</w:t>
            </w:r>
            <w:r>
              <w:rPr>
                <w:rFonts w:hint="eastAsia" w:ascii="仿宋" w:hAnsi="仿宋" w:eastAsia="仿宋" w:cs="仿宋"/>
                <w:sz w:val="21"/>
                <w:szCs w:val="21"/>
                <w:lang w:val="en-US" w:eastAsia="zh-CN"/>
              </w:rPr>
              <w:t>处</w:t>
            </w:r>
            <w:r>
              <w:rPr>
                <w:rFonts w:hint="eastAsia" w:ascii="仿宋" w:hAnsi="仿宋" w:eastAsia="仿宋" w:cs="仿宋"/>
                <w:spacing w:val="31"/>
                <w:sz w:val="21"/>
                <w:szCs w:val="21"/>
              </w:rPr>
              <w:t>罚</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《中华人民共和国水污染防治法》第八十一条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《中华人民共和国大气污染防治法》第九十八条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《中华人民共和国固体废物污染环境防治法》第一百零三条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《中华人民共和国环境噪声污染防治法》第五十五条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《中华人民共和国放射性污染防治法》第四十九条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《医疗废物管理条例》(国务院令第380号)第五十条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《放射性废物安全管理条例》(国务院令第612号)第四十一条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《医疗废物管理行政处罚办法(试行)》(2004年国家环境保护总局令第21号，2010年修正)第十二条</w:t>
            </w:r>
          </w:p>
          <w:p>
            <w:pPr>
              <w:widowControl w:val="0"/>
              <w:kinsoku/>
              <w:autoSpaceDE/>
              <w:autoSpaceDN/>
              <w:adjustRightInd/>
              <w:snapToGrid/>
              <w:spacing w:line="240" w:lineRule="auto"/>
              <w:jc w:val="center"/>
              <w:textAlignment w:val="auto"/>
              <w:rPr>
                <w:rFonts w:hint="eastAsia" w:ascii="仿宋" w:hAnsi="仿宋" w:eastAsia="仿宋" w:cs="仿宋"/>
                <w:spacing w:val="15"/>
                <w:kern w:val="2"/>
                <w:sz w:val="21"/>
                <w:szCs w:val="21"/>
                <w:lang w:val="en-US" w:eastAsia="zh-CN" w:bidi="ar-SA"/>
              </w:rPr>
            </w:pPr>
            <w:r>
              <w:rPr>
                <w:rFonts w:hint="eastAsia" w:ascii="仿宋" w:hAnsi="仿宋" w:eastAsia="仿宋" w:cs="仿宋"/>
                <w:snapToGrid/>
                <w:kern w:val="2"/>
                <w:szCs w:val="24"/>
                <w:lang w:val="en-US" w:eastAsia="zh-CN" w:bidi="ar-SA"/>
              </w:rPr>
              <w:t>《电子废物污染环境防治管理办法》(2007年国家环境保护总局令第40 号)第十九条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5" w:line="183" w:lineRule="auto"/>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sz w:val="21"/>
                <w:szCs w:val="21"/>
                <w:lang w:val="en-US" w:eastAsia="zh-CN"/>
              </w:rPr>
              <w:t>5</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 w:val="18"/>
                <w:szCs w:val="21"/>
                <w:lang w:val="en-US" w:eastAsia="zh-CN" w:bidi="ar-SA"/>
              </w:rPr>
              <w:t>对从业人员安全培训的时间少于《生产经营单位安全培训规定》或者有关标准规定的，相关人员未按规定重新参加安全培训的行为的处罚</w:t>
            </w:r>
          </w:p>
        </w:tc>
        <w:tc>
          <w:tcPr>
            <w:tcW w:w="96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行政</w:t>
            </w:r>
          </w:p>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《安全生产培训管理办法》(2012年国家安全监管总局令第44号，2015 年修正)第三十六条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5" w:line="183" w:lineRule="auto"/>
              <w:jc w:val="center"/>
              <w:rPr>
                <w:rFonts w:hint="eastAsia" w:ascii="仿宋" w:hAnsi="仿宋" w:eastAsia="仿宋" w:cs="仿宋"/>
                <w:kern w:val="2"/>
                <w:sz w:val="21"/>
                <w:szCs w:val="21"/>
                <w:lang w:val="en-US" w:eastAsia="zh-CN" w:bidi="ar-SA"/>
              </w:rPr>
            </w:pPr>
            <w:r>
              <w:rPr>
                <w:rFonts w:hint="eastAsia" w:ascii="仿宋" w:hAnsi="仿宋" w:eastAsia="仿宋" w:cs="仿宋"/>
                <w:spacing w:val="-3"/>
                <w:sz w:val="21"/>
                <w:szCs w:val="21"/>
                <w:lang w:val="en-US" w:eastAsia="zh-CN"/>
              </w:rPr>
              <w:t>6</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对知道或者应当知道生产经营单位未取得安全生产许可证或者其他批准文件擅自从事生产经营活动，仍为其提供生产经营场所、运输、保管、仓储等条件的行为的处罚</w:t>
            </w:r>
          </w:p>
        </w:tc>
        <w:tc>
          <w:tcPr>
            <w:tcW w:w="96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lang w:val="en-US" w:eastAsia="zh-CN"/>
              </w:rPr>
            </w:pPr>
            <w:r>
              <w:rPr>
                <w:rFonts w:hint="eastAsia" w:ascii="仿宋" w:hAnsi="仿宋" w:eastAsia="仿宋" w:cs="仿宋"/>
                <w:lang w:val="en-US" w:eastAsia="zh-CN"/>
              </w:rPr>
              <w:t>行政</w:t>
            </w:r>
          </w:p>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《安全生产违法行为行政处罚办法》(2007年国家安全监管总局令第15 号，2015年修正)第五十条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8" w:line="183" w:lineRule="auto"/>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3393"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对生产、经营、储存、使用危险物品的车间、</w:t>
            </w:r>
            <w:r>
              <w:rPr>
                <w:rFonts w:hint="eastAsia" w:ascii="仿宋" w:hAnsi="仿宋" w:eastAsia="仿宋" w:cs="仿宋"/>
                <w:spacing w:val="1"/>
                <w:sz w:val="21"/>
                <w:szCs w:val="21"/>
              </w:rPr>
              <w:t>商店、仓库与员工宿舍在同一座建筑内，或者</w:t>
            </w:r>
            <w:r>
              <w:rPr>
                <w:rFonts w:hint="eastAsia" w:ascii="仿宋" w:hAnsi="仿宋" w:eastAsia="仿宋" w:cs="仿宋"/>
                <w:sz w:val="21"/>
                <w:szCs w:val="21"/>
              </w:rPr>
              <w:t>与员工宿舍的距离不符合安全要求的行为的处罚</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处罚</w:t>
            </w:r>
          </w:p>
        </w:tc>
        <w:tc>
          <w:tcPr>
            <w:tcW w:w="6912" w:type="dxa"/>
            <w:noWrap w:val="0"/>
            <w:vAlign w:val="center"/>
          </w:tcPr>
          <w:p>
            <w:pPr>
              <w:spacing w:before="68" w:line="219" w:lineRule="auto"/>
              <w:jc w:val="center"/>
              <w:rPr>
                <w:rFonts w:hint="eastAsia" w:ascii="仿宋" w:hAnsi="仿宋" w:eastAsia="仿宋" w:cs="仿宋"/>
                <w:kern w:val="2"/>
                <w:sz w:val="21"/>
                <w:szCs w:val="21"/>
                <w:lang w:val="en-US" w:eastAsia="zh-CN" w:bidi="ar-SA"/>
              </w:rPr>
            </w:pPr>
            <w:r>
              <w:rPr>
                <w:rFonts w:hint="eastAsia" w:ascii="仿宋" w:hAnsi="仿宋" w:eastAsia="仿宋" w:cs="仿宋"/>
                <w:spacing w:val="5"/>
                <w:sz w:val="21"/>
                <w:szCs w:val="21"/>
              </w:rPr>
              <w:t>《中华人民共和国安全生产法》第一百零五条</w:t>
            </w:r>
          </w:p>
        </w:tc>
        <w:tc>
          <w:tcPr>
            <w:tcW w:w="1723" w:type="dxa"/>
            <w:noWrap w:val="0"/>
            <w:vAlign w:val="center"/>
          </w:tcPr>
          <w:p>
            <w:pPr>
              <w:spacing w:before="68" w:line="219" w:lineRule="auto"/>
              <w:jc w:val="center"/>
              <w:rPr>
                <w:rFonts w:hint="eastAsia" w:ascii="仿宋" w:hAnsi="仿宋" w:eastAsia="仿宋" w:cs="仿宋"/>
                <w:spacing w:val="5"/>
                <w:sz w:val="21"/>
                <w:szCs w:val="21"/>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8" w:line="183" w:lineRule="auto"/>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pacing w:val="5"/>
                <w:kern w:val="2"/>
                <w:sz w:val="21"/>
                <w:szCs w:val="21"/>
                <w:lang w:val="en-US" w:eastAsia="zh-CN" w:bidi="ar-SA"/>
              </w:rPr>
            </w:pPr>
            <w:r>
              <w:rPr>
                <w:rFonts w:hint="eastAsia" w:ascii="仿宋" w:hAnsi="仿宋" w:eastAsia="仿宋" w:cs="仿宋"/>
                <w:snapToGrid/>
                <w:kern w:val="2"/>
                <w:szCs w:val="24"/>
                <w:lang w:val="en-US" w:eastAsia="zh-CN" w:bidi="ar-SA"/>
              </w:rPr>
              <w:t>对生产经营场所和员工宿舍未设有符合紧急疏散需要、标志明显、保持畅通的出口、疏散通道，或者占用、锁闭、封堵生产经营场所或者员工宿舍出口、疏散通道的行为的处罚</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pacing w:val="5"/>
                <w:kern w:val="2"/>
                <w:sz w:val="21"/>
                <w:szCs w:val="21"/>
                <w:lang w:val="en-US" w:eastAsia="zh-CN" w:bidi="ar-SA"/>
              </w:rPr>
            </w:pPr>
            <w:r>
              <w:rPr>
                <w:rFonts w:hint="eastAsia" w:ascii="仿宋" w:hAnsi="仿宋" w:eastAsia="仿宋" w:cs="仿宋"/>
                <w:snapToGrid/>
                <w:kern w:val="2"/>
                <w:szCs w:val="24"/>
                <w:lang w:val="en-US" w:eastAsia="zh-CN" w:bidi="ar-SA"/>
              </w:rPr>
              <w:t>《中华人民共和国安全生产法》第一百零五条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8" w:line="183" w:lineRule="auto"/>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pacing w:val="5"/>
                <w:kern w:val="2"/>
                <w:sz w:val="21"/>
                <w:szCs w:val="21"/>
                <w:lang w:val="en-US" w:eastAsia="zh-CN" w:bidi="ar-SA"/>
              </w:rPr>
            </w:pPr>
            <w:r>
              <w:rPr>
                <w:rFonts w:hint="eastAsia" w:ascii="仿宋" w:hAnsi="仿宋" w:eastAsia="仿宋" w:cs="仿宋"/>
                <w:snapToGrid/>
                <w:kern w:val="2"/>
                <w:szCs w:val="24"/>
                <w:lang w:val="en-US" w:eastAsia="zh-CN" w:bidi="ar-SA"/>
              </w:rPr>
              <w:t>对本辖区违反规定野外用火的行为的处罚</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pacing w:val="5"/>
                <w:kern w:val="2"/>
                <w:sz w:val="21"/>
                <w:szCs w:val="21"/>
                <w:lang w:val="en-US" w:eastAsia="zh-CN" w:bidi="ar-SA"/>
              </w:rPr>
            </w:pPr>
            <w:r>
              <w:rPr>
                <w:rFonts w:hint="eastAsia" w:ascii="仿宋" w:hAnsi="仿宋" w:eastAsia="仿宋" w:cs="仿宋"/>
                <w:snapToGrid/>
                <w:kern w:val="2"/>
                <w:szCs w:val="24"/>
                <w:lang w:val="en-US" w:eastAsia="zh-CN" w:bidi="ar-SA"/>
              </w:rPr>
              <w:t>《山西省人民代表大会常务委员会关于禁止野外用火的决定》(2020年 5月15日山西省第十三届人民代表大会常务委员会第十八次会议通过)第十四条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5" w:line="183" w:lineRule="auto"/>
              <w:jc w:val="center"/>
              <w:rPr>
                <w:rFonts w:hint="default" w:ascii="仿宋" w:hAnsi="仿宋" w:eastAsia="仿宋" w:cs="仿宋"/>
                <w:spacing w:val="-4"/>
                <w:kern w:val="2"/>
                <w:sz w:val="21"/>
                <w:szCs w:val="21"/>
                <w:lang w:val="en-US" w:eastAsia="zh-CN" w:bidi="ar-SA"/>
              </w:rPr>
            </w:pPr>
            <w:r>
              <w:rPr>
                <w:rFonts w:hint="eastAsia" w:ascii="仿宋" w:hAnsi="仿宋" w:eastAsia="仿宋" w:cs="仿宋"/>
                <w:spacing w:val="-4"/>
                <w:sz w:val="21"/>
                <w:szCs w:val="21"/>
                <w:lang w:val="en-US" w:eastAsia="zh-CN"/>
              </w:rPr>
              <w:t>10</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对埋压、圈占、遮挡消火栓、消防水泵接合器，占用、堵塞、封闭消防取水码头、消防水鹤等公共消防设施的行为的处罚(依法适用简易程序的)</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《中华人民共和国消防法》第六十条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《山西省消防条例》第十八条、第四十四条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5" w:line="184" w:lineRule="auto"/>
              <w:jc w:val="center"/>
              <w:rPr>
                <w:rFonts w:hint="default" w:ascii="仿宋" w:hAnsi="仿宋" w:eastAsia="仿宋" w:cs="仿宋"/>
                <w:spacing w:val="-4"/>
                <w:kern w:val="2"/>
                <w:sz w:val="21"/>
                <w:szCs w:val="21"/>
                <w:lang w:val="en-US" w:eastAsia="zh-CN" w:bidi="ar-SA"/>
              </w:rPr>
            </w:pPr>
            <w:r>
              <w:rPr>
                <w:rFonts w:hint="eastAsia" w:ascii="仿宋" w:hAnsi="仿宋" w:eastAsia="仿宋" w:cs="仿宋"/>
                <w:spacing w:val="-4"/>
                <w:sz w:val="21"/>
                <w:szCs w:val="21"/>
                <w:lang w:val="en-US" w:eastAsia="zh-CN"/>
              </w:rPr>
              <w:t>11</w:t>
            </w:r>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 w:val="16"/>
                <w:szCs w:val="20"/>
                <w:lang w:val="en-US" w:eastAsia="zh-CN" w:bidi="ar-SA"/>
              </w:rPr>
              <w:t>对占用、堵塞、封闭消防车通道，妨碍消防车通行的行为的处罚(依法适用简易程序的)</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《中华人民共和国消防法》第六十条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2" w:type="dxa"/>
            <w:noWrap w:val="0"/>
            <w:vAlign w:val="center"/>
          </w:tcPr>
          <w:p>
            <w:pPr>
              <w:spacing w:before="65" w:line="183" w:lineRule="auto"/>
              <w:jc w:val="center"/>
              <w:rPr>
                <w:rFonts w:hint="default" w:ascii="仿宋" w:hAnsi="仿宋" w:eastAsia="仿宋" w:cs="仿宋"/>
                <w:spacing w:val="-4"/>
                <w:kern w:val="2"/>
                <w:sz w:val="21"/>
                <w:szCs w:val="21"/>
                <w:lang w:val="en-US" w:eastAsia="zh-CN" w:bidi="ar-SA"/>
              </w:rPr>
            </w:pPr>
            <w:r>
              <w:rPr>
                <w:rFonts w:hint="eastAsia" w:ascii="仿宋" w:hAnsi="仿宋" w:eastAsia="仿宋" w:cs="仿宋"/>
                <w:spacing w:val="-2"/>
                <w:sz w:val="21"/>
                <w:szCs w:val="21"/>
                <w:lang w:val="en-US" w:eastAsia="zh-CN"/>
              </w:rPr>
              <w:t>12</w:t>
            </w:r>
            <w:bookmarkStart w:id="0" w:name="_GoBack"/>
            <w:bookmarkEnd w:id="0"/>
          </w:p>
        </w:tc>
        <w:tc>
          <w:tcPr>
            <w:tcW w:w="339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96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行政</w:t>
            </w:r>
          </w:p>
          <w:p>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处罚</w:t>
            </w:r>
          </w:p>
        </w:tc>
        <w:tc>
          <w:tcPr>
            <w:tcW w:w="6912"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napToGrid/>
                <w:kern w:val="2"/>
                <w:szCs w:val="24"/>
                <w:lang w:val="en-US" w:eastAsia="zh-CN" w:bidi="ar-SA"/>
              </w:rPr>
              <w:t>《中华人民共和国消防法》第六十条</w:t>
            </w:r>
          </w:p>
          <w:p>
            <w:pPr>
              <w:widowControl w:val="0"/>
              <w:kinsoku/>
              <w:autoSpaceDE/>
              <w:autoSpaceDN/>
              <w:adjustRightInd/>
              <w:snapToGrid/>
              <w:spacing w:line="240" w:lineRule="auto"/>
              <w:jc w:val="center"/>
              <w:textAlignment w:val="auto"/>
              <w:rPr>
                <w:rFonts w:hint="eastAsia" w:ascii="仿宋" w:hAnsi="仿宋" w:eastAsia="仿宋" w:cs="仿宋"/>
                <w:snapToGrid/>
                <w:kern w:val="2"/>
                <w:sz w:val="21"/>
                <w:szCs w:val="24"/>
                <w:lang w:val="en-US" w:eastAsia="zh-CN" w:bidi="ar-SA"/>
              </w:rPr>
            </w:pPr>
            <w:r>
              <w:rPr>
                <w:rFonts w:hint="eastAsia" w:ascii="仿宋" w:hAnsi="仿宋" w:eastAsia="仿宋" w:cs="仿宋"/>
                <w:snapToGrid/>
                <w:kern w:val="2"/>
                <w:szCs w:val="24"/>
                <w:lang w:val="en-US" w:eastAsia="zh-CN" w:bidi="ar-SA"/>
              </w:rPr>
              <w:t>《高层民用建筑消防安全管理规定》第三十七条、第四十七条</w:t>
            </w:r>
          </w:p>
        </w:tc>
        <w:tc>
          <w:tcPr>
            <w:tcW w:w="1723" w:type="dxa"/>
            <w:noWrap w:val="0"/>
            <w:vAlign w:val="center"/>
          </w:tcPr>
          <w:p>
            <w:pPr>
              <w:widowControl w:val="0"/>
              <w:kinsoku/>
              <w:autoSpaceDE/>
              <w:autoSpaceDN/>
              <w:adjustRightInd/>
              <w:snapToGrid/>
              <w:spacing w:line="240" w:lineRule="auto"/>
              <w:jc w:val="center"/>
              <w:textAlignment w:val="auto"/>
              <w:rPr>
                <w:rFonts w:hint="eastAsia" w:ascii="仿宋" w:hAnsi="仿宋" w:eastAsia="仿宋" w:cs="仿宋"/>
                <w:snapToGrid/>
                <w:kern w:val="2"/>
                <w:szCs w:val="24"/>
                <w:lang w:val="en-US" w:eastAsia="zh-CN" w:bidi="ar-SA"/>
              </w:rPr>
            </w:pPr>
            <w:r>
              <w:rPr>
                <w:rFonts w:hint="eastAsia" w:ascii="仿宋" w:hAnsi="仿宋" w:eastAsia="仿宋" w:cs="仿宋"/>
                <w:sz w:val="21"/>
                <w:szCs w:val="21"/>
                <w:vertAlign w:val="baseline"/>
                <w:lang w:val="en-US" w:eastAsia="zh-CN"/>
              </w:rPr>
              <w:t>东梁乡人民政府</w:t>
            </w:r>
          </w:p>
        </w:tc>
      </w:tr>
    </w:tbl>
    <w:p>
      <w:pPr>
        <w:rPr>
          <w:rFonts w:hint="eastAsia"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A6298"/>
    <w:rsid w:val="2AD11CC6"/>
    <w:rsid w:val="371D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kern w:val="0"/>
    </w:rPr>
  </w:style>
  <w:style w:type="paragraph" w:styleId="3">
    <w:name w:val="Body Text Indent"/>
    <w:basedOn w:val="1"/>
    <w:qFormat/>
    <w:uiPriority w:val="0"/>
    <w:pPr>
      <w:ind w:firstLine="640" w:firstLineChars="200"/>
    </w:pPr>
    <w:rPr>
      <w:rFonts w:eastAsia="黑体"/>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1374</Words>
  <Characters>1441</Characters>
  <Lines>0</Lines>
  <Paragraphs>0</Paragraphs>
  <TotalTime>4</TotalTime>
  <ScaleCrop>false</ScaleCrop>
  <LinksUpToDate>false</LinksUpToDate>
  <CharactersWithSpaces>1445</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2025-05-27T08:09:00Z</dcterms:created>
  <dc:creator>10198</dc:creator>
  <cp:lastModifiedBy>爱吃牛肉</cp:lastModifiedBy>
  <dcterms:modified xsi:type="dcterms:W3CDTF">2025-06-25T01:49:51Z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39577AF7366A4707AE0E061CAAAE3D05</vt:lpwstr>
  </property>
</Properties>
</file>