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29ED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191C7799">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盂县民政局关于《盂县乡镇敬老院实行县级直管实施方案（征求意见稿）》征求意见的公示</w:t>
      </w:r>
    </w:p>
    <w:bookmarkEnd w:id="0"/>
    <w:p w14:paraId="48D62F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sz w:val="32"/>
          <w:szCs w:val="32"/>
          <w:lang w:val="en-US" w:eastAsia="zh-CN"/>
        </w:rPr>
      </w:pPr>
    </w:p>
    <w:p w14:paraId="79E1D6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方正仿宋_GB2312"/>
          <w:sz w:val="32"/>
          <w:szCs w:val="32"/>
          <w:lang w:val="en-US" w:eastAsia="zh-CN"/>
        </w:rPr>
      </w:pPr>
      <w:r>
        <w:rPr>
          <w:rFonts w:hint="eastAsia" w:ascii="Times New Roman" w:hAnsi="Times New Roman" w:eastAsia="方正仿宋_GB2312" w:cs="方正仿宋_GB2312"/>
          <w:sz w:val="32"/>
          <w:szCs w:val="32"/>
          <w:lang w:val="en-US" w:eastAsia="zh-CN"/>
        </w:rPr>
        <w:t>为进一步规范公办养老机构运营管理，强化兜底保障职能，提升养老服务供给水平，我局拟出台《盂县乡镇敬老院实行县级直管实施方案（征求意见稿）》，现面向社会公示，广泛征集意见。</w:t>
      </w:r>
    </w:p>
    <w:p w14:paraId="15525F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2312" w:cs="方正仿宋_GB2312"/>
          <w:sz w:val="32"/>
          <w:szCs w:val="32"/>
          <w:lang w:val="en-US" w:eastAsia="zh-CN"/>
        </w:rPr>
      </w:pPr>
    </w:p>
    <w:p w14:paraId="34A306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2312" w:cs="方正仿宋_GB2312"/>
          <w:sz w:val="32"/>
          <w:szCs w:val="32"/>
          <w:lang w:val="en-US" w:eastAsia="zh-CN"/>
        </w:rPr>
      </w:pPr>
      <w:r>
        <w:rPr>
          <w:rFonts w:hint="eastAsia" w:ascii="Times New Roman" w:hAnsi="Times New Roman" w:eastAsia="方正仿宋_GB2312" w:cs="方正仿宋_GB2312"/>
          <w:sz w:val="32"/>
          <w:szCs w:val="32"/>
          <w:lang w:val="en-US" w:eastAsia="zh-CN"/>
        </w:rPr>
        <w:t>附件：盂县乡镇敬老院实行县级直管实施方案（征求意见稿）</w:t>
      </w:r>
    </w:p>
    <w:p w14:paraId="6A541E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2312" w:cs="方正仿宋_GB2312"/>
          <w:sz w:val="32"/>
          <w:szCs w:val="32"/>
          <w:lang w:val="en-US" w:eastAsia="zh-CN"/>
        </w:rPr>
      </w:pPr>
    </w:p>
    <w:p w14:paraId="0D418FD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方正仿宋_GB2312" w:cs="方正仿宋_GB2312"/>
          <w:sz w:val="32"/>
          <w:szCs w:val="32"/>
          <w:lang w:val="en-US" w:eastAsia="zh-CN"/>
        </w:rPr>
      </w:pPr>
      <w:r>
        <w:rPr>
          <w:rFonts w:hint="eastAsia" w:ascii="Times New Roman" w:hAnsi="Times New Roman" w:eastAsia="方正仿宋_GB2312" w:cs="方正仿宋_GB2312"/>
          <w:sz w:val="32"/>
          <w:szCs w:val="32"/>
          <w:lang w:val="en-US" w:eastAsia="zh-CN"/>
        </w:rPr>
        <w:t>公示单位：盂县民政局</w:t>
      </w:r>
    </w:p>
    <w:p w14:paraId="2AE2041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方正仿宋_GB2312" w:cs="方正仿宋_GB2312"/>
          <w:sz w:val="32"/>
          <w:szCs w:val="32"/>
          <w:lang w:val="en-US" w:eastAsia="zh-CN"/>
        </w:rPr>
      </w:pPr>
      <w:r>
        <w:rPr>
          <w:rFonts w:hint="eastAsia" w:ascii="Times New Roman" w:hAnsi="Times New Roman" w:eastAsia="方正仿宋_GB2312" w:cs="方正仿宋_GB2312"/>
          <w:sz w:val="32"/>
          <w:szCs w:val="32"/>
          <w:lang w:val="en-US" w:eastAsia="zh-CN"/>
        </w:rPr>
        <w:t>公示期：2026年11月5日起至2026年11月12日</w:t>
      </w:r>
    </w:p>
    <w:p w14:paraId="7A056B7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方正仿宋_GB2312"/>
          <w:sz w:val="32"/>
          <w:szCs w:val="32"/>
          <w:lang w:val="en-US" w:eastAsia="zh-CN"/>
        </w:rPr>
      </w:pPr>
      <w:r>
        <w:rPr>
          <w:rFonts w:hint="eastAsia" w:ascii="Times New Roman" w:hAnsi="Times New Roman" w:eastAsia="方正仿宋_GB2312" w:cs="方正仿宋_GB2312"/>
          <w:sz w:val="32"/>
          <w:szCs w:val="32"/>
          <w:lang w:val="en-US" w:eastAsia="zh-CN"/>
        </w:rPr>
        <w:t>联系电话：0353-8082436</w:t>
      </w:r>
    </w:p>
    <w:p w14:paraId="7563D9C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方正仿宋_GB2312" w:cs="方正仿宋_GB2312"/>
          <w:sz w:val="32"/>
          <w:szCs w:val="32"/>
          <w:lang w:val="en-US" w:eastAsia="zh-CN"/>
        </w:rPr>
      </w:pPr>
      <w:r>
        <w:rPr>
          <w:rFonts w:hint="eastAsia" w:ascii="Times New Roman" w:hAnsi="Times New Roman" w:eastAsia="方正仿宋_GB2312" w:cs="方正仿宋_GB2312"/>
          <w:sz w:val="32"/>
          <w:szCs w:val="32"/>
          <w:lang w:val="en-US" w:eastAsia="zh-CN"/>
        </w:rPr>
        <w:t>邮箱：</w:t>
      </w:r>
      <w:r>
        <w:rPr>
          <w:rFonts w:hint="eastAsia" w:ascii="Times New Roman" w:hAnsi="Times New Roman" w:eastAsia="方正仿宋_GB2312" w:cs="方正仿宋_GB2312"/>
          <w:sz w:val="32"/>
          <w:szCs w:val="32"/>
          <w:lang w:val="en-US" w:eastAsia="zh-CN"/>
        </w:rPr>
        <w:fldChar w:fldCharType="begin"/>
      </w:r>
      <w:r>
        <w:rPr>
          <w:rFonts w:hint="eastAsia" w:ascii="Times New Roman" w:hAnsi="Times New Roman" w:eastAsia="方正仿宋_GB2312" w:cs="方正仿宋_GB2312"/>
          <w:sz w:val="32"/>
          <w:szCs w:val="32"/>
          <w:lang w:val="en-US" w:eastAsia="zh-CN"/>
        </w:rPr>
        <w:instrText xml:space="preserve"> HYPERLINK "mailto:yxmzj2436@163.com" </w:instrText>
      </w:r>
      <w:r>
        <w:rPr>
          <w:rFonts w:hint="eastAsia" w:ascii="Times New Roman" w:hAnsi="Times New Roman" w:eastAsia="方正仿宋_GB2312" w:cs="方正仿宋_GB2312"/>
          <w:sz w:val="32"/>
          <w:szCs w:val="32"/>
          <w:lang w:val="en-US" w:eastAsia="zh-CN"/>
        </w:rPr>
        <w:fldChar w:fldCharType="separate"/>
      </w:r>
      <w:r>
        <w:rPr>
          <w:rStyle w:val="7"/>
          <w:rFonts w:hint="eastAsia" w:ascii="Times New Roman" w:hAnsi="Times New Roman" w:eastAsia="方正仿宋_GB2312" w:cs="方正仿宋_GB2312"/>
          <w:sz w:val="32"/>
          <w:szCs w:val="32"/>
          <w:lang w:val="en-US" w:eastAsia="zh-CN"/>
        </w:rPr>
        <w:t>yxmzj2436@163.com</w:t>
      </w:r>
      <w:r>
        <w:rPr>
          <w:rFonts w:hint="eastAsia" w:ascii="Times New Roman" w:hAnsi="Times New Roman" w:eastAsia="方正仿宋_GB2312" w:cs="方正仿宋_GB2312"/>
          <w:sz w:val="32"/>
          <w:szCs w:val="32"/>
          <w:lang w:val="en-US" w:eastAsia="zh-CN"/>
        </w:rPr>
        <w:fldChar w:fldCharType="end"/>
      </w:r>
    </w:p>
    <w:p w14:paraId="59EA4F0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仿宋_GB2312" w:hAnsi="方正仿宋_GB2312" w:eastAsia="方正仿宋_GB2312" w:cs="方正仿宋_GB2312"/>
          <w:sz w:val="32"/>
          <w:szCs w:val="32"/>
          <w:lang w:val="en-US" w:eastAsia="zh-CN"/>
        </w:rPr>
      </w:pPr>
    </w:p>
    <w:p w14:paraId="4972E92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2F7B32F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1D8CE52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18D0E84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69CFABD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0BCD211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483934C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1AABE3A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587659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69FEC6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64ECBF7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19B9AE5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612978E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0C30D6F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289C0EC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62EAA0A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12E5CA8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3BB597B6">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方正小标宋简体" w:hAnsi="方正小标宋简体" w:eastAsia="方正小标宋简体" w:cs="方正小标宋简体"/>
          <w:sz w:val="44"/>
          <w:szCs w:val="44"/>
          <w:lang w:val="en-US"/>
        </w:rPr>
      </w:pPr>
    </w:p>
    <w:p w14:paraId="7FFB6E6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rPr>
      </w:pPr>
    </w:p>
    <w:p w14:paraId="9344050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rPr>
      </w:pPr>
      <w:r>
        <w:rPr>
          <w:rFonts w:hint="eastAsia" w:ascii="方正小标宋简体" w:hAnsi="方正小标宋简体" w:eastAsia="方正小标宋简体" w:cs="方正小标宋简体"/>
          <w:sz w:val="44"/>
          <w:szCs w:val="44"/>
          <w:lang w:val="en-US"/>
        </w:rPr>
        <w:t>盂县乡镇敬老院</w:t>
      </w:r>
      <w:r>
        <w:rPr>
          <w:rFonts w:hint="eastAsia" w:ascii="方正小标宋简体" w:hAnsi="方正小标宋简体" w:eastAsia="方正小标宋简体" w:cs="方正小标宋简体"/>
          <w:sz w:val="44"/>
          <w:szCs w:val="44"/>
          <w:lang w:val="en-US" w:eastAsia="zh-CN"/>
        </w:rPr>
        <w:t>实行县级直管</w:t>
      </w:r>
      <w:r>
        <w:rPr>
          <w:rFonts w:hint="eastAsia" w:ascii="方正小标宋简体" w:hAnsi="方正小标宋简体" w:eastAsia="方正小标宋简体" w:cs="方正小标宋简体"/>
          <w:sz w:val="44"/>
          <w:szCs w:val="44"/>
          <w:lang w:val="en-US"/>
        </w:rPr>
        <w:t>实施方案</w:t>
      </w:r>
    </w:p>
    <w:p w14:paraId="5B1AA0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（征求意见稿）</w:t>
      </w:r>
    </w:p>
    <w:p w14:paraId="6585BD37">
      <w:pPr>
        <w:keepNext w:val="0"/>
        <w:keepLines w:val="0"/>
        <w:pageBreakBefore w:val="0"/>
        <w:widowControl w:val="0"/>
        <w:kinsoku/>
        <w:wordWrap/>
        <w:overflowPunct/>
        <w:topLinePunct w:val="0"/>
        <w:autoSpaceDE/>
        <w:autoSpaceDN/>
        <w:bidi w:val="0"/>
        <w:adjustRightInd/>
        <w:snapToGrid/>
        <w:spacing w:line="240" w:lineRule="exact"/>
        <w:ind w:firstLine="640" w:firstLineChars="200"/>
        <w:textAlignment w:val="auto"/>
        <w:rPr>
          <w:rFonts w:hint="eastAsia" w:ascii="仿宋_GB2312" w:hAnsi="仿宋_GB2312" w:eastAsia="仿宋_GB2312" w:cs="仿宋_GB2312"/>
          <w:sz w:val="32"/>
          <w:szCs w:val="32"/>
          <w:lang w:val="en-US"/>
        </w:rPr>
      </w:pPr>
    </w:p>
    <w:p w14:paraId="D84301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为深入贯彻积极应对人口老龄化国家战略，</w:t>
      </w:r>
      <w:r>
        <w:rPr>
          <w:rFonts w:hint="eastAsia" w:ascii="仿宋_GB2312" w:hAnsi="仿宋_GB2312" w:eastAsia="仿宋_GB2312" w:cs="仿宋_GB2312"/>
          <w:sz w:val="32"/>
          <w:szCs w:val="32"/>
          <w:lang w:val="en-US" w:eastAsia="zh-CN"/>
        </w:rPr>
        <w:t>积极构建老年友好型社会，</w:t>
      </w:r>
      <w:r>
        <w:rPr>
          <w:rFonts w:hint="eastAsia" w:ascii="仿宋_GB2312" w:hAnsi="仿宋_GB2312" w:eastAsia="仿宋_GB2312" w:cs="仿宋_GB2312"/>
          <w:sz w:val="32"/>
          <w:szCs w:val="32"/>
          <w:lang w:val="en-US"/>
        </w:rPr>
        <w:t>切实解决我县乡镇敬老院当前存在的基础设施陈旧老化、管理体制分散、运营效率不高、服务质量参差不齐、专业人才短缺等突出问题，进一步规范公办养老机构运营管理，强化兜底保障职能，提升养老服务供给水平，根据</w:t>
      </w:r>
      <w:r>
        <w:rPr>
          <w:rFonts w:hint="eastAsia" w:ascii="仿宋_GB2312" w:hAnsi="仿宋_GB2312" w:eastAsia="仿宋_GB2312" w:cs="仿宋_GB2312"/>
          <w:sz w:val="32"/>
          <w:szCs w:val="32"/>
          <w:lang w:val="en-US" w:eastAsia="zh-CN"/>
        </w:rPr>
        <w:t>《中共中央 国务院</w:t>
      </w:r>
      <w:r>
        <w:rPr>
          <w:rFonts w:hint="eastAsia" w:ascii="仿宋_GB2312" w:hAnsi="仿宋_GB2312" w:eastAsia="仿宋_GB2312" w:cs="仿宋_GB2312"/>
          <w:sz w:val="32"/>
          <w:szCs w:val="32"/>
          <w:lang w:val="en-US"/>
        </w:rPr>
        <w:t>关于深化养老服务改革发展的意见》（中发</w:t>
      </w:r>
      <w:r>
        <w:rPr>
          <w:rFonts w:hint="eastAsia" w:ascii="仿宋_GB2312" w:hAnsi="仿宋_GB2312" w:eastAsia="仿宋_GB2312" w:cs="仿宋_GB2312"/>
          <w:sz w:val="32"/>
          <w:szCs w:val="32"/>
          <w:lang w:val="en-US" w:eastAsia="zh-CN"/>
        </w:rPr>
        <w:t>〔2025〕3号</w:t>
      </w:r>
      <w:r>
        <w:rPr>
          <w:rFonts w:hint="eastAsia" w:ascii="仿宋_GB2312" w:hAnsi="仿宋_GB2312" w:eastAsia="仿宋_GB2312" w:cs="仿宋_GB2312"/>
          <w:sz w:val="32"/>
          <w:szCs w:val="32"/>
          <w:lang w:val="en-US"/>
        </w:rPr>
        <w:t>）、《山西省深化养老服务改革发展的若干举措》（晋办发</w:t>
      </w:r>
      <w:r>
        <w:rPr>
          <w:rFonts w:hint="eastAsia" w:ascii="仿宋_GB2312" w:hAnsi="仿宋_GB2312" w:eastAsia="仿宋_GB2312" w:cs="仿宋_GB2312"/>
          <w:sz w:val="32"/>
          <w:szCs w:val="32"/>
          <w:lang w:val="en-US" w:eastAsia="zh-CN"/>
        </w:rPr>
        <w:t>〔2025〕19号</w:t>
      </w:r>
      <w:r>
        <w:rPr>
          <w:rFonts w:hint="eastAsia" w:ascii="仿宋_GB2312" w:hAnsi="仿宋_GB2312" w:eastAsia="仿宋_GB2312" w:cs="仿宋_GB2312"/>
          <w:sz w:val="32"/>
          <w:szCs w:val="32"/>
          <w:lang w:val="en-US"/>
        </w:rPr>
        <w:t>）以及山西省民政厅《关于进一步规范和加强乡镇敬老院管理的通知》（晋民函〔2025〕88号）及省、市关于公办养老机构改革的系列部署要求，结合我县</w:t>
      </w:r>
      <w:r>
        <w:rPr>
          <w:rFonts w:hint="eastAsia" w:ascii="仿宋_GB2312" w:hAnsi="仿宋_GB2312" w:eastAsia="仿宋_GB2312" w:cs="仿宋_GB2312"/>
          <w:sz w:val="32"/>
          <w:szCs w:val="32"/>
          <w:lang w:val="en-US" w:eastAsia="zh-CN"/>
        </w:rPr>
        <w:t>实际，特制定</w:t>
      </w:r>
      <w:r>
        <w:rPr>
          <w:rFonts w:hint="eastAsia" w:ascii="仿宋_GB2312" w:hAnsi="仿宋_GB2312" w:eastAsia="仿宋_GB2312" w:cs="仿宋_GB2312"/>
          <w:sz w:val="32"/>
          <w:szCs w:val="32"/>
          <w:lang w:val="en-US"/>
        </w:rPr>
        <w:t>实施方案。</w:t>
      </w:r>
    </w:p>
    <w:p w14:paraId="57106F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黑体" w:hAnsi="黑体" w:eastAsia="黑体" w:cs="黑体"/>
          <w:sz w:val="32"/>
          <w:szCs w:val="32"/>
          <w:lang w:val="en-US"/>
        </w:rPr>
        <w:t>一、指导思想</w:t>
      </w:r>
    </w:p>
    <w:p w14:paraId="E7694A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以习近平新时代中国特色社会主义思想为指导，严格遵循《关于进一步规范和加强乡镇敬老院管理的通知》</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rPr>
        <w:t>晋民函〔2025〕8</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val="en-US"/>
        </w:rPr>
        <w:t>号</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rPr>
        <w:t>要求，以破解乡镇敬老院运营管理滞后、服务质量不高等</w:t>
      </w:r>
      <w:r>
        <w:rPr>
          <w:rFonts w:hint="eastAsia" w:ascii="仿宋_GB2312" w:hAnsi="仿宋_GB2312" w:eastAsia="仿宋_GB2312" w:cs="仿宋_GB2312"/>
          <w:sz w:val="32"/>
          <w:szCs w:val="32"/>
          <w:lang w:val="en-US"/>
        </w:rPr>
        <w:t>问题为核心，以清产核资与资产评估为基础，以县级直管为抓手，通过管理体制改革、服务规范提升、多元运营创新，强化兜底保障职能，推动敬老院从兜底保障服务机构向区域养老服务中心转型，构建权责清晰、管理规范、服务优质、可持续发展的公办养老服务体系，不断增强老年群体的</w:t>
      </w:r>
      <w:r>
        <w:rPr>
          <w:rFonts w:hint="eastAsia" w:ascii="仿宋_GB2312" w:hAnsi="仿宋_GB2312" w:eastAsia="仿宋_GB2312" w:cs="仿宋_GB2312"/>
          <w:sz w:val="32"/>
          <w:szCs w:val="32"/>
          <w:lang w:val="en-US" w:eastAsia="zh-CN"/>
        </w:rPr>
        <w:t>获得感、幸福感、安全感</w:t>
      </w:r>
      <w:r>
        <w:rPr>
          <w:rFonts w:hint="eastAsia" w:ascii="仿宋_GB2312" w:hAnsi="仿宋_GB2312" w:eastAsia="仿宋_GB2312" w:cs="仿宋_GB2312"/>
          <w:sz w:val="32"/>
          <w:szCs w:val="32"/>
          <w:lang w:val="en-US"/>
        </w:rPr>
        <w:t>。</w:t>
      </w:r>
    </w:p>
    <w:p w14:paraId="D2FFFD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rPr>
      </w:pPr>
      <w:r>
        <w:rPr>
          <w:rFonts w:hint="eastAsia" w:ascii="黑体" w:hAnsi="黑体" w:eastAsia="黑体" w:cs="黑体"/>
          <w:sz w:val="32"/>
          <w:szCs w:val="32"/>
          <w:lang w:val="en-US"/>
        </w:rPr>
        <w:t>二、基本原则</w:t>
      </w:r>
    </w:p>
    <w:p w14:paraId="0E5074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val="en-US"/>
        </w:rPr>
        <w:t>公益为本，兜底优先</w:t>
      </w:r>
      <w:r>
        <w:rPr>
          <w:rFonts w:hint="eastAsia" w:ascii="楷体_GB2312" w:hAnsi="楷体_GB2312" w:eastAsia="楷体_GB2312" w:cs="楷体_GB2312"/>
          <w:sz w:val="32"/>
          <w:szCs w:val="32"/>
          <w:lang w:val="en-US" w:eastAsia="zh-CN"/>
        </w:rPr>
        <w:t>。</w:t>
      </w:r>
      <w:r>
        <w:rPr>
          <w:rFonts w:hint="eastAsia" w:ascii="仿宋_GB2312" w:hAnsi="仿宋_GB2312" w:eastAsia="仿宋_GB2312" w:cs="仿宋_GB2312"/>
          <w:sz w:val="32"/>
          <w:szCs w:val="32"/>
          <w:lang w:val="en-US"/>
        </w:rPr>
        <w:t>坚守公办养老机构公益属性，充分发挥兜底保障作用，确保有入住意愿的特困供养对象应养尽养，科学保障</w:t>
      </w:r>
      <w:r>
        <w:rPr>
          <w:rFonts w:hint="eastAsia" w:ascii="仿宋_GB2312" w:hAnsi="仿宋_GB2312" w:eastAsia="仿宋_GB2312" w:cs="仿宋_GB2312"/>
          <w:sz w:val="32"/>
          <w:szCs w:val="32"/>
          <w:lang w:val="en-US" w:eastAsia="zh-CN"/>
        </w:rPr>
        <w:t>特困、</w:t>
      </w:r>
      <w:r>
        <w:rPr>
          <w:rFonts w:hint="eastAsia" w:ascii="仿宋_GB2312" w:hAnsi="仿宋_GB2312" w:eastAsia="仿宋_GB2312" w:cs="仿宋_GB2312"/>
          <w:sz w:val="32"/>
          <w:szCs w:val="32"/>
          <w:lang w:val="en-US"/>
        </w:rPr>
        <w:t>低保、高龄、失能等老年人养老服务需求，在保障基本需求前提下有序向社会开放。</w:t>
      </w:r>
    </w:p>
    <w:p w14:paraId="E7F578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val="en-US"/>
        </w:rPr>
        <w:t> 资产安全，规范划转</w:t>
      </w:r>
      <w:r>
        <w:rPr>
          <w:rFonts w:hint="eastAsia" w:ascii="楷体_GB2312" w:hAnsi="楷体_GB2312" w:eastAsia="楷体_GB2312" w:cs="楷体_GB2312"/>
          <w:sz w:val="32"/>
          <w:szCs w:val="32"/>
          <w:lang w:val="en-US" w:eastAsia="zh-CN"/>
        </w:rPr>
        <w:t>。</w:t>
      </w:r>
      <w:r>
        <w:rPr>
          <w:rFonts w:hint="eastAsia" w:ascii="仿宋_GB2312" w:hAnsi="仿宋_GB2312" w:eastAsia="仿宋_GB2312" w:cs="仿宋_GB2312"/>
          <w:sz w:val="32"/>
          <w:szCs w:val="32"/>
          <w:lang w:val="en-US"/>
        </w:rPr>
        <w:t>严格履行清产核资与资产评估程序，明晰资产权属，</w:t>
      </w:r>
      <w:r>
        <w:rPr>
          <w:rFonts w:hint="eastAsia" w:ascii="仿宋_GB2312" w:hAnsi="仿宋_GB2312" w:eastAsia="仿宋_GB2312" w:cs="仿宋_GB2312"/>
          <w:sz w:val="32"/>
          <w:szCs w:val="32"/>
          <w:lang w:val="en-US" w:eastAsia="zh-CN"/>
        </w:rPr>
        <w:t>属于国有资产部分，履行审批程序</w:t>
      </w:r>
      <w:r>
        <w:rPr>
          <w:rFonts w:hint="eastAsia" w:ascii="仿宋_GB2312" w:hAnsi="仿宋_GB2312" w:eastAsia="仿宋_GB2312" w:cs="仿宋_GB2312"/>
          <w:sz w:val="32"/>
          <w:szCs w:val="32"/>
          <w:lang w:val="en-US"/>
        </w:rPr>
        <w:t>，规范推进资产划转与登记交接，确保国有资产保值增值，杜绝资产流失。</w:t>
      </w:r>
    </w:p>
    <w:p w14:paraId="4BE92B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val="en-US"/>
        </w:rPr>
        <w:t> 县级直管，权责明晰</w:t>
      </w:r>
      <w:r>
        <w:rPr>
          <w:rFonts w:hint="eastAsia" w:ascii="楷体_GB2312" w:hAnsi="楷体_GB2312" w:eastAsia="楷体_GB2312" w:cs="楷体_GB2312"/>
          <w:sz w:val="32"/>
          <w:szCs w:val="32"/>
          <w:lang w:val="en-US" w:eastAsia="zh-CN"/>
        </w:rPr>
        <w:t>。</w:t>
      </w:r>
      <w:r>
        <w:rPr>
          <w:rFonts w:hint="eastAsia" w:ascii="仿宋_GB2312" w:hAnsi="仿宋_GB2312" w:eastAsia="仿宋_GB2312" w:cs="仿宋_GB2312"/>
          <w:sz w:val="32"/>
          <w:szCs w:val="32"/>
          <w:lang w:val="en-US"/>
        </w:rPr>
        <w:t>全面推行县民政局直接管理体制，明确民政部门统筹管理职责与乡镇属地责任，强化部门联动、上下协同，形成规范高效的管理工作格局。</w:t>
      </w:r>
    </w:p>
    <w:p w14:paraId="616FC4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lang w:val="en-US"/>
        </w:rPr>
        <w:t> 提质增效，品质提升</w:t>
      </w:r>
      <w:r>
        <w:rPr>
          <w:rFonts w:hint="eastAsia" w:ascii="楷体_GB2312" w:hAnsi="楷体_GB2312" w:eastAsia="楷体_GB2312" w:cs="楷体_GB2312"/>
          <w:sz w:val="32"/>
          <w:szCs w:val="32"/>
          <w:lang w:val="en-US" w:eastAsia="zh-CN"/>
        </w:rPr>
        <w:t>。</w:t>
      </w:r>
      <w:r>
        <w:rPr>
          <w:rFonts w:hint="eastAsia" w:ascii="仿宋_GB2312" w:hAnsi="仿宋_GB2312" w:eastAsia="仿宋_GB2312" w:cs="仿宋_GB2312"/>
          <w:sz w:val="32"/>
          <w:szCs w:val="32"/>
          <w:lang w:val="en-US"/>
        </w:rPr>
        <w:t>聚焦安全管理、</w:t>
      </w:r>
      <w:r>
        <w:rPr>
          <w:rFonts w:hint="eastAsia" w:ascii="仿宋_GB2312" w:hAnsi="仿宋_GB2312" w:eastAsia="仿宋_GB2312" w:cs="仿宋_GB2312"/>
          <w:sz w:val="32"/>
          <w:szCs w:val="32"/>
          <w:lang w:val="en-US" w:eastAsia="zh-CN"/>
        </w:rPr>
        <w:t>运营管理、财务管理、人员管理、考核管理，强化</w:t>
      </w:r>
      <w:r>
        <w:rPr>
          <w:rFonts w:hint="eastAsia" w:ascii="仿宋_GB2312" w:hAnsi="仿宋_GB2312" w:eastAsia="仿宋_GB2312" w:cs="仿宋_GB2312"/>
          <w:sz w:val="32"/>
          <w:szCs w:val="32"/>
          <w:lang w:val="en-US"/>
        </w:rPr>
        <w:t>生活照料、护理服务核心需求，通过设施改造、制度完善、人员赋能，推动敬老院从规模扩张向提质增效、从粗放管理向精细化管理转变。</w:t>
      </w:r>
    </w:p>
    <w:p w14:paraId="214A2D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rPr>
      </w:pPr>
      <w:r>
        <w:rPr>
          <w:rFonts w:hint="eastAsia" w:ascii="黑体" w:hAnsi="黑体" w:eastAsia="黑体" w:cs="黑体"/>
          <w:sz w:val="32"/>
          <w:szCs w:val="32"/>
          <w:lang w:val="en-US"/>
        </w:rPr>
        <w:t>三、具体举措</w:t>
      </w:r>
    </w:p>
    <w:p w14:paraId="B5FEAF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rPr>
      </w:pPr>
      <w:r>
        <w:rPr>
          <w:rFonts w:hint="eastAsia" w:ascii="仿宋_GB2312" w:hAnsi="仿宋_GB2312" w:eastAsia="仿宋_GB2312" w:cs="仿宋_GB2312"/>
          <w:sz w:val="32"/>
          <w:szCs w:val="32"/>
          <w:lang w:val="en-US"/>
        </w:rPr>
        <w:t xml:space="preserve"> </w:t>
      </w:r>
      <w:r>
        <w:rPr>
          <w:rFonts w:hint="eastAsia" w:ascii="楷体_GB2312" w:hAnsi="楷体_GB2312" w:eastAsia="楷体_GB2312" w:cs="楷体_GB2312"/>
          <w:sz w:val="32"/>
          <w:szCs w:val="32"/>
          <w:lang w:val="en-US"/>
        </w:rPr>
        <w:t>（一）深化清产核资与资产规范管理</w:t>
      </w:r>
    </w:p>
    <w:p w14:paraId="B526F8C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rPr>
        <w:t>1. 全面开展清产核资</w:t>
      </w:r>
    </w:p>
    <w:p w14:paraId="632C56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rPr>
        <w:t>年底前完成全县乡镇公办养老机构财务、资产清产核资与造册登</w:t>
      </w:r>
      <w:r>
        <w:rPr>
          <w:rFonts w:hint="eastAsia" w:ascii="仿宋_GB2312" w:hAnsi="仿宋_GB2312" w:eastAsia="仿宋_GB2312" w:cs="仿宋_GB2312"/>
          <w:color w:val="auto"/>
          <w:sz w:val="32"/>
          <w:szCs w:val="32"/>
          <w:lang w:val="en-US"/>
        </w:rPr>
        <w:t>记。县</w:t>
      </w:r>
      <w:r>
        <w:rPr>
          <w:rFonts w:hint="eastAsia" w:ascii="仿宋_GB2312" w:hAnsi="仿宋_GB2312" w:eastAsia="仿宋_GB2312" w:cs="仿宋_GB2312"/>
          <w:color w:val="auto"/>
          <w:sz w:val="32"/>
          <w:szCs w:val="32"/>
          <w:lang w:val="en-US" w:eastAsia="zh-CN"/>
        </w:rPr>
        <w:t>民政局在县农村经济事务指导中心指导下，</w:t>
      </w:r>
      <w:r>
        <w:rPr>
          <w:rFonts w:hint="eastAsia" w:ascii="仿宋_GB2312" w:hAnsi="仿宋_GB2312" w:eastAsia="仿宋_GB2312" w:cs="仿宋_GB2312"/>
          <w:color w:val="auto"/>
          <w:sz w:val="32"/>
          <w:szCs w:val="32"/>
          <w:lang w:val="en-US"/>
        </w:rPr>
        <w:t>牵头</w:t>
      </w:r>
      <w:r>
        <w:rPr>
          <w:rFonts w:hint="eastAsia" w:ascii="仿宋_GB2312" w:hAnsi="仿宋_GB2312" w:eastAsia="仿宋_GB2312" w:cs="仿宋_GB2312"/>
          <w:color w:val="auto"/>
          <w:sz w:val="32"/>
          <w:szCs w:val="32"/>
          <w:lang w:val="en-US" w:eastAsia="zh-CN"/>
        </w:rPr>
        <w:t>开展</w:t>
      </w:r>
      <w:r>
        <w:rPr>
          <w:rFonts w:hint="eastAsia" w:ascii="仿宋_GB2312" w:hAnsi="仿宋_GB2312" w:eastAsia="仿宋_GB2312" w:cs="仿宋_GB2312"/>
          <w:color w:val="auto"/>
          <w:sz w:val="32"/>
          <w:szCs w:val="32"/>
          <w:lang w:val="en-US"/>
        </w:rPr>
        <w:t>清产核资</w:t>
      </w:r>
      <w:r>
        <w:rPr>
          <w:rFonts w:hint="eastAsia" w:ascii="仿宋_GB2312" w:hAnsi="仿宋_GB2312" w:eastAsia="仿宋_GB2312" w:cs="仿宋_GB2312"/>
          <w:color w:val="auto"/>
          <w:sz w:val="32"/>
          <w:szCs w:val="32"/>
          <w:lang w:val="en-US" w:eastAsia="zh-CN"/>
        </w:rPr>
        <w:t>工作</w:t>
      </w:r>
      <w:r>
        <w:rPr>
          <w:rFonts w:hint="eastAsia" w:ascii="仿宋_GB2312" w:hAnsi="仿宋_GB2312" w:eastAsia="仿宋_GB2312" w:cs="仿宋_GB2312"/>
          <w:color w:val="auto"/>
          <w:sz w:val="32"/>
          <w:szCs w:val="32"/>
          <w:lang w:val="en-US"/>
        </w:rPr>
        <w:t>，</w:t>
      </w:r>
      <w:r>
        <w:rPr>
          <w:rFonts w:hint="eastAsia" w:ascii="仿宋_GB2312" w:hAnsi="仿宋_GB2312" w:eastAsia="仿宋_GB2312" w:cs="仿宋_GB2312"/>
          <w:color w:val="auto"/>
          <w:sz w:val="32"/>
          <w:szCs w:val="32"/>
          <w:lang w:val="en-US" w:eastAsia="zh-CN"/>
        </w:rPr>
        <w:t>相关</w:t>
      </w:r>
      <w:r>
        <w:rPr>
          <w:rFonts w:hint="eastAsia" w:ascii="仿宋_GB2312" w:hAnsi="仿宋_GB2312" w:eastAsia="仿宋_GB2312" w:cs="仿宋_GB2312"/>
          <w:sz w:val="32"/>
          <w:szCs w:val="32"/>
          <w:lang w:val="en-US"/>
        </w:rPr>
        <w:t>乡镇配合做好资产、财务登记工作。</w:t>
      </w:r>
    </w:p>
    <w:p w14:paraId="26FEC75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p>
    <w:p w14:paraId="4B9AC16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color w:val="auto"/>
          <w:sz w:val="32"/>
          <w:szCs w:val="32"/>
          <w:lang w:val="en-US" w:eastAsia="zh-CN"/>
        </w:rPr>
        <w:t>县农村经济事务指导中心</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color w:val="auto"/>
          <w:sz w:val="32"/>
          <w:szCs w:val="32"/>
          <w:lang w:val="en-US" w:eastAsia="zh-CN"/>
        </w:rPr>
        <w:t>相关</w:t>
      </w:r>
      <w:r>
        <w:rPr>
          <w:rFonts w:hint="eastAsia" w:ascii="仿宋_GB2312" w:hAnsi="仿宋_GB2312" w:eastAsia="仿宋_GB2312" w:cs="仿宋_GB2312"/>
          <w:color w:val="auto"/>
          <w:sz w:val="32"/>
          <w:szCs w:val="32"/>
          <w:lang w:val="en-US"/>
        </w:rPr>
        <w:t>乡镇人民政府</w:t>
      </w:r>
    </w:p>
    <w:p w14:paraId="418F179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2. 规范资产评估与权属管理</w:t>
      </w:r>
    </w:p>
    <w:p w14:paraId="6E1AC01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制定《盂县乡镇敬老院资产评估管理办法》，</w:t>
      </w:r>
      <w:r>
        <w:rPr>
          <w:rFonts w:hint="eastAsia" w:ascii="仿宋_GB2312" w:hAnsi="仿宋_GB2312" w:eastAsia="仿宋_GB2312" w:cs="仿宋_GB2312"/>
          <w:sz w:val="32"/>
          <w:szCs w:val="32"/>
          <w:lang w:val="en-US" w:eastAsia="zh-CN"/>
        </w:rPr>
        <w:t>根据</w:t>
      </w:r>
      <w:r>
        <w:rPr>
          <w:rFonts w:hint="eastAsia" w:ascii="仿宋_GB2312" w:hAnsi="仿宋_GB2312" w:eastAsia="仿宋_GB2312" w:cs="仿宋_GB2312"/>
          <w:sz w:val="32"/>
          <w:szCs w:val="32"/>
          <w:lang w:val="en-US"/>
        </w:rPr>
        <w:t>第三方机构</w:t>
      </w:r>
      <w:r>
        <w:rPr>
          <w:rFonts w:hint="eastAsia" w:ascii="仿宋_GB2312" w:hAnsi="仿宋_GB2312" w:eastAsia="仿宋_GB2312" w:cs="仿宋_GB2312"/>
          <w:sz w:val="32"/>
          <w:szCs w:val="32"/>
          <w:lang w:val="en-US" w:eastAsia="zh-CN"/>
        </w:rPr>
        <w:t>出具的</w:t>
      </w:r>
      <w:r>
        <w:rPr>
          <w:rFonts w:hint="eastAsia" w:ascii="仿宋_GB2312" w:hAnsi="仿宋_GB2312" w:eastAsia="仿宋_GB2312" w:cs="仿宋_GB2312"/>
          <w:sz w:val="32"/>
          <w:szCs w:val="32"/>
          <w:lang w:val="en-US"/>
        </w:rPr>
        <w:t>资产评估报告，厘清资产权属。对个人投资部分，明确评估与权益保障</w:t>
      </w:r>
      <w:r>
        <w:rPr>
          <w:rFonts w:hint="eastAsia" w:ascii="仿宋_GB2312" w:hAnsi="仿宋_GB2312" w:eastAsia="仿宋_GB2312" w:cs="仿宋_GB2312"/>
          <w:sz w:val="32"/>
          <w:szCs w:val="32"/>
          <w:lang w:val="en-US" w:eastAsia="zh-CN"/>
        </w:rPr>
        <w:t>，协商解决好产权问题</w:t>
      </w:r>
      <w:r>
        <w:rPr>
          <w:rFonts w:hint="eastAsia" w:ascii="仿宋_GB2312" w:hAnsi="仿宋_GB2312" w:eastAsia="仿宋_GB2312" w:cs="仿宋_GB2312"/>
          <w:sz w:val="32"/>
          <w:szCs w:val="32"/>
          <w:lang w:val="en-US"/>
        </w:rPr>
        <w:t>。县民政局建立固定资产“一物一码”动态台账，定期开展资产核查，严禁擅自处置、出租、出借国有资产，确需处置的按规定报批。</w:t>
      </w:r>
    </w:p>
    <w:p w14:paraId="047EAA7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p>
    <w:p w14:paraId="4DC670F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县财政局、县自然资源局、</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lang w:val="en-US"/>
        </w:rPr>
        <w:t>乡镇人民政府、第三方评估机构</w:t>
      </w:r>
    </w:p>
    <w:p w14:paraId="61619D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3. 强化资产使用监管</w:t>
      </w:r>
    </w:p>
    <w:p w14:paraId="A68E57E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闲置资产不得改变养老服务用途，优先用于拓展日间照料、短期托养等延伸服务。县民政局定期对资产使用、维护情况开展监督检查，确保</w:t>
      </w:r>
      <w:r>
        <w:rPr>
          <w:rFonts w:hint="eastAsia" w:ascii="仿宋_GB2312" w:hAnsi="仿宋_GB2312" w:eastAsia="仿宋_GB2312" w:cs="仿宋_GB2312"/>
          <w:sz w:val="32"/>
          <w:szCs w:val="32"/>
          <w:lang w:val="en-US" w:eastAsia="zh-CN"/>
        </w:rPr>
        <w:t>账</w:t>
      </w:r>
      <w:r>
        <w:rPr>
          <w:rFonts w:hint="eastAsia" w:ascii="仿宋_GB2312" w:hAnsi="仿宋_GB2312" w:eastAsia="仿宋_GB2312" w:cs="仿宋_GB2312"/>
          <w:sz w:val="32"/>
          <w:szCs w:val="32"/>
          <w:lang w:val="en-US"/>
        </w:rPr>
        <w:t>相符、账实相符，保障国有资产安全高效利用。</w:t>
      </w:r>
    </w:p>
    <w:p w14:paraId="62D953D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p>
    <w:p w14:paraId="5EEBD817">
      <w:pPr>
        <w:keepNext w:val="0"/>
        <w:keepLines w:val="0"/>
        <w:pageBreakBefore w:val="0"/>
        <w:widowControl w:val="0"/>
        <w:tabs>
          <w:tab w:val="left" w:pos="565"/>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县财政局、</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lang w:val="en-US"/>
        </w:rPr>
        <w:t>乡镇人民政府</w:t>
      </w:r>
    </w:p>
    <w:p w14:paraId="C4B95D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rPr>
      </w:pPr>
      <w:r>
        <w:rPr>
          <w:rFonts w:hint="eastAsia" w:ascii="楷体_GB2312" w:hAnsi="楷体_GB2312" w:eastAsia="楷体_GB2312" w:cs="楷体_GB2312"/>
          <w:sz w:val="32"/>
          <w:szCs w:val="32"/>
          <w:lang w:val="en-US"/>
        </w:rPr>
        <w:t>（二）全面落实县级直管管理体制</w:t>
      </w:r>
    </w:p>
    <w:p w14:paraId="102687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1. 健全管理机构设置</w:t>
      </w:r>
    </w:p>
    <w:p w14:paraId="83BB970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color w:val="0000FF"/>
          <w:sz w:val="32"/>
          <w:szCs w:val="32"/>
          <w:lang w:val="en-US" w:eastAsia="zh-CN"/>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按照“集中管理、分户核算”原则</w:t>
      </w:r>
      <w:r>
        <w:rPr>
          <w:rFonts w:hint="eastAsia" w:ascii="仿宋_GB2312" w:hAnsi="仿宋_GB2312" w:eastAsia="仿宋_GB2312" w:cs="仿宋_GB2312"/>
          <w:color w:val="auto"/>
          <w:sz w:val="32"/>
          <w:szCs w:val="32"/>
          <w:lang w:val="en-US"/>
        </w:rPr>
        <w:t>，</w:t>
      </w:r>
      <w:r>
        <w:rPr>
          <w:rFonts w:hint="eastAsia" w:ascii="仿宋_GB2312" w:hAnsi="仿宋_GB2312" w:eastAsia="仿宋_GB2312" w:cs="仿宋_GB2312"/>
          <w:color w:val="auto"/>
          <w:sz w:val="32"/>
          <w:szCs w:val="32"/>
          <w:lang w:val="en-US" w:eastAsia="zh-CN"/>
        </w:rPr>
        <w:t>秀水、路家村、仙人、东梁、西烟5个乡镇敬老院由县民政局直接管理运营，</w:t>
      </w:r>
      <w:r>
        <w:rPr>
          <w:rFonts w:hint="eastAsia" w:ascii="仿宋_GB2312" w:hAnsi="仿宋_GB2312" w:eastAsia="仿宋_GB2312" w:cs="仿宋_GB2312"/>
          <w:color w:val="auto"/>
          <w:sz w:val="32"/>
          <w:szCs w:val="32"/>
          <w:lang w:val="en-US"/>
        </w:rPr>
        <w:t>县</w:t>
      </w:r>
      <w:r>
        <w:rPr>
          <w:rFonts w:hint="eastAsia" w:ascii="仿宋_GB2312" w:hAnsi="仿宋_GB2312" w:eastAsia="仿宋_GB2312" w:cs="仿宋_GB2312"/>
          <w:color w:val="auto"/>
          <w:sz w:val="32"/>
          <w:szCs w:val="32"/>
          <w:lang w:val="en-US" w:eastAsia="zh-CN"/>
        </w:rPr>
        <w:t>养老事务中心</w:t>
      </w:r>
      <w:r>
        <w:rPr>
          <w:rFonts w:hint="eastAsia" w:ascii="仿宋_GB2312" w:hAnsi="仿宋_GB2312" w:eastAsia="仿宋_GB2312" w:cs="仿宋_GB2312"/>
          <w:color w:val="auto"/>
          <w:sz w:val="32"/>
          <w:szCs w:val="32"/>
          <w:lang w:val="en-US"/>
        </w:rPr>
        <w:t>负责乡镇敬老院管理、社会养老服务体系建设、从业人员培训、为老服务活动组织等工作。</w:t>
      </w:r>
      <w:r>
        <w:rPr>
          <w:rFonts w:hint="eastAsia" w:ascii="仿宋_GB2312" w:hAnsi="仿宋_GB2312" w:eastAsia="仿宋_GB2312" w:cs="仿宋_GB2312"/>
          <w:sz w:val="32"/>
          <w:szCs w:val="32"/>
          <w:lang w:val="en-US" w:eastAsia="zh-CN"/>
        </w:rPr>
        <w:t>加挂“盂县养老事务中心xx敬老院”牌子，</w:t>
      </w:r>
      <w:r>
        <w:rPr>
          <w:rFonts w:hint="eastAsia" w:ascii="仿宋_GB2312" w:hAnsi="仿宋_GB2312" w:eastAsia="仿宋_GB2312" w:cs="仿宋_GB2312"/>
          <w:sz w:val="32"/>
          <w:szCs w:val="32"/>
          <w:lang w:val="en-US"/>
        </w:rPr>
        <w:t>开设独立账户，统一会计核算与监督，提高资金使用效率。</w:t>
      </w:r>
      <w:r>
        <w:rPr>
          <w:rFonts w:hint="eastAsia" w:ascii="仿宋_GB2312" w:hAnsi="仿宋_GB2312" w:eastAsia="仿宋_GB2312" w:cs="仿宋_GB2312"/>
          <w:color w:val="auto"/>
          <w:sz w:val="32"/>
          <w:szCs w:val="32"/>
          <w:lang w:val="en-US" w:eastAsia="zh-CN"/>
        </w:rPr>
        <w:t>南娄、上社、梁家寨3个乡镇敬老院管理权限由乡镇划归至县民政局，在与乡镇签订的托管协议有效期内仍可采取委托运营方式运行，协议期满后由县民政局统一管理。对发生重大安全事故、虐待老人等不利于敬老院正常运营行为的，县民政局可无条件提前收回。</w:t>
      </w:r>
    </w:p>
    <w:p w14:paraId="2B62283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r>
        <w:rPr>
          <w:rFonts w:hint="eastAsia" w:ascii="仿宋_GB2312" w:hAnsi="仿宋_GB2312" w:eastAsia="仿宋_GB2312" w:cs="仿宋_GB2312"/>
          <w:sz w:val="32"/>
          <w:szCs w:val="32"/>
          <w:lang w:val="en-US" w:eastAsia="zh-CN"/>
        </w:rPr>
        <w:t xml:space="preserve">   </w:t>
      </w:r>
    </w:p>
    <w:p w14:paraId="0B28D6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县财政局</w:t>
      </w:r>
    </w:p>
    <w:p w14:paraId="DCB5304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2. 规范人员配备与管理</w:t>
      </w:r>
    </w:p>
    <w:p w14:paraId="8A153CA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县民政局统筹调配管理人员，目前乡镇自聘且行使院长、会计职责的人员，有继续从业意愿且符合条件的，经本人申请、乡镇推荐、</w:t>
      </w:r>
      <w:r>
        <w:rPr>
          <w:rFonts w:hint="eastAsia" w:ascii="仿宋_GB2312" w:hAnsi="仿宋_GB2312" w:eastAsia="仿宋_GB2312" w:cs="仿宋_GB2312"/>
          <w:color w:val="auto"/>
          <w:sz w:val="32"/>
          <w:szCs w:val="32"/>
          <w:lang w:val="en-US"/>
        </w:rPr>
        <w:t>民政</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lang w:val="en-US"/>
        </w:rPr>
        <w:t>考核后择优录取并签订聘用合同。岗位出现空缺时，按公开招聘制度招聘，鼓励中</w:t>
      </w:r>
      <w:r>
        <w:rPr>
          <w:rFonts w:hint="eastAsia" w:ascii="仿宋_GB2312" w:hAnsi="仿宋_GB2312" w:eastAsia="仿宋_GB2312" w:cs="仿宋_GB2312"/>
          <w:sz w:val="32"/>
          <w:szCs w:val="32"/>
          <w:lang w:val="en-US"/>
        </w:rPr>
        <w:t>等职业及以上院校毕业生从事养老服务工作。</w:t>
      </w:r>
    </w:p>
    <w:p w14:paraId="1D192D9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b w:val="0"/>
          <w:bCs w:val="0"/>
          <w:sz w:val="32"/>
          <w:szCs w:val="32"/>
          <w:lang w:val="en-US"/>
        </w:rPr>
        <w:t>县民政局</w:t>
      </w:r>
    </w:p>
    <w:p w14:paraId="072703F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县财政局、</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lang w:val="en-US"/>
        </w:rPr>
        <w:t>乡镇人民政府</w:t>
      </w:r>
    </w:p>
    <w:p w14:paraId="8BF980D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3. 深化薪酬与考核制度改革</w:t>
      </w:r>
    </w:p>
    <w:p w14:paraId="4CEA59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建立健全绩效考核体系，重点考核服务质量、管理水平、运营效率、满意度评价等指标。建立按岗定酬、按工作业绩取酬的内部分配激励机制，考核结果与薪酬直接挂钩。可在</w:t>
      </w:r>
      <w:r>
        <w:rPr>
          <w:rFonts w:hint="eastAsia" w:ascii="仿宋_GB2312" w:hAnsi="仿宋_GB2312" w:eastAsia="仿宋_GB2312" w:cs="仿宋_GB2312"/>
          <w:sz w:val="32"/>
          <w:szCs w:val="32"/>
          <w:lang w:val="en-US" w:eastAsia="zh-CN"/>
        </w:rPr>
        <w:t>参照</w:t>
      </w:r>
      <w:r>
        <w:rPr>
          <w:rFonts w:hint="eastAsia" w:ascii="仿宋_GB2312" w:hAnsi="仿宋_GB2312" w:eastAsia="仿宋_GB2312" w:cs="仿宋_GB2312"/>
          <w:sz w:val="32"/>
          <w:szCs w:val="32"/>
          <w:lang w:val="en-US"/>
        </w:rPr>
        <w:t>绩效工资总量范围内，自主设立值班值守、夜间查房、床位使用率、延伸服务等体现工作量的考核项目，激发工作人员积极性。</w:t>
      </w:r>
    </w:p>
    <w:p w14:paraId="4DEAC3A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p>
    <w:p w14:paraId="110D5E7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县财政局</w:t>
      </w:r>
    </w:p>
    <w:p w14:paraId="29B1E89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4. 强化经费保障机制</w:t>
      </w:r>
    </w:p>
    <w:p w14:paraId="3664219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县财政统筹安排资金，保障改革顺利实施。按实际入住特困供养人员救助供养标准足额拨付供养资金；管理人员聘期内工资福利</w:t>
      </w:r>
      <w:r>
        <w:rPr>
          <w:rFonts w:hint="eastAsia" w:ascii="仿宋_GB2312" w:hAnsi="仿宋_GB2312" w:eastAsia="仿宋_GB2312" w:cs="仿宋_GB2312"/>
          <w:sz w:val="32"/>
          <w:szCs w:val="32"/>
          <w:lang w:val="en-US" w:eastAsia="zh-CN"/>
        </w:rPr>
        <w:t>可参照原</w:t>
      </w:r>
      <w:r>
        <w:rPr>
          <w:rFonts w:hint="eastAsia" w:ascii="仿宋_GB2312" w:hAnsi="仿宋_GB2312" w:eastAsia="仿宋_GB2312" w:cs="仿宋_GB2312"/>
          <w:sz w:val="32"/>
          <w:szCs w:val="32"/>
          <w:lang w:val="en-US"/>
        </w:rPr>
        <w:t>标准执行；敬老院办公费、安全员、后勤人员工资福利足额纳入县级财政预算；房屋设施设备维修等重大支出按“三重一大”制度报请县民政局批准。</w:t>
      </w:r>
    </w:p>
    <w:p w14:paraId="6FEC175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县财政局</w:t>
      </w:r>
    </w:p>
    <w:p w14:paraId="501FF58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县民政局、</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lang w:val="en-US"/>
        </w:rPr>
        <w:t>乡镇人民政府</w:t>
      </w:r>
    </w:p>
    <w:p w14:paraId="CA443F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rPr>
      </w:pPr>
      <w:r>
        <w:rPr>
          <w:rFonts w:hint="eastAsia" w:ascii="楷体_GB2312" w:hAnsi="楷体_GB2312" w:eastAsia="楷体_GB2312" w:cs="楷体_GB2312"/>
          <w:sz w:val="32"/>
          <w:szCs w:val="32"/>
          <w:lang w:val="en-US"/>
        </w:rPr>
        <w:t>（三）创新多元运营模式</w:t>
      </w:r>
    </w:p>
    <w:p w14:paraId="25D425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在县级直管基础上，结合敬老院规模、设施条件、服务需求，“一院一策”选择以下3种运营模式，由县民政局与运营方签订规范合同，明确权责义务、服务标准、兜底保障要求、合同期限（最长不超过15年）及退出机制，确保公益属性不偏离。</w:t>
      </w:r>
    </w:p>
    <w:p w14:paraId="66E5876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模式一：维持现状，委托社会人士领办</w:t>
      </w:r>
    </w:p>
    <w:p w14:paraId="F48EB26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在现有运营基础上，通过公开遴选方式，委托本地有养老服务经验、责任心强、群众认可度高的社会人士领办，县民政局明确服务标准、考核要求和兜底保障任务，保留原有工作人员队伍，实行“领办人负责制”。</w:t>
      </w:r>
    </w:p>
    <w:p w14:paraId="2D4080A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优势：一是</w:t>
      </w:r>
      <w:r>
        <w:rPr>
          <w:rFonts w:hint="eastAsia" w:ascii="仿宋_GB2312" w:hAnsi="仿宋_GB2312" w:eastAsia="仿宋_GB2312" w:cs="仿宋_GB2312"/>
          <w:sz w:val="32"/>
          <w:szCs w:val="32"/>
          <w:lang w:val="en-US"/>
        </w:rPr>
        <w:t>熟悉本地情况，与院民、乡镇沟通协调顺畅，能快速响应特困人员及本地老年人需求；</w:t>
      </w:r>
      <w:r>
        <w:rPr>
          <w:rFonts w:hint="eastAsia" w:ascii="仿宋_GB2312" w:hAnsi="仿宋_GB2312" w:eastAsia="仿宋_GB2312" w:cs="仿宋_GB2312"/>
          <w:b/>
          <w:bCs/>
          <w:sz w:val="32"/>
          <w:szCs w:val="32"/>
          <w:lang w:val="en-US"/>
        </w:rPr>
        <w:t>二是</w:t>
      </w:r>
      <w:r>
        <w:rPr>
          <w:rFonts w:hint="eastAsia" w:ascii="仿宋_GB2312" w:hAnsi="仿宋_GB2312" w:eastAsia="仿宋_GB2312" w:cs="仿宋_GB2312"/>
          <w:sz w:val="32"/>
          <w:szCs w:val="32"/>
          <w:lang w:val="en-US"/>
        </w:rPr>
        <w:t>运营成本低，无需额外支付高额管理费用，节约财政投入；</w:t>
      </w:r>
      <w:r>
        <w:rPr>
          <w:rFonts w:hint="eastAsia" w:ascii="仿宋_GB2312" w:hAnsi="仿宋_GB2312" w:eastAsia="仿宋_GB2312" w:cs="仿宋_GB2312"/>
          <w:b/>
          <w:bCs/>
          <w:sz w:val="32"/>
          <w:szCs w:val="32"/>
          <w:lang w:val="en-US"/>
        </w:rPr>
        <w:t>三是</w:t>
      </w:r>
      <w:r>
        <w:rPr>
          <w:rFonts w:hint="eastAsia" w:ascii="仿宋_GB2312" w:hAnsi="仿宋_GB2312" w:eastAsia="仿宋_GB2312" w:cs="仿宋_GB2312"/>
          <w:sz w:val="32"/>
          <w:szCs w:val="32"/>
          <w:lang w:val="en-US"/>
        </w:rPr>
        <w:t>人员队伍稳定，过渡衔接平稳，减少</w:t>
      </w:r>
      <w:r>
        <w:rPr>
          <w:rFonts w:hint="eastAsia" w:ascii="仿宋_GB2312" w:hAnsi="仿宋_GB2312" w:eastAsia="仿宋_GB2312" w:cs="仿宋_GB2312"/>
          <w:sz w:val="32"/>
          <w:szCs w:val="32"/>
          <w:lang w:val="en-US" w:eastAsia="zh-CN"/>
        </w:rPr>
        <w:t>在住人员</w:t>
      </w:r>
      <w:r>
        <w:rPr>
          <w:rFonts w:hint="eastAsia" w:ascii="仿宋_GB2312" w:hAnsi="仿宋_GB2312" w:eastAsia="仿宋_GB2312" w:cs="仿宋_GB2312"/>
          <w:sz w:val="32"/>
          <w:szCs w:val="32"/>
          <w:lang w:val="en-US"/>
        </w:rPr>
        <w:t>适应成本。</w:t>
      </w:r>
    </w:p>
    <w:p w14:paraId="7DF48F7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劣势：一是</w:t>
      </w:r>
      <w:r>
        <w:rPr>
          <w:rFonts w:hint="eastAsia" w:ascii="仿宋_GB2312" w:hAnsi="仿宋_GB2312" w:eastAsia="仿宋_GB2312" w:cs="仿宋_GB2312"/>
          <w:sz w:val="32"/>
          <w:szCs w:val="32"/>
          <w:lang w:val="en-US"/>
        </w:rPr>
        <w:t>专业能力不足，缺乏系统化管理和服务理念，服务标准化程度低；</w:t>
      </w:r>
      <w:r>
        <w:rPr>
          <w:rFonts w:hint="eastAsia" w:ascii="仿宋_GB2312" w:hAnsi="仿宋_GB2312" w:eastAsia="仿宋_GB2312" w:cs="仿宋_GB2312"/>
          <w:b/>
          <w:bCs/>
          <w:sz w:val="32"/>
          <w:szCs w:val="32"/>
          <w:lang w:val="en-US"/>
        </w:rPr>
        <w:t>二是</w:t>
      </w:r>
      <w:r>
        <w:rPr>
          <w:rFonts w:hint="eastAsia" w:ascii="仿宋_GB2312" w:hAnsi="仿宋_GB2312" w:eastAsia="仿宋_GB2312" w:cs="仿宋_GB2312"/>
          <w:sz w:val="32"/>
          <w:szCs w:val="32"/>
          <w:lang w:val="en-US"/>
        </w:rPr>
        <w:t>资源整合能力弱，难以对接优质医疗、康复资源，服务内容单一；</w:t>
      </w:r>
      <w:r>
        <w:rPr>
          <w:rFonts w:hint="eastAsia" w:ascii="仿宋_GB2312" w:hAnsi="仿宋_GB2312" w:eastAsia="仿宋_GB2312" w:cs="仿宋_GB2312"/>
          <w:b/>
          <w:bCs/>
          <w:sz w:val="32"/>
          <w:szCs w:val="32"/>
          <w:lang w:val="en-US"/>
        </w:rPr>
        <w:t>三是</w:t>
      </w:r>
      <w:r>
        <w:rPr>
          <w:rFonts w:hint="eastAsia" w:ascii="仿宋_GB2312" w:hAnsi="仿宋_GB2312" w:eastAsia="仿宋_GB2312" w:cs="仿宋_GB2312"/>
          <w:sz w:val="32"/>
          <w:szCs w:val="32"/>
          <w:lang w:val="en-US"/>
        </w:rPr>
        <w:t>创新动力不足，服务升级迭代缓慢，难以满足多元化需求。</w:t>
      </w:r>
    </w:p>
    <w:p w14:paraId="3255BAC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模式二：委托县国有资本运营公司统一经营</w:t>
      </w:r>
    </w:p>
    <w:p w14:paraId="E65283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由县国有资本运营公司作为运营主体，对敬老院实行统一规划、统一投入、统一管理、统一服务，整合县域内养老服务资源，实现规模化、集约化运营。</w:t>
      </w:r>
    </w:p>
    <w:p w14:paraId="303658D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优势：一是</w:t>
      </w:r>
      <w:r>
        <w:rPr>
          <w:rFonts w:hint="eastAsia" w:ascii="仿宋_GB2312" w:hAnsi="仿宋_GB2312" w:eastAsia="仿宋_GB2312" w:cs="仿宋_GB2312"/>
          <w:sz w:val="32"/>
          <w:szCs w:val="32"/>
          <w:lang w:val="en-US"/>
        </w:rPr>
        <w:t>资金实力雄厚，能集中投入用于设施提质改造和服务升级；</w:t>
      </w:r>
      <w:r>
        <w:rPr>
          <w:rFonts w:hint="eastAsia" w:ascii="仿宋_GB2312" w:hAnsi="仿宋_GB2312" w:eastAsia="仿宋_GB2312" w:cs="仿宋_GB2312"/>
          <w:b/>
          <w:bCs/>
          <w:sz w:val="32"/>
          <w:szCs w:val="32"/>
          <w:lang w:val="en-US"/>
        </w:rPr>
        <w:t>二是</w:t>
      </w:r>
      <w:r>
        <w:rPr>
          <w:rFonts w:hint="eastAsia" w:ascii="仿宋_GB2312" w:hAnsi="仿宋_GB2312" w:eastAsia="仿宋_GB2312" w:cs="仿宋_GB2312"/>
          <w:sz w:val="32"/>
          <w:szCs w:val="32"/>
          <w:lang w:val="en-US"/>
        </w:rPr>
        <w:t>管理规范，严格执行政策要求和服务标准，运营合规性强；</w:t>
      </w:r>
      <w:r>
        <w:rPr>
          <w:rFonts w:hint="eastAsia" w:ascii="仿宋_GB2312" w:hAnsi="仿宋_GB2312" w:eastAsia="仿宋_GB2312" w:cs="仿宋_GB2312"/>
          <w:b/>
          <w:bCs/>
          <w:sz w:val="32"/>
          <w:szCs w:val="32"/>
          <w:lang w:val="en-US"/>
        </w:rPr>
        <w:t>三是</w:t>
      </w:r>
      <w:r>
        <w:rPr>
          <w:rFonts w:hint="eastAsia" w:ascii="仿宋_GB2312" w:hAnsi="仿宋_GB2312" w:eastAsia="仿宋_GB2312" w:cs="仿宋_GB2312"/>
          <w:sz w:val="32"/>
          <w:szCs w:val="32"/>
          <w:lang w:val="en-US"/>
        </w:rPr>
        <w:t>资源整合能力强，可联动县域医疗、文旅等资源，拓展服务内容；</w:t>
      </w:r>
      <w:r>
        <w:rPr>
          <w:rFonts w:hint="eastAsia" w:ascii="仿宋_GB2312" w:hAnsi="仿宋_GB2312" w:eastAsia="仿宋_GB2312" w:cs="仿宋_GB2312"/>
          <w:b/>
          <w:bCs/>
          <w:sz w:val="32"/>
          <w:szCs w:val="32"/>
          <w:lang w:val="en-US"/>
        </w:rPr>
        <w:t>四是</w:t>
      </w:r>
      <w:r>
        <w:rPr>
          <w:rFonts w:hint="eastAsia" w:ascii="仿宋_GB2312" w:hAnsi="仿宋_GB2312" w:eastAsia="仿宋_GB2312" w:cs="仿宋_GB2312"/>
          <w:sz w:val="32"/>
          <w:szCs w:val="32"/>
          <w:lang w:val="en-US"/>
        </w:rPr>
        <w:t>国有背景信誉度高，群众认可度强。</w:t>
      </w:r>
    </w:p>
    <w:p w14:paraId="606845D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劣势：一是</w:t>
      </w:r>
      <w:r>
        <w:rPr>
          <w:rFonts w:hint="eastAsia" w:ascii="仿宋_GB2312" w:hAnsi="仿宋_GB2312" w:eastAsia="仿宋_GB2312" w:cs="仿宋_GB2312"/>
          <w:sz w:val="32"/>
          <w:szCs w:val="32"/>
          <w:lang w:val="en-US"/>
        </w:rPr>
        <w:t>市场化运营灵活性不足，决策流程</w:t>
      </w:r>
      <w:r>
        <w:rPr>
          <w:rFonts w:hint="eastAsia" w:ascii="仿宋_GB2312" w:hAnsi="仿宋_GB2312" w:eastAsia="仿宋_GB2312" w:cs="仿宋_GB2312"/>
          <w:sz w:val="32"/>
          <w:szCs w:val="32"/>
          <w:lang w:val="en-US" w:eastAsia="zh-CN"/>
        </w:rPr>
        <w:t>繁琐</w:t>
      </w:r>
      <w:r>
        <w:rPr>
          <w:rFonts w:hint="eastAsia" w:ascii="仿宋_GB2312" w:hAnsi="仿宋_GB2312" w:eastAsia="仿宋_GB2312" w:cs="仿宋_GB2312"/>
          <w:sz w:val="32"/>
          <w:szCs w:val="32"/>
          <w:lang w:val="en-US"/>
        </w:rPr>
        <w:t>，对个性化需求响应不够及时；</w:t>
      </w:r>
      <w:r>
        <w:rPr>
          <w:rFonts w:hint="eastAsia" w:ascii="仿宋_GB2312" w:hAnsi="仿宋_GB2312" w:eastAsia="仿宋_GB2312" w:cs="仿宋_GB2312"/>
          <w:b/>
          <w:bCs/>
          <w:sz w:val="32"/>
          <w:szCs w:val="32"/>
          <w:lang w:val="en-US"/>
        </w:rPr>
        <w:t>二是</w:t>
      </w:r>
      <w:r>
        <w:rPr>
          <w:rFonts w:hint="eastAsia" w:ascii="仿宋_GB2312" w:hAnsi="仿宋_GB2312" w:eastAsia="仿宋_GB2312" w:cs="仿宋_GB2312"/>
          <w:sz w:val="32"/>
          <w:szCs w:val="32"/>
          <w:lang w:val="en-US"/>
        </w:rPr>
        <w:t>激励机制相对僵化，工作人员积极性可能受限；</w:t>
      </w:r>
      <w:r>
        <w:rPr>
          <w:rFonts w:hint="eastAsia" w:ascii="仿宋_GB2312" w:hAnsi="仿宋_GB2312" w:eastAsia="仿宋_GB2312" w:cs="仿宋_GB2312"/>
          <w:b/>
          <w:bCs/>
          <w:sz w:val="32"/>
          <w:szCs w:val="32"/>
          <w:lang w:val="en-US"/>
        </w:rPr>
        <w:t>三是</w:t>
      </w:r>
      <w:r>
        <w:rPr>
          <w:rFonts w:hint="eastAsia" w:ascii="仿宋_GB2312" w:hAnsi="仿宋_GB2312" w:eastAsia="仿宋_GB2312" w:cs="仿宋_GB2312"/>
          <w:sz w:val="32"/>
          <w:szCs w:val="32"/>
          <w:lang w:val="en-US"/>
        </w:rPr>
        <w:t>专业养老服务经验欠缺，需引入外部技术支持。</w:t>
      </w:r>
    </w:p>
    <w:p w14:paraId="8F0800B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模式三：引进专业团队进行经营</w:t>
      </w:r>
    </w:p>
    <w:p w14:paraId="39FE00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通过公开招标、竞争性磋商等方式，引进具备成熟养老服务经验、资质齐全、信誉良好的专业养老服务机构（团队），负责敬老院的运营管理和服务提供，县民政局负责监督考核。</w:t>
      </w:r>
    </w:p>
    <w:p w14:paraId="F3D6A28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优势：一是</w:t>
      </w:r>
      <w:r>
        <w:rPr>
          <w:rFonts w:hint="eastAsia" w:ascii="仿宋_GB2312" w:hAnsi="仿宋_GB2312" w:eastAsia="仿宋_GB2312" w:cs="仿宋_GB2312"/>
          <w:sz w:val="32"/>
          <w:szCs w:val="32"/>
          <w:lang w:val="en-US"/>
        </w:rPr>
        <w:t>专业能力强，拥有标准化服务流程和管理体系，能快速提升服务质量；</w:t>
      </w:r>
      <w:r>
        <w:rPr>
          <w:rFonts w:hint="eastAsia" w:ascii="仿宋_GB2312" w:hAnsi="仿宋_GB2312" w:eastAsia="仿宋_GB2312" w:cs="仿宋_GB2312"/>
          <w:b/>
          <w:bCs/>
          <w:sz w:val="32"/>
          <w:szCs w:val="32"/>
          <w:lang w:val="en-US"/>
        </w:rPr>
        <w:t>二是</w:t>
      </w:r>
      <w:r>
        <w:rPr>
          <w:rFonts w:hint="eastAsia" w:ascii="仿宋_GB2312" w:hAnsi="仿宋_GB2312" w:eastAsia="仿宋_GB2312" w:cs="仿宋_GB2312"/>
          <w:sz w:val="32"/>
          <w:szCs w:val="32"/>
          <w:lang w:val="en-US"/>
        </w:rPr>
        <w:t>服务理念先进，可提供失能失智照护、康复护理等多元化服务；</w:t>
      </w:r>
      <w:r>
        <w:rPr>
          <w:rFonts w:hint="eastAsia" w:ascii="仿宋_GB2312" w:hAnsi="仿宋_GB2312" w:eastAsia="仿宋_GB2312" w:cs="仿宋_GB2312"/>
          <w:b/>
          <w:bCs/>
          <w:sz w:val="32"/>
          <w:szCs w:val="32"/>
          <w:lang w:val="en-US"/>
        </w:rPr>
        <w:t>三是</w:t>
      </w:r>
      <w:r>
        <w:rPr>
          <w:rFonts w:hint="eastAsia" w:ascii="仿宋_GB2312" w:hAnsi="仿宋_GB2312" w:eastAsia="仿宋_GB2312" w:cs="仿宋_GB2312"/>
          <w:sz w:val="32"/>
          <w:szCs w:val="32"/>
          <w:lang w:val="en-US"/>
        </w:rPr>
        <w:t>人才储备充足</w:t>
      </w:r>
      <w:r>
        <w:rPr>
          <w:rFonts w:hint="eastAsia" w:ascii="仿宋_GB2312" w:hAnsi="仿宋_GB2312" w:eastAsia="仿宋_GB2312" w:cs="仿宋_GB2312"/>
          <w:sz w:val="32"/>
          <w:szCs w:val="32"/>
          <w:lang w:val="en-US" w:eastAsia="zh-CN"/>
        </w:rPr>
        <w:t>，可</w:t>
      </w:r>
      <w:r>
        <w:rPr>
          <w:rFonts w:hint="eastAsia" w:ascii="仿宋_GB2312" w:hAnsi="仿宋_GB2312" w:eastAsia="仿宋_GB2312" w:cs="仿宋_GB2312"/>
          <w:sz w:val="32"/>
          <w:szCs w:val="32"/>
          <w:lang w:val="en-US"/>
        </w:rPr>
        <w:t>配备专业护理员、康复师等，无需额外投入人才培养；</w:t>
      </w:r>
      <w:r>
        <w:rPr>
          <w:rFonts w:hint="eastAsia" w:ascii="仿宋_GB2312" w:hAnsi="仿宋_GB2312" w:eastAsia="仿宋_GB2312" w:cs="仿宋_GB2312"/>
          <w:b/>
          <w:bCs/>
          <w:sz w:val="32"/>
          <w:szCs w:val="32"/>
          <w:lang w:val="en-US"/>
        </w:rPr>
        <w:t>四是</w:t>
      </w:r>
      <w:r>
        <w:rPr>
          <w:rFonts w:hint="eastAsia" w:ascii="仿宋_GB2312" w:hAnsi="仿宋_GB2312" w:eastAsia="仿宋_GB2312" w:cs="仿宋_GB2312"/>
          <w:sz w:val="32"/>
          <w:szCs w:val="32"/>
          <w:lang w:val="en-US"/>
        </w:rPr>
        <w:t>创新能力强，能引入智慧养老、医养结合等新型模式。</w:t>
      </w:r>
    </w:p>
    <w:p w14:paraId="AC3CD5F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劣势：一是</w:t>
      </w:r>
      <w:r>
        <w:rPr>
          <w:rFonts w:hint="eastAsia" w:ascii="仿宋_GB2312" w:hAnsi="仿宋_GB2312" w:eastAsia="仿宋_GB2312" w:cs="仿宋_GB2312"/>
          <w:sz w:val="32"/>
          <w:szCs w:val="32"/>
          <w:lang w:val="en-US"/>
        </w:rPr>
        <w:t>运营成本高，可能需提高社会服务收费或增加财政补贴；</w:t>
      </w:r>
      <w:r>
        <w:rPr>
          <w:rFonts w:hint="eastAsia" w:ascii="仿宋_GB2312" w:hAnsi="仿宋_GB2312" w:eastAsia="仿宋_GB2312" w:cs="仿宋_GB2312"/>
          <w:b/>
          <w:bCs/>
          <w:sz w:val="32"/>
          <w:szCs w:val="32"/>
          <w:lang w:val="en-US"/>
        </w:rPr>
        <w:t>二是</w:t>
      </w:r>
      <w:r>
        <w:rPr>
          <w:rFonts w:hint="eastAsia" w:ascii="仿宋_GB2312" w:hAnsi="仿宋_GB2312" w:eastAsia="仿宋_GB2312" w:cs="仿宋_GB2312"/>
          <w:sz w:val="32"/>
          <w:szCs w:val="32"/>
          <w:lang w:val="en-US"/>
        </w:rPr>
        <w:t>对本地情况熟悉度不足，初期衔接存在磨合成本；</w:t>
      </w:r>
      <w:r>
        <w:rPr>
          <w:rFonts w:hint="eastAsia" w:ascii="仿宋_GB2312" w:hAnsi="仿宋_GB2312" w:eastAsia="仿宋_GB2312" w:cs="仿宋_GB2312"/>
          <w:b/>
          <w:bCs/>
          <w:sz w:val="32"/>
          <w:szCs w:val="32"/>
          <w:lang w:val="en-US"/>
        </w:rPr>
        <w:t>三是</w:t>
      </w:r>
      <w:r>
        <w:rPr>
          <w:rFonts w:hint="eastAsia" w:ascii="仿宋_GB2312" w:hAnsi="仿宋_GB2312" w:eastAsia="仿宋_GB2312" w:cs="仿宋_GB2312"/>
          <w:sz w:val="32"/>
          <w:szCs w:val="32"/>
          <w:lang w:val="en-US"/>
        </w:rPr>
        <w:t>若过度追求效益，可能弱化兜底保障职能。</w:t>
      </w:r>
    </w:p>
    <w:p w14:paraId="608DD2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rPr>
      </w:pPr>
      <w:r>
        <w:rPr>
          <w:rFonts w:hint="eastAsia" w:ascii="楷体_GB2312" w:hAnsi="楷体_GB2312" w:eastAsia="楷体_GB2312" w:cs="楷体_GB2312"/>
          <w:sz w:val="32"/>
          <w:szCs w:val="32"/>
          <w:lang w:val="en-US"/>
        </w:rPr>
        <w:t>（四）强化服务规范与品质提升</w:t>
      </w:r>
    </w:p>
    <w:p w14:paraId="695C65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1. 健全管理制度体系</w:t>
      </w:r>
    </w:p>
    <w:p w14:paraId="61FB1EF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建立完善民主监督、财务管理、院务公开及安全、消防、食品、卫生等各项管理制度，确保规范执行。坚决整治财务制度不健全、记账不规范等问题，杜绝套取、挪用、截留特困人员供养经费等行为。救助供养专项经费及机构运转经费按《阳泉市民政局关于集中供养特困人员救助补助资金使用的指导意见（试行）》管理使用，其中供养补助资金70%以上用于伙食费、服装费、零用钱等。</w:t>
      </w:r>
    </w:p>
    <w:p w14:paraId="72A2B35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p>
    <w:p w14:paraId="0A35C91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县市场监管局、各乡镇人民政府</w:t>
      </w:r>
    </w:p>
    <w:p w14:paraId="9A6C232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2. 规范服务对象与收费管理</w:t>
      </w:r>
    </w:p>
    <w:p w14:paraId="9BCDD8E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服务对象优先保障特困人员，其次覆盖低保及低保边缘家庭失能（失智）、高龄、残疾老年人、计划生育特殊家庭老年人等，空余床位向社会开放。接收社会老人的床位费</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rPr>
        <w:t>护理费</w:t>
      </w:r>
      <w:r>
        <w:rPr>
          <w:rFonts w:hint="eastAsia" w:ascii="仿宋_GB2312" w:hAnsi="仿宋_GB2312" w:eastAsia="仿宋_GB2312" w:cs="仿宋_GB2312"/>
          <w:sz w:val="32"/>
          <w:szCs w:val="32"/>
          <w:lang w:val="en-US" w:eastAsia="zh-CN"/>
        </w:rPr>
        <w:t>严格按照《盂县各乡镇公办公营养老机构（敬老院）有关收费标准（试行）》执行</w:t>
      </w:r>
      <w:r>
        <w:rPr>
          <w:rFonts w:hint="eastAsia" w:ascii="仿宋_GB2312" w:hAnsi="仿宋_GB2312" w:eastAsia="仿宋_GB2312" w:cs="仿宋_GB2312"/>
          <w:sz w:val="32"/>
          <w:szCs w:val="32"/>
          <w:lang w:val="en-US"/>
        </w:rPr>
        <w:t>，在运营场所醒目位置标明服务项目、内容、收费标准、投诉电话等，主动接受监督。</w:t>
      </w:r>
    </w:p>
    <w:p w14:paraId="442F002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p>
    <w:p w14:paraId="132F6C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县发改</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lang w:val="en-US"/>
        </w:rPr>
        <w:t>、县市场监管局、各乡镇人民政府</w:t>
      </w:r>
    </w:p>
    <w:p w14:paraId="7C0DD99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3. 推进设施提质改造</w:t>
      </w:r>
    </w:p>
    <w:p w14:paraId="4405186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2026年底前完成敬老院提质改造，重点升级改造消防设施、护理型床位、安全监控系统等。对设施老旧、存在安全隐患的敬老院，加大改造力度，消除安全风险，满足老年人住宿、餐饮、如厕、卫生保健、文体娱乐等基本需求。</w:t>
      </w:r>
    </w:p>
    <w:p w14:paraId="2E8D5A6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p>
    <w:p w14:paraId="2E2229E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县财政局、县住建局、县消防救援大队、各乡镇人民政府</w:t>
      </w:r>
    </w:p>
    <w:p w14:paraId="1E8B447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4. 拓展延伸服务内容</w:t>
      </w:r>
    </w:p>
    <w:p w14:paraId="250BFA5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推动敬老院面向周边村（社区）老年人提供短期托养、日间照料、家庭养老床位以及助餐、助浴、助洁、助急、助医等延伸服务。可通过公建民营等方式委托社会力量运营，或统筹用于居家社区养老服务和农村</w:t>
      </w:r>
      <w:r>
        <w:rPr>
          <w:rFonts w:hint="eastAsia" w:ascii="仿宋_GB2312" w:hAnsi="仿宋_GB2312" w:eastAsia="仿宋_GB2312" w:cs="仿宋_GB2312"/>
          <w:sz w:val="32"/>
          <w:szCs w:val="32"/>
          <w:lang w:val="en-US" w:eastAsia="zh-CN"/>
        </w:rPr>
        <w:t>互助性养老服务</w:t>
      </w:r>
      <w:r>
        <w:rPr>
          <w:rFonts w:hint="eastAsia" w:ascii="仿宋_GB2312" w:hAnsi="仿宋_GB2312" w:eastAsia="仿宋_GB2312" w:cs="仿宋_GB2312"/>
          <w:sz w:val="32"/>
          <w:szCs w:val="32"/>
          <w:lang w:val="en-US"/>
        </w:rPr>
        <w:t>，提升资源利用效率。</w:t>
      </w:r>
    </w:p>
    <w:p w14:paraId="42510A8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p>
    <w:p w14:paraId="521BF9A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县卫健局、各乡镇人民政府、各运营方</w:t>
      </w:r>
    </w:p>
    <w:p w14:paraId="0EBE766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5. 加强从业人员能力建设</w:t>
      </w:r>
    </w:p>
    <w:p w14:paraId="6B46B4D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严格执行《养老机构岗位设置及人员配备规范》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rPr>
        <w:t>MZ/T 187-2021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rPr>
        <w:t>，按</w:t>
      </w:r>
      <w:r>
        <w:rPr>
          <w:rFonts w:hint="eastAsia" w:ascii="仿宋_GB2312" w:hAnsi="仿宋_GB2312" w:eastAsia="仿宋_GB2312" w:cs="仿宋_GB2312"/>
          <w:sz w:val="32"/>
          <w:szCs w:val="32"/>
          <w:lang w:val="en-US" w:eastAsia="zh-CN"/>
        </w:rPr>
        <w:t>要求</w:t>
      </w:r>
      <w:r>
        <w:rPr>
          <w:rFonts w:hint="eastAsia" w:ascii="仿宋_GB2312" w:hAnsi="仿宋_GB2312" w:eastAsia="仿宋_GB2312" w:cs="仿宋_GB2312"/>
          <w:sz w:val="32"/>
          <w:szCs w:val="32"/>
          <w:lang w:val="en-US"/>
        </w:rPr>
        <w:t>比例配备养老护理员。建立岗前培训和在岗轮训制度，20</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lang w:val="en-US"/>
        </w:rPr>
        <w:t>年底前实现养老院长和护理员培训上岗率100%。落实养老服务从业人员一次性入职奖励制度，依法购买社会保险，确保工资薪酬不低于本地最低工资标准并向一线护理人员倾斜。</w:t>
      </w:r>
    </w:p>
    <w:p w14:paraId="162D77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p>
    <w:p w14:paraId="35423E8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县卫健局、各乡镇人民政府</w:t>
      </w:r>
    </w:p>
    <w:p w14:paraId="E5C846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rPr>
      </w:pPr>
      <w:r>
        <w:rPr>
          <w:rFonts w:hint="eastAsia" w:ascii="楷体_GB2312" w:hAnsi="楷体_GB2312" w:eastAsia="楷体_GB2312" w:cs="楷体_GB2312"/>
          <w:sz w:val="32"/>
          <w:szCs w:val="32"/>
          <w:lang w:val="en-US"/>
        </w:rPr>
        <w:t>（五）健全监管考核与风险防控机制</w:t>
      </w:r>
    </w:p>
    <w:p w14:paraId="9CF1E2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1. 建立多方监管体系</w:t>
      </w:r>
    </w:p>
    <w:p w14:paraId="3A71869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构建“民政监管+部门联动+乡镇协管+社会监督”体系。县民政局定期开展运营管理、服务质量、安全生产专项检查；相关部门依职责做好食品安全、消防安全、医疗服务监管；乡镇履行属地责任，强化安全生产、服务质量监督，配合做好特困对象集中供养及在院老年人安全维稳工作；设立投诉举报电话和信箱，接受服务对象和社会监督。</w:t>
      </w:r>
    </w:p>
    <w:p w14:paraId="7ED7E10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p>
    <w:p w14:paraId="4CE2165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县卫健局、县市场监管局、县消防救援大队、各乡镇人民政府</w:t>
      </w:r>
    </w:p>
    <w:p w14:paraId="16A0562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rPr>
      </w:pPr>
      <w:r>
        <w:rPr>
          <w:rFonts w:hint="eastAsia" w:ascii="仿宋_GB2312" w:hAnsi="仿宋_GB2312" w:eastAsia="仿宋_GB2312" w:cs="仿宋_GB2312"/>
          <w:b/>
          <w:bCs/>
          <w:sz w:val="32"/>
          <w:szCs w:val="32"/>
          <w:lang w:val="en-US"/>
        </w:rPr>
        <w:t>2. 完善考核与退出机制</w:t>
      </w:r>
    </w:p>
    <w:p w14:paraId="A902E8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制定《盂县乡镇敬老院运营管理考核细则》，实行“日常考核+季度评估+年度总评”。考核结果与运营补贴、评优评先、合同续签挂钩，对考核不合格的限期整改，整改无效的启动退出机制。将运营方纳入养老服务信用体系，落实“红黑名单”制度，对诚信经营、服务优质的给予</w:t>
      </w:r>
      <w:r>
        <w:rPr>
          <w:rFonts w:hint="eastAsia" w:ascii="仿宋_GB2312" w:hAnsi="仿宋_GB2312" w:eastAsia="仿宋_GB2312" w:cs="仿宋_GB2312"/>
          <w:sz w:val="32"/>
          <w:szCs w:val="32"/>
          <w:lang w:val="en-US" w:eastAsia="zh-CN"/>
        </w:rPr>
        <w:t>资金、</w:t>
      </w:r>
      <w:r>
        <w:rPr>
          <w:rFonts w:hint="eastAsia" w:ascii="仿宋_GB2312" w:hAnsi="仿宋_GB2312" w:eastAsia="仿宋_GB2312" w:cs="仿宋_GB2312"/>
          <w:sz w:val="32"/>
          <w:szCs w:val="32"/>
          <w:lang w:val="en-US"/>
        </w:rPr>
        <w:t>政策</w:t>
      </w:r>
      <w:r>
        <w:rPr>
          <w:rFonts w:hint="eastAsia" w:ascii="仿宋_GB2312" w:hAnsi="仿宋_GB2312" w:eastAsia="仿宋_GB2312" w:cs="仿宋_GB2312"/>
          <w:sz w:val="32"/>
          <w:szCs w:val="32"/>
          <w:lang w:val="en-US" w:eastAsia="zh-CN"/>
        </w:rPr>
        <w:t>等方面</w:t>
      </w:r>
      <w:r>
        <w:rPr>
          <w:rFonts w:hint="eastAsia" w:ascii="仿宋_GB2312" w:hAnsi="仿宋_GB2312" w:eastAsia="仿宋_GB2312" w:cs="仿宋_GB2312"/>
          <w:sz w:val="32"/>
          <w:szCs w:val="32"/>
          <w:lang w:val="en-US"/>
        </w:rPr>
        <w:t>倾斜，对违规失信的依法限制参与养老服务领域经营。</w:t>
      </w:r>
    </w:p>
    <w:p w14:paraId="614622C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w:t>
      </w:r>
      <w:r>
        <w:rPr>
          <w:rFonts w:hint="eastAsia" w:ascii="仿宋_GB2312" w:hAnsi="仿宋_GB2312" w:eastAsia="仿宋_GB2312" w:cs="仿宋_GB2312"/>
          <w:sz w:val="32"/>
          <w:szCs w:val="32"/>
          <w:lang w:val="en-US" w:eastAsia="zh-CN"/>
        </w:rPr>
        <w:t>政</w:t>
      </w:r>
      <w:r>
        <w:rPr>
          <w:rFonts w:hint="eastAsia" w:ascii="仿宋_GB2312" w:hAnsi="仿宋_GB2312" w:eastAsia="仿宋_GB2312" w:cs="仿宋_GB2312"/>
          <w:sz w:val="32"/>
          <w:szCs w:val="32"/>
          <w:lang w:val="en-US"/>
        </w:rPr>
        <w:t>局</w:t>
      </w:r>
    </w:p>
    <w:p w14:paraId="06B5468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县财政局、各乡镇人民政府</w:t>
      </w:r>
    </w:p>
    <w:p w14:paraId="286F72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3. 强化安全风险防控</w:t>
      </w:r>
    </w:p>
    <w:p w14:paraId="5A0478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具体内容：</w:t>
      </w:r>
      <w:r>
        <w:rPr>
          <w:rFonts w:hint="eastAsia" w:ascii="仿宋_GB2312" w:hAnsi="仿宋_GB2312" w:eastAsia="仿宋_GB2312" w:cs="仿宋_GB2312"/>
          <w:sz w:val="32"/>
          <w:szCs w:val="32"/>
          <w:lang w:val="en-US"/>
        </w:rPr>
        <w:t>定期开展消防安全、食品安全、设施安全等隐患排查整治，建立风险隐患排查、整治、销号闭环管理制度。制定应急预案，定期开展应急演练，提升火灾、自然灾害等突发事件处置能力。敬老院投保责任保险，降低运营风险。</w:t>
      </w:r>
    </w:p>
    <w:p w14:paraId="1E1EAAF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牵头单位：</w:t>
      </w:r>
      <w:r>
        <w:rPr>
          <w:rFonts w:hint="eastAsia" w:ascii="仿宋_GB2312" w:hAnsi="仿宋_GB2312" w:eastAsia="仿宋_GB2312" w:cs="仿宋_GB2312"/>
          <w:sz w:val="32"/>
          <w:szCs w:val="32"/>
          <w:lang w:val="en-US"/>
        </w:rPr>
        <w:t>县民政局</w:t>
      </w:r>
    </w:p>
    <w:p w14:paraId="3BB7A64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rPr>
        <w:t>责任单位：</w:t>
      </w:r>
      <w:r>
        <w:rPr>
          <w:rFonts w:hint="eastAsia" w:ascii="仿宋_GB2312" w:hAnsi="仿宋_GB2312" w:eastAsia="仿宋_GB2312" w:cs="仿宋_GB2312"/>
          <w:sz w:val="32"/>
          <w:szCs w:val="32"/>
          <w:lang w:val="en-US"/>
        </w:rPr>
        <w:t>县消防救援大队、县市场监管局、县卫健局、各乡镇人民政府</w:t>
      </w:r>
    </w:p>
    <w:p w14:paraId="EC8A4E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rPr>
      </w:pPr>
      <w:r>
        <w:rPr>
          <w:rFonts w:hint="eastAsia" w:ascii="黑体" w:hAnsi="黑体" w:eastAsia="黑体" w:cs="黑体"/>
          <w:sz w:val="32"/>
          <w:szCs w:val="32"/>
          <w:lang w:val="en-US" w:eastAsia="zh-CN"/>
        </w:rPr>
        <w:t>四</w:t>
      </w:r>
      <w:r>
        <w:rPr>
          <w:rFonts w:hint="eastAsia" w:ascii="黑体" w:hAnsi="黑体" w:eastAsia="黑体" w:cs="黑体"/>
          <w:sz w:val="32"/>
          <w:szCs w:val="32"/>
          <w:lang w:val="en-US"/>
        </w:rPr>
        <w:t>、工作步骤</w:t>
      </w:r>
    </w:p>
    <w:p w14:paraId="D53183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rPr>
      </w:pPr>
      <w:r>
        <w:rPr>
          <w:rFonts w:hint="eastAsia" w:ascii="楷体_GB2312" w:hAnsi="楷体_GB2312" w:eastAsia="楷体_GB2312" w:cs="楷体_GB2312"/>
          <w:sz w:val="32"/>
          <w:szCs w:val="32"/>
          <w:lang w:val="en-US"/>
        </w:rPr>
        <w:t>（一）准备阶段（202</w:t>
      </w:r>
      <w:r>
        <w:rPr>
          <w:rFonts w:hint="eastAsia" w:ascii="楷体_GB2312" w:hAnsi="楷体_GB2312" w:eastAsia="楷体_GB2312" w:cs="楷体_GB2312"/>
          <w:sz w:val="32"/>
          <w:szCs w:val="32"/>
          <w:lang w:val="en-US" w:eastAsia="zh-CN"/>
        </w:rPr>
        <w:t>6</w:t>
      </w:r>
      <w:r>
        <w:rPr>
          <w:rFonts w:hint="eastAsia" w:ascii="楷体_GB2312" w:hAnsi="楷体_GB2312" w:eastAsia="楷体_GB2312" w:cs="楷体_GB2312"/>
          <w:sz w:val="32"/>
          <w:szCs w:val="32"/>
          <w:lang w:val="en-US"/>
        </w:rPr>
        <w:t>年1</w:t>
      </w:r>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lang w:val="en-US"/>
        </w:rPr>
        <w:t>月</w:t>
      </w:r>
      <w:r>
        <w:rPr>
          <w:rFonts w:hint="eastAsia" w:ascii="楷体_GB2312" w:hAnsi="楷体_GB2312" w:eastAsia="楷体_GB2312" w:cs="楷体_GB2312"/>
          <w:sz w:val="32"/>
          <w:szCs w:val="32"/>
          <w:lang w:val="en-US" w:eastAsia="zh-CN"/>
        </w:rPr>
        <w:t>底</w:t>
      </w:r>
      <w:r>
        <w:rPr>
          <w:rFonts w:hint="eastAsia" w:ascii="楷体_GB2312" w:hAnsi="楷体_GB2312" w:eastAsia="楷体_GB2312" w:cs="楷体_GB2312"/>
          <w:sz w:val="32"/>
          <w:szCs w:val="32"/>
          <w:lang w:val="en-US"/>
        </w:rPr>
        <w:t>）</w:t>
      </w:r>
    </w:p>
    <w:p w14:paraId="1416F6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印发本实施方案，召开动员部署会，明确任务分工、责任主体和工作要求。</w:t>
      </w:r>
    </w:p>
    <w:p w14:paraId="CF0FC1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县民政局牵头，联合县财</w:t>
      </w:r>
      <w:r>
        <w:rPr>
          <w:rFonts w:hint="eastAsia" w:ascii="仿宋_GB2312" w:hAnsi="仿宋_GB2312" w:eastAsia="仿宋_GB2312" w:cs="仿宋_GB2312"/>
          <w:color w:val="auto"/>
          <w:sz w:val="32"/>
          <w:szCs w:val="32"/>
          <w:lang w:val="en-US"/>
        </w:rPr>
        <w:t>政局、</w:t>
      </w:r>
      <w:r>
        <w:rPr>
          <w:rFonts w:hint="eastAsia" w:ascii="仿宋_GB2312" w:hAnsi="仿宋_GB2312" w:eastAsia="仿宋_GB2312" w:cs="仿宋_GB2312"/>
          <w:color w:val="auto"/>
          <w:sz w:val="32"/>
          <w:szCs w:val="32"/>
          <w:lang w:val="en-US" w:eastAsia="zh-CN"/>
        </w:rPr>
        <w:t>县农村经济事务指导中心</w:t>
      </w:r>
      <w:r>
        <w:rPr>
          <w:rFonts w:hint="eastAsia" w:ascii="仿宋_GB2312" w:hAnsi="仿宋_GB2312" w:eastAsia="仿宋_GB2312" w:cs="仿宋_GB2312"/>
          <w:sz w:val="32"/>
          <w:szCs w:val="32"/>
          <w:lang w:val="en-US"/>
        </w:rPr>
        <w:t>及</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lang w:val="en-US"/>
        </w:rPr>
        <w:t>乡镇，完成所有乡镇敬老院财务、资产清产核资与造册登记。</w:t>
      </w:r>
    </w:p>
    <w:p w14:paraId="19584E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rPr>
      </w:pPr>
      <w:r>
        <w:rPr>
          <w:rFonts w:hint="eastAsia" w:ascii="楷体_GB2312" w:hAnsi="楷体_GB2312" w:eastAsia="楷体_GB2312" w:cs="楷体_GB2312"/>
          <w:sz w:val="32"/>
          <w:szCs w:val="32"/>
          <w:lang w:val="en-US"/>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val="en-US"/>
        </w:rPr>
        <w:t>）落地阶段（202</w:t>
      </w:r>
      <w:r>
        <w:rPr>
          <w:rFonts w:hint="eastAsia" w:ascii="楷体_GB2312" w:hAnsi="楷体_GB2312" w:eastAsia="楷体_GB2312" w:cs="楷体_GB2312"/>
          <w:sz w:val="32"/>
          <w:szCs w:val="32"/>
          <w:lang w:val="en-US" w:eastAsia="zh-CN"/>
        </w:rPr>
        <w:t>6</w:t>
      </w:r>
      <w:r>
        <w:rPr>
          <w:rFonts w:hint="eastAsia" w:ascii="楷体_GB2312" w:hAnsi="楷体_GB2312" w:eastAsia="楷体_GB2312" w:cs="楷体_GB2312"/>
          <w:sz w:val="32"/>
          <w:szCs w:val="32"/>
          <w:lang w:val="en-US"/>
        </w:rPr>
        <w:t>年</w:t>
      </w:r>
      <w:r>
        <w:rPr>
          <w:rFonts w:hint="eastAsia" w:ascii="楷体_GB2312" w:hAnsi="楷体_GB2312" w:eastAsia="楷体_GB2312" w:cs="楷体_GB2312"/>
          <w:sz w:val="32"/>
          <w:szCs w:val="32"/>
          <w:lang w:val="en-US" w:eastAsia="zh-CN"/>
        </w:rPr>
        <w:t>12</w:t>
      </w:r>
      <w:r>
        <w:rPr>
          <w:rFonts w:hint="eastAsia" w:ascii="楷体_GB2312" w:hAnsi="楷体_GB2312" w:eastAsia="楷体_GB2312" w:cs="楷体_GB2312"/>
          <w:sz w:val="32"/>
          <w:szCs w:val="32"/>
          <w:lang w:val="en-US"/>
        </w:rPr>
        <w:t>月</w:t>
      </w:r>
      <w:r>
        <w:rPr>
          <w:rFonts w:hint="eastAsia" w:ascii="楷体_GB2312" w:hAnsi="楷体_GB2312" w:eastAsia="楷体_GB2312" w:cs="楷体_GB2312"/>
          <w:sz w:val="32"/>
          <w:szCs w:val="32"/>
          <w:lang w:val="en-US" w:eastAsia="zh-CN"/>
        </w:rPr>
        <w:t>底</w:t>
      </w:r>
      <w:r>
        <w:rPr>
          <w:rFonts w:hint="eastAsia" w:ascii="楷体_GB2312" w:hAnsi="楷体_GB2312" w:eastAsia="楷体_GB2312" w:cs="楷体_GB2312"/>
          <w:sz w:val="32"/>
          <w:szCs w:val="32"/>
          <w:lang w:val="en-US"/>
        </w:rPr>
        <w:t>）</w:t>
      </w:r>
    </w:p>
    <w:p w14:paraId="69F472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完成运营模式选定，开展从业人员岗前培训</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rPr>
        <w:t>全面完成县级直管体制改革，实现人、财、物统筹管理；乡镇落实属地责任，建立健全监管协同机制。</w:t>
      </w:r>
    </w:p>
    <w:p w14:paraId="9B5F16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rPr>
      </w:pPr>
      <w:r>
        <w:rPr>
          <w:rFonts w:hint="eastAsia" w:ascii="楷体_GB2312" w:hAnsi="楷体_GB2312" w:eastAsia="楷体_GB2312" w:cs="楷体_GB2312"/>
          <w:sz w:val="32"/>
          <w:szCs w:val="32"/>
          <w:lang w:val="en-US"/>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val="en-US"/>
        </w:rPr>
        <w:t>）巩固提升阶段（202</w:t>
      </w:r>
      <w:r>
        <w:rPr>
          <w:rFonts w:hint="eastAsia" w:ascii="楷体_GB2312" w:hAnsi="楷体_GB2312" w:eastAsia="楷体_GB2312" w:cs="楷体_GB2312"/>
          <w:sz w:val="32"/>
          <w:szCs w:val="32"/>
          <w:lang w:val="en-US" w:eastAsia="zh-CN"/>
        </w:rPr>
        <w:t>7</w:t>
      </w:r>
      <w:r>
        <w:rPr>
          <w:rFonts w:hint="eastAsia" w:ascii="楷体_GB2312" w:hAnsi="楷体_GB2312" w:eastAsia="楷体_GB2312" w:cs="楷体_GB2312"/>
          <w:sz w:val="32"/>
          <w:szCs w:val="32"/>
          <w:lang w:val="en-US"/>
        </w:rPr>
        <w:t>年1月</w:t>
      </w:r>
      <w:r>
        <w:rPr>
          <w:rFonts w:hint="eastAsia" w:ascii="楷体_GB2312" w:hAnsi="楷体_GB2312" w:eastAsia="楷体_GB2312" w:cs="楷体_GB2312"/>
          <w:sz w:val="32"/>
          <w:szCs w:val="32"/>
          <w:lang w:val="en-US" w:eastAsia="zh-CN"/>
        </w:rPr>
        <w:t>底</w:t>
      </w:r>
      <w:r>
        <w:rPr>
          <w:rFonts w:hint="eastAsia" w:ascii="楷体_GB2312" w:hAnsi="楷体_GB2312" w:eastAsia="楷体_GB2312" w:cs="楷体_GB2312"/>
          <w:sz w:val="32"/>
          <w:szCs w:val="32"/>
          <w:lang w:val="en-US"/>
        </w:rPr>
        <w:t>）</w:t>
      </w:r>
    </w:p>
    <w:p w14:paraId="09C9BB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总结改革经验，优化管理机制与监管体系，对标长期目标制定巩固提升措施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rPr>
        <w:t>形成</w:t>
      </w:r>
      <w:r>
        <w:rPr>
          <w:rFonts w:hint="eastAsia" w:ascii="仿宋_GB2312" w:hAnsi="仿宋_GB2312" w:eastAsia="仿宋_GB2312" w:cs="仿宋_GB2312"/>
          <w:sz w:val="32"/>
          <w:szCs w:val="32"/>
          <w:lang w:val="en-US" w:eastAsia="zh-CN"/>
        </w:rPr>
        <w:t>系列管理办法</w:t>
      </w:r>
      <w:r>
        <w:rPr>
          <w:rFonts w:hint="eastAsia" w:ascii="仿宋_GB2312" w:hAnsi="仿宋_GB2312" w:eastAsia="仿宋_GB2312" w:cs="仿宋_GB2312"/>
          <w:sz w:val="32"/>
          <w:szCs w:val="32"/>
          <w:lang w:val="en-US"/>
        </w:rPr>
        <w:t>。</w:t>
      </w:r>
    </w:p>
    <w:p w14:paraId="AF2B03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黑体" w:hAnsi="黑体" w:eastAsia="黑体" w:cs="黑体"/>
          <w:sz w:val="32"/>
          <w:szCs w:val="32"/>
          <w:lang w:val="en-US" w:eastAsia="zh-CN"/>
        </w:rPr>
        <w:t>六、保障措施</w:t>
      </w:r>
    </w:p>
    <w:p w14:paraId="7558F4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rPr>
        <w:t>（一）强化组织领导</w:t>
      </w:r>
      <w:r>
        <w:rPr>
          <w:rFonts w:hint="eastAsia" w:ascii="楷体_GB2312" w:hAnsi="楷体_GB2312" w:eastAsia="楷体_GB2312" w:cs="楷体_GB2312"/>
          <w:sz w:val="32"/>
          <w:szCs w:val="32"/>
          <w:lang w:val="en-US" w:eastAsia="zh-CN"/>
        </w:rPr>
        <w:t>。</w:t>
      </w:r>
      <w:r>
        <w:rPr>
          <w:rFonts w:hint="eastAsia" w:ascii="仿宋_GB2312" w:hAnsi="仿宋_GB2312" w:eastAsia="仿宋_GB2312" w:cs="仿宋_GB2312"/>
          <w:sz w:val="32"/>
          <w:szCs w:val="32"/>
          <w:lang w:val="en-US" w:eastAsia="zh-CN"/>
        </w:rPr>
        <w:t>成立由县政府分管副县长为组长的乡镇敬老院县级直管改革工作领导小组，</w:t>
      </w:r>
      <w:r>
        <w:rPr>
          <w:rFonts w:hint="eastAsia" w:ascii="仿宋_GB2312" w:hAnsi="仿宋_GB2312" w:eastAsia="仿宋_GB2312" w:cs="仿宋_GB2312"/>
          <w:sz w:val="32"/>
          <w:szCs w:val="32"/>
          <w:lang w:val="en-US"/>
        </w:rPr>
        <w:t>领导小组</w:t>
      </w:r>
      <w:r>
        <w:rPr>
          <w:rFonts w:hint="eastAsia" w:ascii="仿宋_GB2312" w:hAnsi="仿宋_GB2312" w:eastAsia="仿宋_GB2312" w:cs="仿宋_GB2312"/>
          <w:sz w:val="32"/>
          <w:szCs w:val="32"/>
          <w:lang w:val="en-US" w:eastAsia="zh-CN"/>
        </w:rPr>
        <w:t>办公室设在</w:t>
      </w:r>
      <w:r>
        <w:rPr>
          <w:rFonts w:hint="eastAsia" w:ascii="仿宋_GB2312" w:hAnsi="仿宋_GB2312" w:eastAsia="仿宋_GB2312" w:cs="仿宋_GB2312"/>
          <w:sz w:val="32"/>
          <w:szCs w:val="32"/>
          <w:lang w:val="en-US"/>
        </w:rPr>
        <w:t>县民政局</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rPr>
        <w:t>统筹</w:t>
      </w:r>
      <w:r>
        <w:rPr>
          <w:rFonts w:hint="eastAsia" w:ascii="仿宋_GB2312" w:hAnsi="仿宋_GB2312" w:eastAsia="仿宋_GB2312" w:cs="仿宋_GB2312"/>
          <w:sz w:val="32"/>
          <w:szCs w:val="32"/>
          <w:lang w:val="en-US" w:eastAsia="zh-CN"/>
        </w:rPr>
        <w:t>协调</w:t>
      </w:r>
      <w:r>
        <w:rPr>
          <w:rFonts w:hint="eastAsia" w:ascii="仿宋_GB2312" w:hAnsi="仿宋_GB2312" w:eastAsia="仿宋_GB2312" w:cs="仿宋_GB2312"/>
          <w:sz w:val="32"/>
          <w:szCs w:val="32"/>
          <w:lang w:val="en-US"/>
        </w:rPr>
        <w:t>推进改革</w:t>
      </w:r>
      <w:r>
        <w:rPr>
          <w:rFonts w:hint="eastAsia" w:ascii="仿宋_GB2312" w:hAnsi="仿宋_GB2312" w:eastAsia="仿宋_GB2312" w:cs="仿宋_GB2312"/>
          <w:sz w:val="32"/>
          <w:szCs w:val="32"/>
          <w:lang w:val="en-US" w:eastAsia="zh-CN"/>
        </w:rPr>
        <w:t>事宜。</w:t>
      </w:r>
    </w:p>
    <w:p w14:paraId="F0082B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楷体_GB2312" w:hAnsi="楷体_GB2312" w:eastAsia="楷体_GB2312" w:cs="楷体_GB2312"/>
          <w:sz w:val="32"/>
          <w:szCs w:val="32"/>
          <w:lang w:val="en-US"/>
        </w:rPr>
        <w:t>（二）加强部门协同</w:t>
      </w:r>
      <w:r>
        <w:rPr>
          <w:rFonts w:hint="eastAsia" w:ascii="楷体_GB2312" w:hAnsi="楷体_GB2312" w:eastAsia="楷体_GB2312" w:cs="楷体_GB2312"/>
          <w:sz w:val="32"/>
          <w:szCs w:val="32"/>
          <w:lang w:val="en-US" w:eastAsia="zh-CN"/>
        </w:rPr>
        <w:t>。</w:t>
      </w:r>
      <w:r>
        <w:rPr>
          <w:rFonts w:hint="eastAsia" w:ascii="仿宋_GB2312" w:hAnsi="仿宋_GB2312" w:eastAsia="仿宋_GB2312" w:cs="仿宋_GB2312"/>
          <w:sz w:val="32"/>
          <w:szCs w:val="32"/>
          <w:lang w:val="en-US"/>
        </w:rPr>
        <w:t>县民政局履行牵头职责，统筹改革推进与日常监管；县财政局落实经费保障与资金监管；县卫健局协调医养融合与医疗服务；其他相关部门按职能做好政策支持与服务保障，形成工作合力。</w:t>
      </w:r>
    </w:p>
    <w:p w14:paraId="E0D2DB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楷体_GB2312" w:hAnsi="楷体_GB2312" w:eastAsia="楷体_GB2312" w:cs="楷体_GB2312"/>
          <w:sz w:val="32"/>
          <w:szCs w:val="32"/>
          <w:lang w:val="en-US"/>
        </w:rPr>
        <w:t>（三）强化资金保障</w:t>
      </w:r>
      <w:r>
        <w:rPr>
          <w:rFonts w:hint="eastAsia" w:ascii="楷体_GB2312" w:hAnsi="楷体_GB2312" w:eastAsia="楷体_GB2312" w:cs="楷体_GB2312"/>
          <w:sz w:val="32"/>
          <w:szCs w:val="32"/>
          <w:lang w:val="en-US" w:eastAsia="zh-CN"/>
        </w:rPr>
        <w:t>。</w:t>
      </w:r>
      <w:r>
        <w:rPr>
          <w:rFonts w:hint="eastAsia" w:ascii="仿宋_GB2312" w:hAnsi="仿宋_GB2312" w:eastAsia="仿宋_GB2312" w:cs="仿宋_GB2312"/>
          <w:sz w:val="32"/>
          <w:szCs w:val="32"/>
          <w:lang w:val="en-US"/>
        </w:rPr>
        <w:t>加大对敬老院的扶持力度，积极争取中央、省级各类资金及福彩公益金支持，将日常管理、设施维护、人员薪酬等经费足额纳入财政预算并落实到位。逐步提高特困供养人员供养标准，提升敬老院资金保障能力。</w:t>
      </w:r>
    </w:p>
    <w:p w14:paraId="6FBB47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楷体_GB2312" w:hAnsi="楷体_GB2312" w:eastAsia="楷体_GB2312" w:cs="楷体_GB2312"/>
          <w:sz w:val="32"/>
          <w:szCs w:val="32"/>
          <w:lang w:val="en-US"/>
        </w:rPr>
        <w:t>（四）加强宣传引导</w:t>
      </w:r>
      <w:r>
        <w:rPr>
          <w:rFonts w:hint="eastAsia" w:ascii="楷体_GB2312" w:hAnsi="楷体_GB2312" w:eastAsia="楷体_GB2312" w:cs="楷体_GB2312"/>
          <w:sz w:val="32"/>
          <w:szCs w:val="32"/>
          <w:lang w:val="en-US" w:eastAsia="zh-CN"/>
        </w:rPr>
        <w:t>。</w:t>
      </w:r>
      <w:r>
        <w:rPr>
          <w:rFonts w:hint="eastAsia" w:ascii="仿宋_GB2312" w:hAnsi="仿宋_GB2312" w:eastAsia="仿宋_GB2312" w:cs="仿宋_GB2312"/>
          <w:sz w:val="32"/>
          <w:szCs w:val="32"/>
          <w:lang w:val="en-US"/>
        </w:rPr>
        <w:t>通过政府网站、乡镇宣传栏、入户走访等渠道，宣传改革政策意义、工作目标和具体举措，重点做好院民、工作人员及家属的思想引导，及时解答疑问、消除顾虑，争取广泛理解与支持，营造良好改革氛围。</w:t>
      </w:r>
    </w:p>
    <w:p w14:paraId="09B711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楷体_GB2312" w:hAnsi="楷体_GB2312" w:eastAsia="楷体_GB2312" w:cs="楷体_GB2312"/>
          <w:sz w:val="32"/>
          <w:szCs w:val="32"/>
          <w:lang w:val="en-US"/>
        </w:rPr>
        <w:t>（五）严格督导问责</w:t>
      </w:r>
      <w:r>
        <w:rPr>
          <w:rFonts w:hint="eastAsia" w:ascii="楷体_GB2312" w:hAnsi="楷体_GB2312" w:eastAsia="楷体_GB2312" w:cs="楷体_GB2312"/>
          <w:sz w:val="32"/>
          <w:szCs w:val="32"/>
          <w:lang w:val="en-US" w:eastAsia="zh-CN"/>
        </w:rPr>
        <w:t>。</w:t>
      </w:r>
      <w:r>
        <w:rPr>
          <w:rFonts w:hint="eastAsia" w:ascii="仿宋_GB2312" w:hAnsi="仿宋_GB2312" w:eastAsia="仿宋_GB2312" w:cs="仿宋_GB2312"/>
          <w:sz w:val="32"/>
          <w:szCs w:val="32"/>
          <w:lang w:val="en-US"/>
        </w:rPr>
        <w:t>县改革工作领导小组办公室定期开展实地督查，对工作推进缓慢、责任落实不到位的部门和乡镇进行通报批评；对滥用职权、失职渎职、弄虚作假的，依法依规追究相关责任。建立容错纠错机制，鼓励大胆探索创新，确保各项改革任务落地见效。</w:t>
      </w:r>
    </w:p>
    <w:p w14:paraId="449B58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366865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5ED028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7D2CE1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0D2420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28FFB9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52CA46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2471FC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1A57AB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2B7351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2B86D7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57437C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26C1A9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4B7630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rPr>
      </w:pPr>
      <w:r>
        <w:rPr>
          <w:rFonts w:hint="eastAsia" w:ascii="方正小标宋简体" w:hAnsi="方正小标宋简体" w:eastAsia="方正小标宋简体" w:cs="方正小标宋简体"/>
          <w:sz w:val="44"/>
          <w:szCs w:val="44"/>
          <w:lang w:val="en-US"/>
        </w:rPr>
        <w:t>盂县乡镇敬老院</w:t>
      </w:r>
      <w:r>
        <w:rPr>
          <w:rFonts w:hint="eastAsia" w:ascii="方正小标宋简体" w:hAnsi="方正小标宋简体" w:eastAsia="方正小标宋简体" w:cs="方正小标宋简体"/>
          <w:sz w:val="44"/>
          <w:szCs w:val="44"/>
          <w:lang w:val="en-US" w:eastAsia="zh-CN"/>
        </w:rPr>
        <w:t>实行县级直管</w:t>
      </w:r>
      <w:r>
        <w:rPr>
          <w:rFonts w:hint="eastAsia" w:ascii="方正小标宋简体" w:hAnsi="方正小标宋简体" w:eastAsia="方正小标宋简体" w:cs="方正小标宋简体"/>
          <w:sz w:val="44"/>
          <w:szCs w:val="44"/>
          <w:lang w:val="en-US"/>
        </w:rPr>
        <w:t>工作领导小组</w:t>
      </w:r>
    </w:p>
    <w:p w14:paraId="437A38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rPr>
      </w:pPr>
    </w:p>
    <w:p w14:paraId="2CE92809">
      <w:pPr>
        <w:keepNext w:val="0"/>
        <w:keepLines w:val="0"/>
        <w:pageBreakBefore w:val="0"/>
        <w:widowControl w:val="0"/>
        <w:kinsoku/>
        <w:wordWrap/>
        <w:overflowPunct/>
        <w:topLinePunct w:val="0"/>
        <w:autoSpaceDE/>
        <w:autoSpaceDN/>
        <w:bidi w:val="0"/>
        <w:adjustRightInd/>
        <w:snapToGrid/>
        <w:spacing w:line="560" w:lineRule="exact"/>
        <w:ind w:left="-1" w:leftChars="-95" w:hanging="198" w:hangingChars="62"/>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长：王  珂    县委常委、常务副县长</w:t>
      </w:r>
    </w:p>
    <w:p w14:paraId="6875BB4B">
      <w:pPr>
        <w:keepNext w:val="0"/>
        <w:keepLines w:val="0"/>
        <w:pageBreakBefore w:val="0"/>
        <w:widowControl w:val="0"/>
        <w:kinsoku/>
        <w:wordWrap/>
        <w:overflowPunct/>
        <w:topLinePunct w:val="0"/>
        <w:autoSpaceDE/>
        <w:autoSpaceDN/>
        <w:bidi w:val="0"/>
        <w:adjustRightInd/>
        <w:snapToGrid/>
        <w:spacing w:line="560" w:lineRule="exact"/>
        <w:ind w:left="0" w:leftChars="0" w:firstLine="1257" w:firstLineChars="393"/>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副组长：韩  鹏    县消防救援大队大队长</w:t>
      </w:r>
    </w:p>
    <w:p w14:paraId="51B2DC0C">
      <w:pPr>
        <w:keepNext w:val="0"/>
        <w:keepLines w:val="0"/>
        <w:pageBreakBefore w:val="0"/>
        <w:widowControl w:val="0"/>
        <w:kinsoku/>
        <w:wordWrap/>
        <w:overflowPunct/>
        <w:topLinePunct w:val="0"/>
        <w:autoSpaceDE/>
        <w:autoSpaceDN/>
        <w:bidi w:val="0"/>
        <w:adjustRightInd/>
        <w:snapToGrid/>
        <w:spacing w:line="560" w:lineRule="exact"/>
        <w:ind w:left="0" w:leftChars="0" w:firstLine="2537" w:firstLineChars="793"/>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 xml:space="preserve">刘志明   </w:t>
      </w:r>
      <w:r>
        <w:rPr>
          <w:rFonts w:hint="eastAsia" w:ascii="仿宋_GB2312" w:hAnsi="仿宋_GB2312" w:eastAsia="仿宋_GB2312" w:cs="仿宋_GB2312"/>
          <w:color w:val="C00000"/>
          <w:sz w:val="32"/>
          <w:szCs w:val="32"/>
          <w:lang w:val="en-US" w:eastAsia="zh-CN"/>
        </w:rPr>
        <w:t xml:space="preserve"> </w:t>
      </w:r>
      <w:r>
        <w:rPr>
          <w:rFonts w:hint="eastAsia" w:ascii="仿宋_GB2312" w:hAnsi="仿宋_GB2312" w:eastAsia="仿宋_GB2312" w:cs="仿宋_GB2312"/>
          <w:color w:val="auto"/>
          <w:sz w:val="32"/>
          <w:szCs w:val="32"/>
          <w:lang w:val="en-US" w:eastAsia="zh-CN"/>
        </w:rPr>
        <w:t>县纪委副书记</w:t>
      </w:r>
    </w:p>
    <w:p w14:paraId="34342745">
      <w:pPr>
        <w:keepNext w:val="0"/>
        <w:keepLines w:val="0"/>
        <w:pageBreakBefore w:val="0"/>
        <w:widowControl w:val="0"/>
        <w:kinsoku/>
        <w:wordWrap/>
        <w:overflowPunct/>
        <w:topLinePunct w:val="0"/>
        <w:autoSpaceDE/>
        <w:autoSpaceDN/>
        <w:bidi w:val="0"/>
        <w:adjustRightInd/>
        <w:snapToGrid/>
        <w:spacing w:line="560" w:lineRule="exact"/>
        <w:ind w:left="0" w:leftChars="0" w:firstLine="2537" w:firstLineChars="793"/>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梁保祥    县民政局局长</w:t>
      </w:r>
    </w:p>
    <w:p w14:paraId="28D0A2CF">
      <w:pPr>
        <w:keepNext w:val="0"/>
        <w:keepLines w:val="0"/>
        <w:pageBreakBefore w:val="0"/>
        <w:widowControl w:val="0"/>
        <w:kinsoku/>
        <w:wordWrap/>
        <w:overflowPunct/>
        <w:topLinePunct w:val="0"/>
        <w:autoSpaceDE/>
        <w:autoSpaceDN/>
        <w:bidi w:val="0"/>
        <w:adjustRightInd/>
        <w:snapToGrid/>
        <w:spacing w:line="560" w:lineRule="exact"/>
        <w:ind w:firstLine="2560" w:firstLineChars="8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韩安昌    县财政局局长</w:t>
      </w:r>
    </w:p>
    <w:p w14:paraId="1D0CF2E8">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  员：崔银环    县委宣传部常务副部长</w:t>
      </w:r>
    </w:p>
    <w:p w14:paraId="56789D03">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李华青    县发改局局长</w:t>
      </w:r>
    </w:p>
    <w:p w14:paraId="7CF90F9B">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张丙福    自然资源规划局局长</w:t>
      </w:r>
    </w:p>
    <w:p w14:paraId="5FA682E2">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李君毅    县住建局局长</w:t>
      </w:r>
    </w:p>
    <w:p w14:paraId="2E0FFCC2">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李忠勇    县卫健局局长</w:t>
      </w:r>
    </w:p>
    <w:p w14:paraId="76954A86">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刘继红    县市场监管局局长</w:t>
      </w:r>
    </w:p>
    <w:p w14:paraId="00F46F2D">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李  培    秀水镇人民政府镇长        </w:t>
      </w:r>
    </w:p>
    <w:p w14:paraId="0F9086BF">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白满堂    路家村镇人民政府镇长</w:t>
      </w:r>
    </w:p>
    <w:p w14:paraId="39C9B6DF">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李龙飞    南娄镇人民政府镇长</w:t>
      </w:r>
    </w:p>
    <w:p w14:paraId="22FB1FCC">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齐泽峰    仙人乡人民政府乡长</w:t>
      </w:r>
    </w:p>
    <w:p w14:paraId="5ECA2DB6">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赵世光    上社镇人民政府镇长</w:t>
      </w:r>
    </w:p>
    <w:p w14:paraId="6DE31ED8">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郭倩娜    梁家寨乡人民政府乡长</w:t>
      </w:r>
    </w:p>
    <w:p w14:paraId="3B9BF839">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崔永新    西烟镇人民政府镇长</w:t>
      </w:r>
    </w:p>
    <w:p w14:paraId="782F169E">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苏超然    东梁乡人民政府乡长</w:t>
      </w:r>
    </w:p>
    <w:p w14:paraId="3A2C7762">
      <w:pPr>
        <w:keepNext w:val="0"/>
        <w:keepLines w:val="0"/>
        <w:pageBreakBefore w:val="0"/>
        <w:widowControl w:val="0"/>
        <w:kinsoku/>
        <w:wordWrap/>
        <w:overflowPunct/>
        <w:topLinePunct w:val="0"/>
        <w:autoSpaceDE/>
        <w:autoSpaceDN/>
        <w:bidi w:val="0"/>
        <w:adjustRightInd/>
        <w:snapToGrid/>
        <w:spacing w:line="560" w:lineRule="exact"/>
        <w:ind w:left="0" w:leftChars="0" w:firstLine="2518" w:firstLineChars="787"/>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刘元明    县农村经济事务指导中心主任</w:t>
      </w:r>
    </w:p>
    <w:p w14:paraId="745F50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根据工作需要，改革工作领导小组办公室设在县民政局，办公室主任由</w:t>
      </w:r>
      <w:r>
        <w:rPr>
          <w:rFonts w:hint="eastAsia" w:ascii="仿宋_GB2312" w:hAnsi="仿宋_GB2312" w:eastAsia="仿宋_GB2312" w:cs="仿宋_GB2312"/>
          <w:color w:val="auto"/>
          <w:sz w:val="32"/>
          <w:szCs w:val="32"/>
          <w:lang w:val="en-US" w:eastAsia="zh-CN"/>
        </w:rPr>
        <w:t>梁保祥</w:t>
      </w:r>
      <w:r>
        <w:rPr>
          <w:rFonts w:hint="eastAsia" w:ascii="仿宋_GB2312" w:hAnsi="仿宋_GB2312" w:eastAsia="仿宋_GB2312" w:cs="仿宋_GB2312"/>
          <w:sz w:val="32"/>
          <w:szCs w:val="32"/>
          <w:lang w:val="en-US" w:eastAsia="zh-CN"/>
        </w:rPr>
        <w:t>同志兼任，具体负责改革协调推进工作。</w:t>
      </w:r>
    </w:p>
    <w:p w14:paraId="05BB24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p>
    <w:p w14:paraId="290697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楷体_GB2312">
    <w:altName w:val="微软雅黑"/>
    <w:panose1 w:val="02010609030101010101"/>
    <w:charset w:val="86"/>
    <w:family w:val="auto"/>
    <w:pitch w:val="default"/>
    <w:sig w:usb0="00000000" w:usb1="00000000" w:usb2="00000000" w:usb3="00000000" w:csb0="00040000" w:csb1="00000000"/>
  </w:font>
  <w:font w:name="楷体">
    <w:altName w:val="宋体"/>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WPSEMBED2">
    <w:panose1 w:val="0201060001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3">
    <w:panose1 w:val="02010609030101010101"/>
    <w:charset w:val="86"/>
    <w:family w:val="auto"/>
    <w:pitch w:val="default"/>
    <w:sig w:usb0="00000001" w:usb1="080E0000" w:usb2="00000000" w:usb3="00000000" w:csb0="00040000" w:csb1="00000000"/>
  </w:font>
  <w:font w:name="WPSEMBED1">
    <w:panose1 w:val="02010609060101010101"/>
    <w:charset w:val="86"/>
    <w:family w:val="auto"/>
    <w:pitch w:val="default"/>
    <w:sig w:usb0="800002BF" w:usb1="38CF7CFA" w:usb2="00000016" w:usb3="00000000" w:csb0="00040001" w:csb1="00000000"/>
  </w:font>
  <w:font w:name="KSOFB314A77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35DE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31AE52">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31AE52">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4D42252"/>
    <w:rsid w:val="058D6608"/>
    <w:rsid w:val="0BF657D0"/>
    <w:rsid w:val="100D394F"/>
    <w:rsid w:val="10885299"/>
    <w:rsid w:val="14200E89"/>
    <w:rsid w:val="17E256C1"/>
    <w:rsid w:val="1A7647E7"/>
    <w:rsid w:val="219C1E75"/>
    <w:rsid w:val="252D7646"/>
    <w:rsid w:val="2CEC4C7A"/>
    <w:rsid w:val="2F4D3910"/>
    <w:rsid w:val="32B43933"/>
    <w:rsid w:val="32FC53CB"/>
    <w:rsid w:val="3720190B"/>
    <w:rsid w:val="40533181"/>
    <w:rsid w:val="42DF6B1E"/>
    <w:rsid w:val="439A0F1A"/>
    <w:rsid w:val="43DF496C"/>
    <w:rsid w:val="47094169"/>
    <w:rsid w:val="53B156A3"/>
    <w:rsid w:val="560C1580"/>
    <w:rsid w:val="577D1316"/>
    <w:rsid w:val="5C9F1CAE"/>
    <w:rsid w:val="5F3D1AD6"/>
    <w:rsid w:val="617215D0"/>
    <w:rsid w:val="61A16B46"/>
    <w:rsid w:val="696A0898"/>
    <w:rsid w:val="70F80C27"/>
    <w:rsid w:val="71872601"/>
    <w:rsid w:val="73CD7237"/>
    <w:rsid w:val="74942A15"/>
    <w:rsid w:val="784E21E5"/>
    <w:rsid w:val="7FEB2451"/>
    <w:rsid w:val="F3DFD0E3"/>
    <w:rsid w:val="FE991637"/>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6">
    <w:name w:val="Default Paragraph Font"/>
    <w:qFormat/>
    <w:uiPriority w:val="1"/>
  </w:style>
  <w:style w:type="table" w:default="1" w:styleId="5">
    <w:name w:val="Normal Table"/>
    <w:qFormat/>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817</Words>
  <Characters>868</Characters>
  <Paragraphs>184</Paragraphs>
  <TotalTime>10</TotalTime>
  <ScaleCrop>false</ScaleCrop>
  <LinksUpToDate>false</LinksUpToDate>
  <CharactersWithSpaces>869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2025-12-15T10:21:00Z</dcterms:created>
  <dc:creator>DCO-AL00</dc:creator>
  <cp:lastModifiedBy>淡定</cp:lastModifiedBy>
  <cp:lastPrinted>2026-10-29T11:21:00Z</cp:lastPrinted>
  <dcterms:modified xsi:type="dcterms:W3CDTF">2026-11-05T07:39:17Z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7DB770D99FD34ED28BF6898FE716029F_13</vt:lpwstr>
  </property>
  <property fmtid="{D5CDD505-2E9C-101B-9397-08002B2CF9AE}" pid="3" name="KSOTemplateDocerSaveRecord">
    <vt:lpwstr>eyJoZGlkIjoiOTJkYTY3Y2FiMzRjZWY5MzA3M2FlZWM5ZWNjNWVjM2UiLCJ1c2VySWQiOiIzNDI3NTg4OTEifQ==</vt:lpwstr>
  </property>
  <property fmtid="{D5CDD505-2E9C-101B-9397-08002B2CF9AE}" pid="4" name="KSOProductBuildVer">
    <vt:lpwstr>2052-12.1.0.29161</vt:lpwstr>
  </property>
</Properties>
</file>