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C7A8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宋体" w:hAnsi="宋体"/>
          <w:sz w:val="32"/>
          <w:lang w:val="en-US" w:eastAsia="zh-CN"/>
        </w:rPr>
      </w:pPr>
      <w:r>
        <w:rPr>
          <w:rFonts w:hint="eastAsia" w:ascii="宋体" w:hAnsi="宋体"/>
          <w:sz w:val="32"/>
          <w:lang w:val="en-US" w:eastAsia="zh-CN"/>
        </w:rPr>
        <w:t xml:space="preserve">  </w:t>
      </w:r>
    </w:p>
    <w:p w14:paraId="7F2DA1EE">
      <w:pPr>
        <w:ind w:firstLine="2720" w:firstLineChars="850"/>
        <w:rPr>
          <w:rFonts w:hint="eastAsia" w:ascii="宋体" w:hAnsi="宋体"/>
          <w:sz w:val="32"/>
        </w:rPr>
      </w:pPr>
    </w:p>
    <w:p w14:paraId="1FE15D2D">
      <w:pPr>
        <w:ind w:firstLine="2720" w:firstLineChars="850"/>
        <w:rPr>
          <w:rFonts w:hint="eastAsia" w:ascii="宋体" w:hAnsi="宋体"/>
          <w:sz w:val="32"/>
        </w:rPr>
      </w:pPr>
    </w:p>
    <w:p w14:paraId="77CEEEDF">
      <w:pPr>
        <w:ind w:firstLine="2720" w:firstLineChars="850"/>
        <w:rPr>
          <w:rFonts w:hint="eastAsia" w:ascii="宋体" w:hAnsi="宋体"/>
          <w:sz w:val="32"/>
        </w:rPr>
      </w:pPr>
    </w:p>
    <w:p w14:paraId="09B7063B">
      <w:pPr>
        <w:ind w:firstLine="2720" w:firstLineChars="850"/>
        <w:rPr>
          <w:rFonts w:hint="eastAsia" w:ascii="宋体" w:hAnsi="宋体"/>
          <w:sz w:val="32"/>
        </w:rPr>
      </w:pPr>
    </w:p>
    <w:p w14:paraId="7F5E9890">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D59BAEF">
      <w:pPr>
        <w:pStyle w:val="12"/>
        <w:rPr>
          <w:rFonts w:hint="eastAsia"/>
          <w:sz w:val="10"/>
          <w:szCs w:val="10"/>
        </w:rPr>
      </w:pPr>
    </w:p>
    <w:p w14:paraId="463E86E5">
      <w:pPr>
        <w:pStyle w:val="12"/>
        <w:rPr>
          <w:rFonts w:hint="eastAsia"/>
          <w:sz w:val="10"/>
          <w:szCs w:val="10"/>
        </w:rPr>
      </w:pPr>
    </w:p>
    <w:p w14:paraId="1B698A09">
      <w:pPr>
        <w:pStyle w:val="12"/>
        <w:rPr>
          <w:rFonts w:hint="eastAsia"/>
          <w:sz w:val="10"/>
          <w:szCs w:val="10"/>
        </w:rPr>
      </w:pPr>
    </w:p>
    <w:p w14:paraId="3A865F3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r>
        <w:rPr>
          <w:rFonts w:hint="eastAsia" w:ascii="华文仿宋" w:hAnsi="华文仿宋" w:eastAsia="华文仿宋" w:cs="华文仿宋"/>
          <w:color w:val="auto"/>
          <w:sz w:val="32"/>
          <w:szCs w:val="32"/>
        </w:rPr>
        <w:t>盂发改发</w:t>
      </w:r>
      <w:r>
        <w:rPr>
          <w:rFonts w:hint="eastAsia" w:ascii="华文仿宋" w:hAnsi="华文仿宋" w:eastAsia="华文仿宋" w:cs="华文仿宋"/>
          <w:color w:val="auto"/>
          <w:sz w:val="32"/>
        </w:rPr>
        <w:t>〔20</w:t>
      </w:r>
      <w:r>
        <w:rPr>
          <w:rFonts w:hint="eastAsia" w:ascii="华文仿宋" w:hAnsi="华文仿宋" w:eastAsia="华文仿宋" w:cs="华文仿宋"/>
          <w:color w:val="auto"/>
          <w:sz w:val="32"/>
          <w:lang w:val="en-US" w:eastAsia="zh-CN"/>
        </w:rPr>
        <w:t>26</w:t>
      </w:r>
      <w:r>
        <w:rPr>
          <w:rFonts w:hint="eastAsia" w:ascii="华文仿宋" w:hAnsi="华文仿宋" w:eastAsia="华文仿宋" w:cs="华文仿宋"/>
          <w:color w:val="auto"/>
          <w:sz w:val="32"/>
        </w:rPr>
        <w:t>〕</w:t>
      </w:r>
      <w:r>
        <w:rPr>
          <w:rFonts w:hint="eastAsia" w:ascii="华文仿宋" w:hAnsi="华文仿宋" w:eastAsia="华文仿宋" w:cs="华文仿宋"/>
          <w:color w:val="auto"/>
          <w:sz w:val="32"/>
          <w:lang w:val="en-US" w:eastAsia="zh-CN"/>
        </w:rPr>
        <w:t>123</w:t>
      </w:r>
      <w:r>
        <w:rPr>
          <w:rFonts w:hint="eastAsia" w:ascii="华文仿宋" w:hAnsi="华文仿宋" w:eastAsia="华文仿宋" w:cs="华文仿宋"/>
          <w:color w:val="auto"/>
          <w:sz w:val="32"/>
          <w:szCs w:val="32"/>
        </w:rPr>
        <w:t>号</w:t>
      </w:r>
    </w:p>
    <w:p w14:paraId="15D4879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b w:val="0"/>
          <w:bCs/>
          <w:sz w:val="44"/>
        </w:rPr>
      </w:pPr>
    </w:p>
    <w:p w14:paraId="09601C9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b w:val="0"/>
          <w:bCs/>
          <w:sz w:val="44"/>
          <w:lang w:eastAsia="zh-CN"/>
        </w:rPr>
      </w:pPr>
      <w:r>
        <w:rPr>
          <w:rFonts w:hint="eastAsia" w:ascii="方正小标宋简体" w:hAnsi="方正小标宋简体" w:eastAsia="方正小标宋简体" w:cs="方正小标宋简体"/>
          <w:b w:val="0"/>
          <w:bCs/>
          <w:sz w:val="44"/>
          <w:lang w:eastAsia="zh-CN"/>
        </w:rPr>
        <w:t>盂县发展和改革局</w:t>
      </w:r>
    </w:p>
    <w:p w14:paraId="0B99AC4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方正小标宋简体" w:hAnsi="方正小标宋简体" w:eastAsia="方正小标宋简体" w:cs="方正小标宋简体"/>
          <w:b w:val="0"/>
          <w:bCs/>
          <w:sz w:val="44"/>
          <w:lang w:eastAsia="zh-CN"/>
        </w:rPr>
      </w:pPr>
      <w:r>
        <w:rPr>
          <w:rFonts w:hint="eastAsia" w:ascii="方正小标宋简体" w:hAnsi="方正小标宋简体" w:eastAsia="方正小标宋简体" w:cs="方正小标宋简体"/>
          <w:b w:val="0"/>
          <w:bCs/>
          <w:sz w:val="44"/>
        </w:rPr>
        <w:t>关于对《</w:t>
      </w:r>
      <w:r>
        <w:rPr>
          <w:rFonts w:hint="eastAsia" w:ascii="方正小标宋简体" w:hAnsi="方正小标宋简体" w:eastAsia="方正小标宋简体" w:cs="方正小标宋简体"/>
          <w:b w:val="0"/>
          <w:bCs/>
          <w:sz w:val="44"/>
          <w:lang w:val="en-US" w:eastAsia="zh-CN"/>
        </w:rPr>
        <w:t>盂县第五实验幼儿园修建消防系统项目</w:t>
      </w:r>
      <w:r>
        <w:rPr>
          <w:rFonts w:hint="eastAsia" w:ascii="方正小标宋简体" w:hAnsi="方正小标宋简体" w:eastAsia="方正小标宋简体" w:cs="方正小标宋简体"/>
          <w:b w:val="0"/>
          <w:bCs/>
          <w:sz w:val="44"/>
        </w:rPr>
        <w:t>可行性研究</w:t>
      </w:r>
      <w:r>
        <w:rPr>
          <w:rFonts w:hint="eastAsia" w:ascii="方正小标宋简体" w:hAnsi="方正小标宋简体" w:eastAsia="方正小标宋简体" w:cs="方正小标宋简体"/>
          <w:b w:val="0"/>
          <w:bCs/>
          <w:sz w:val="44"/>
          <w:lang w:val="en-US" w:eastAsia="zh-CN"/>
        </w:rPr>
        <w:t>报告（代初步设计）</w:t>
      </w:r>
      <w:r>
        <w:rPr>
          <w:rFonts w:hint="eastAsia" w:ascii="方正小标宋简体" w:hAnsi="方正小标宋简体" w:eastAsia="方正小标宋简体" w:cs="方正小标宋简体"/>
          <w:b w:val="0"/>
          <w:bCs/>
          <w:sz w:val="44"/>
          <w:lang w:eastAsia="zh-CN"/>
        </w:rPr>
        <w:t>》</w:t>
      </w:r>
    </w:p>
    <w:p w14:paraId="040A711B">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华文仿宋" w:hAnsi="华文仿宋" w:eastAsia="华文仿宋" w:cs="华文仿宋"/>
          <w:sz w:val="24"/>
          <w:szCs w:val="24"/>
          <w:lang w:val="en-US" w:eastAsia="zh-CN"/>
        </w:rPr>
      </w:pPr>
      <w:r>
        <w:rPr>
          <w:rFonts w:hint="eastAsia" w:ascii="方正小标宋简体" w:hAnsi="方正小标宋简体" w:eastAsia="方正小标宋简体" w:cs="方正小标宋简体"/>
          <w:b w:val="0"/>
          <w:bCs/>
          <w:sz w:val="44"/>
        </w:rPr>
        <w:t>的批复</w:t>
      </w:r>
      <w:r>
        <w:rPr>
          <w:rFonts w:hint="eastAsia" w:ascii="华文仿宋" w:hAnsi="华文仿宋" w:eastAsia="华文仿宋" w:cs="华文仿宋"/>
          <w:sz w:val="24"/>
          <w:szCs w:val="24"/>
          <w:lang w:val="en-US" w:eastAsia="zh-CN"/>
        </w:rPr>
        <w:t xml:space="preserve">                                   </w:t>
      </w:r>
    </w:p>
    <w:p w14:paraId="5EC628C3">
      <w:pPr>
        <w:keepNext w:val="0"/>
        <w:keepLines w:val="0"/>
        <w:widowControl/>
        <w:suppressLineNumbers w:val="0"/>
        <w:wordWrap w:val="0"/>
        <w:jc w:val="right"/>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 xml:space="preserve"> 项目编码：2609-140322-89-02-725230  </w:t>
      </w:r>
    </w:p>
    <w:p w14:paraId="395C042C">
      <w:pPr>
        <w:pStyle w:val="4"/>
        <w:ind w:left="0" w:leftChars="0" w:firstLine="0" w:firstLineChars="0"/>
        <w:rPr>
          <w:rFonts w:hint="eastAsia"/>
        </w:rPr>
      </w:pPr>
    </w:p>
    <w:p w14:paraId="15894BBC">
      <w:pPr>
        <w:keepNext w:val="0"/>
        <w:keepLines w:val="0"/>
        <w:widowControl/>
        <w:suppressLineNumbers w:val="0"/>
        <w:jc w:val="left"/>
        <w:rPr>
          <w:rFonts w:hint="eastAsia" w:ascii="华文仿宋" w:hAnsi="华文仿宋" w:eastAsia="华文仿宋" w:cs="华文仿宋"/>
          <w:sz w:val="32"/>
          <w:szCs w:val="32"/>
          <w:lang w:eastAsia="zh-CN"/>
        </w:rPr>
      </w:pPr>
      <w:r>
        <w:rPr>
          <w:rFonts w:hint="eastAsia" w:ascii="仿宋_GB2312" w:hAnsi="仿宋_GB2312" w:eastAsia="仿宋_GB2312" w:cs="仿宋_GB2312"/>
          <w:b w:val="0"/>
          <w:bCs w:val="0"/>
          <w:spacing w:val="0"/>
          <w:w w:val="100"/>
          <w:kern w:val="2"/>
          <w:sz w:val="32"/>
          <w:szCs w:val="32"/>
          <w:lang w:val="en-US" w:eastAsia="zh-CN"/>
        </w:rPr>
        <w:t>盂县第五实验幼儿园</w:t>
      </w:r>
      <w:r>
        <w:rPr>
          <w:rFonts w:hint="eastAsia" w:ascii="华文仿宋" w:hAnsi="华文仿宋" w:eastAsia="华文仿宋" w:cs="华文仿宋"/>
          <w:sz w:val="32"/>
          <w:szCs w:val="32"/>
          <w:lang w:eastAsia="zh-CN"/>
        </w:rPr>
        <w:t>：</w:t>
      </w:r>
    </w:p>
    <w:p w14:paraId="19154F57">
      <w:pPr>
        <w:keepNext w:val="0"/>
        <w:keepLines w:val="0"/>
        <w:widowControl/>
        <w:suppressLineNumbers w:val="0"/>
        <w:ind w:firstLine="640" w:firstLineChars="200"/>
        <w:jc w:val="left"/>
        <w:rPr>
          <w:rFonts w:hint="default" w:ascii="华文仿宋" w:hAnsi="华文仿宋" w:eastAsia="华文仿宋" w:cs="华文仿宋"/>
          <w:color w:val="auto"/>
          <w:sz w:val="32"/>
          <w:szCs w:val="32"/>
          <w:lang w:val="en-US" w:eastAsia="zh-CN"/>
        </w:rPr>
      </w:pPr>
      <w:r>
        <w:rPr>
          <w:rFonts w:hint="eastAsia" w:ascii="华文仿宋" w:hAnsi="华文仿宋" w:eastAsia="华文仿宋" w:cs="华文仿宋"/>
          <w:sz w:val="32"/>
          <w:szCs w:val="32"/>
          <w:lang w:val="en-US" w:eastAsia="zh-CN"/>
        </w:rPr>
        <w:t>你单位呈报的《盂县第五实验幼儿园修建消防系统项目可行性研究报告（代初步设计）》及相关材料已收悉</w:t>
      </w:r>
      <w:r>
        <w:rPr>
          <w:rFonts w:hint="eastAsia" w:ascii="华文仿宋" w:hAnsi="华文仿宋" w:eastAsia="华文仿宋" w:cs="华文仿宋"/>
          <w:sz w:val="32"/>
          <w:szCs w:val="32"/>
          <w:highlight w:val="none"/>
          <w:lang w:val="en-US" w:eastAsia="zh-CN"/>
        </w:rPr>
        <w:t>，为切实消除盂县第五实验幼儿园存在的消防安全隐患，补齐校园消防安全短板，提升火灾防控和应急处置能力，保障在园幼儿和教师们的生命安全，推动学前教育优质普惠发展。根据盂县人民政府2026年第2批预审会和第104次常务会议通过，</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原则同意该项目建设。现将该项目可行性研究报告批复如下：                                                                                                                                                                                                                                                                                                                                                                       </w:t>
      </w:r>
    </w:p>
    <w:p w14:paraId="2C9D7E7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盂县第五实验幼儿园修建消防系统项目</w:t>
      </w:r>
    </w:p>
    <w:p w14:paraId="250C2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二、建设地址：盂县水神山北路第五实验小学院内</w:t>
      </w:r>
    </w:p>
    <w:p w14:paraId="7B4CFE2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项目建设总投资</w:t>
      </w:r>
      <w:r>
        <w:rPr>
          <w:rFonts w:hint="eastAsia" w:ascii="华文仿宋" w:hAnsi="华文仿宋" w:eastAsia="华文仿宋" w:cs="华文仿宋"/>
          <w:sz w:val="32"/>
          <w:szCs w:val="32"/>
          <w:lang w:val="en-US" w:eastAsia="zh-CN"/>
        </w:rPr>
        <w:t>110.34</w:t>
      </w:r>
      <w:r>
        <w:rPr>
          <w:rFonts w:hint="eastAsia" w:ascii="华文仿宋" w:hAnsi="华文仿宋" w:eastAsia="华文仿宋" w:cs="华文仿宋"/>
          <w:sz w:val="32"/>
          <w:szCs w:val="32"/>
        </w:rPr>
        <w:t>万元。其中：工程费用</w:t>
      </w:r>
      <w:r>
        <w:rPr>
          <w:rFonts w:hint="eastAsia" w:ascii="华文仿宋" w:hAnsi="华文仿宋" w:eastAsia="华文仿宋" w:cs="华文仿宋"/>
          <w:sz w:val="32"/>
          <w:szCs w:val="32"/>
          <w:lang w:val="en-US" w:eastAsia="zh-CN"/>
        </w:rPr>
        <w:t>90.42</w:t>
      </w:r>
      <w:r>
        <w:rPr>
          <w:rFonts w:hint="eastAsia" w:ascii="华文仿宋" w:hAnsi="华文仿宋" w:eastAsia="华文仿宋" w:cs="华文仿宋"/>
          <w:sz w:val="32"/>
          <w:szCs w:val="32"/>
        </w:rPr>
        <w:t>万元，工程建设其他费用</w:t>
      </w:r>
      <w:r>
        <w:rPr>
          <w:rFonts w:hint="eastAsia" w:ascii="华文仿宋" w:hAnsi="华文仿宋" w:eastAsia="华文仿宋" w:cs="华文仿宋"/>
          <w:sz w:val="32"/>
          <w:szCs w:val="32"/>
          <w:lang w:val="en-US" w:eastAsia="zh-CN"/>
        </w:rPr>
        <w:t>14.67</w:t>
      </w:r>
      <w:r>
        <w:rPr>
          <w:rFonts w:hint="eastAsia" w:ascii="华文仿宋" w:hAnsi="华文仿宋" w:eastAsia="华文仿宋" w:cs="华文仿宋"/>
          <w:sz w:val="32"/>
          <w:szCs w:val="32"/>
        </w:rPr>
        <w:t xml:space="preserve"> 万元，</w:t>
      </w:r>
      <w:r>
        <w:rPr>
          <w:rFonts w:hint="eastAsia" w:ascii="华文仿宋" w:hAnsi="华文仿宋" w:eastAsia="华文仿宋" w:cs="华文仿宋"/>
          <w:sz w:val="32"/>
          <w:szCs w:val="32"/>
          <w:lang w:val="en-US" w:eastAsia="zh-CN"/>
        </w:rPr>
        <w:t xml:space="preserve">                                                                                                                                                                                                                                                                                                                                                                                                                                                                                                                                                                                                                                                                                                                                                                                                                                                </w:t>
      </w:r>
      <w:r>
        <w:rPr>
          <w:rFonts w:hint="eastAsia" w:ascii="华文仿宋" w:hAnsi="华文仿宋" w:eastAsia="华文仿宋" w:cs="华文仿宋"/>
          <w:sz w:val="32"/>
          <w:szCs w:val="32"/>
        </w:rPr>
        <w:t>预备费用</w:t>
      </w:r>
      <w:r>
        <w:rPr>
          <w:rFonts w:hint="eastAsia" w:ascii="华文仿宋" w:hAnsi="华文仿宋" w:eastAsia="华文仿宋" w:cs="华文仿宋"/>
          <w:sz w:val="32"/>
          <w:szCs w:val="32"/>
          <w:lang w:val="en-US" w:eastAsia="zh-CN"/>
        </w:rPr>
        <w:t>5.25</w:t>
      </w:r>
      <w:r>
        <w:rPr>
          <w:rFonts w:hint="eastAsia" w:ascii="华文仿宋" w:hAnsi="华文仿宋" w:eastAsia="华文仿宋" w:cs="华文仿宋"/>
          <w:sz w:val="32"/>
          <w:szCs w:val="32"/>
        </w:rPr>
        <w:t>万元。资金来源</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2025年支持学前教育发展资金（阳财文</w:t>
      </w:r>
      <w:r>
        <w:rPr>
          <w:rFonts w:hint="eastAsia" w:ascii="华文仿宋" w:hAnsi="华文仿宋" w:eastAsia="华文仿宋" w:cs="华文仿宋"/>
          <w:color w:val="auto"/>
          <w:sz w:val="32"/>
        </w:rPr>
        <w:t>〔20</w:t>
      </w:r>
      <w:r>
        <w:rPr>
          <w:rFonts w:hint="eastAsia" w:ascii="华文仿宋" w:hAnsi="华文仿宋" w:eastAsia="华文仿宋" w:cs="华文仿宋"/>
          <w:color w:val="auto"/>
          <w:sz w:val="32"/>
          <w:lang w:val="en-US" w:eastAsia="zh-CN"/>
        </w:rPr>
        <w:t>25</w:t>
      </w:r>
      <w:r>
        <w:rPr>
          <w:rFonts w:hint="eastAsia" w:ascii="华文仿宋" w:hAnsi="华文仿宋" w:eastAsia="华文仿宋" w:cs="华文仿宋"/>
          <w:color w:val="auto"/>
          <w:sz w:val="32"/>
        </w:rPr>
        <w:t>〕</w:t>
      </w:r>
      <w:r>
        <w:rPr>
          <w:rFonts w:hint="eastAsia" w:ascii="华文仿宋" w:hAnsi="华文仿宋" w:eastAsia="华文仿宋" w:cs="华文仿宋"/>
          <w:color w:val="auto"/>
          <w:sz w:val="32"/>
          <w:lang w:val="en-US" w:eastAsia="zh-CN"/>
        </w:rPr>
        <w:t>10</w:t>
      </w:r>
      <w:r>
        <w:rPr>
          <w:rFonts w:hint="eastAsia" w:ascii="华文仿宋" w:hAnsi="华文仿宋" w:eastAsia="华文仿宋" w:cs="华文仿宋"/>
          <w:color w:val="auto"/>
          <w:sz w:val="32"/>
          <w:szCs w:val="32"/>
        </w:rPr>
        <w:t>号</w:t>
      </w:r>
      <w:r>
        <w:rPr>
          <w:rFonts w:hint="eastAsia" w:ascii="华文仿宋" w:hAnsi="华文仿宋" w:eastAsia="华文仿宋" w:cs="华文仿宋"/>
          <w:sz w:val="32"/>
          <w:szCs w:val="32"/>
          <w:lang w:val="en-US" w:eastAsia="zh-CN"/>
        </w:rPr>
        <w:t>）</w:t>
      </w:r>
      <w:r>
        <w:rPr>
          <w:rFonts w:hint="eastAsia" w:ascii="华文仿宋" w:hAnsi="华文仿宋" w:eastAsia="华文仿宋" w:cs="华文仿宋"/>
          <w:color w:val="auto"/>
          <w:sz w:val="32"/>
          <w:szCs w:val="32"/>
          <w:lang w:eastAsia="zh-CN"/>
        </w:rPr>
        <w:t>。</w:t>
      </w:r>
    </w:p>
    <w:p w14:paraId="5F5D441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：改造地上三层幼教楼（励耘楼，建筑面积1866.60平方米）的消防系统，同时涵盖建筑修缮工程、装饰装修工程、安装工程、新建泵房、配套消防水池及其安装工程，以及电力电缆等室外配套工程</w:t>
      </w:r>
      <w:r>
        <w:rPr>
          <w:rFonts w:hint="eastAsia" w:ascii="华文仿宋" w:hAnsi="华文仿宋" w:eastAsia="华文仿宋" w:cs="华文仿宋"/>
          <w:sz w:val="32"/>
          <w:szCs w:val="32"/>
          <w:lang w:val="en-US" w:eastAsia="zh-CN"/>
        </w:rPr>
        <w:t>。</w:t>
      </w:r>
    </w:p>
    <w:p w14:paraId="407A31E2">
      <w:pPr>
        <w:pStyle w:val="1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五、建设期限：9个月</w:t>
      </w:r>
    </w:p>
    <w:p w14:paraId="761561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color w:val="auto"/>
          <w:sz w:val="32"/>
          <w:szCs w:val="32"/>
          <w:lang w:val="en-US" w:eastAsia="zh-CN"/>
        </w:rPr>
        <w:t>六、如需对本工程可行性研究报告批复文件所规定的有关内容进行调整，请及时以书面形式向我局报告，并按有关规定办理。</w:t>
      </w:r>
    </w:p>
    <w:p w14:paraId="2A20710C">
      <w:pPr>
        <w:pStyle w:val="12"/>
        <w:keepNext w:val="0"/>
        <w:keepLines w:val="0"/>
        <w:pageBreakBefore w:val="0"/>
        <w:widowControl w:val="0"/>
        <w:kinsoku/>
        <w:wordWrap/>
        <w:overflowPunct/>
        <w:topLinePunct w:val="0"/>
        <w:bidi w:val="0"/>
        <w:adjustRightInd/>
        <w:snapToGrid/>
        <w:spacing w:line="560" w:lineRule="exact"/>
        <w:ind w:firstLine="640"/>
        <w:textAlignment w:val="auto"/>
        <w:rPr>
          <w:rFonts w:hint="default" w:ascii="华文仿宋" w:hAnsi="华文仿宋" w:eastAsia="华文仿宋" w:cs="华文仿宋"/>
          <w:color w:val="auto"/>
          <w:sz w:val="32"/>
          <w:szCs w:val="32"/>
          <w:highlight w:val="none"/>
          <w:lang w:val="en-US" w:eastAsia="zh-CN"/>
        </w:rPr>
      </w:pPr>
      <w:r>
        <w:rPr>
          <w:rFonts w:hint="eastAsia" w:ascii="华文仿宋" w:hAnsi="华文仿宋" w:eastAsia="华文仿宋" w:cs="华文仿宋"/>
          <w:color w:val="auto"/>
          <w:sz w:val="32"/>
          <w:szCs w:val="32"/>
          <w:highlight w:val="none"/>
          <w:lang w:val="en-US" w:eastAsia="zh-CN"/>
        </w:rPr>
        <w:t>七、请严格按照我局核准的招标方案组织实施。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p>
    <w:p w14:paraId="5B257C83">
      <w:pPr>
        <w:pStyle w:val="6"/>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color w:val="auto"/>
          <w:lang w:val="en-US" w:eastAsia="zh-CN"/>
        </w:rPr>
      </w:pPr>
      <w:r>
        <w:rPr>
          <w:rFonts w:hint="eastAsia" w:ascii="仿宋" w:hAnsi="仿宋" w:eastAsia="仿宋" w:cs="仿宋"/>
          <w:color w:val="auto"/>
          <w:sz w:val="32"/>
          <w:szCs w:val="32"/>
          <w:lang w:val="en-US" w:eastAsia="zh-CN"/>
        </w:rPr>
        <w:t>八</w:t>
      </w:r>
      <w:r>
        <w:rPr>
          <w:rFonts w:hint="eastAsia" w:ascii="华文仿宋" w:hAnsi="华文仿宋" w:eastAsia="华文仿宋" w:cs="华文仿宋"/>
          <w:color w:val="auto"/>
          <w:sz w:val="32"/>
          <w:szCs w:val="32"/>
          <w:lang w:val="en-US" w:eastAsia="zh-CN"/>
        </w:rPr>
        <w:t>、</w:t>
      </w:r>
      <w:r>
        <w:rPr>
          <w:rFonts w:hint="eastAsia" w:ascii="华文仿宋" w:hAnsi="华文仿宋" w:eastAsia="华文仿宋" w:cs="华文仿宋"/>
          <w:color w:val="auto"/>
          <w:kern w:val="2"/>
          <w:sz w:val="32"/>
          <w:szCs w:val="32"/>
          <w:lang w:val="en-US" w:eastAsia="zh-CN"/>
        </w:rPr>
        <w:t>你单位应当按照相关节能标准、规范建设，采用节能技术、工艺和设备，加强节能管理，不断提高项目能效水平。项目实施建设和运营期，将严格遵守国家相关节能法律法规政策，自觉配合相关检查、监察。</w:t>
      </w:r>
    </w:p>
    <w:p w14:paraId="18570A95">
      <w:pPr>
        <w:pStyle w:val="6"/>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b w:val="0"/>
          <w:bCs w:val="0"/>
          <w:color w:val="auto"/>
          <w:sz w:val="32"/>
          <w:szCs w:val="32"/>
          <w:lang w:val="en-US" w:eastAsia="zh-CN"/>
        </w:rPr>
        <w:t>九、项目开工前，项目单位要依法依规取得相关报批手续，主要包括建设用地批复、环评、文物选址、文评、水保、取水许可、泉域水资源影响评价、社会稳定性评价、招标投标、工程规划、施工许可等与项目性质有关的事项。</w:t>
      </w:r>
    </w:p>
    <w:p w14:paraId="41C0E6EC">
      <w:pPr>
        <w:pStyle w:val="2"/>
        <w:ind w:left="0" w:leftChars="0" w:firstLine="640" w:firstLineChars="200"/>
        <w:rPr>
          <w:rFonts w:hint="default"/>
          <w:lang w:val="en-US" w:eastAsia="zh-CN"/>
        </w:rPr>
      </w:pPr>
      <w:r>
        <w:rPr>
          <w:rFonts w:hint="eastAsia" w:ascii="华文仿宋" w:hAnsi="华文仿宋" w:eastAsia="华文仿宋" w:cs="华文仿宋"/>
          <w:color w:val="auto"/>
          <w:sz w:val="32"/>
          <w:szCs w:val="32"/>
          <w:lang w:val="en-US" w:eastAsia="zh-CN"/>
        </w:rPr>
        <w:t>十、</w:t>
      </w:r>
      <w:r>
        <w:rPr>
          <w:rFonts w:hint="eastAsia" w:ascii="华文仿宋" w:hAnsi="华文仿宋" w:eastAsia="华文仿宋" w:cs="华文仿宋"/>
          <w:sz w:val="32"/>
          <w:szCs w:val="32"/>
          <w:lang w:val="en-US" w:eastAsia="zh-CN"/>
        </w:rPr>
        <w:t>按照《山西省发展和改革委员会政府投资项目初步设计审批管理办法》规定，该项目总投资在600万元以下，可行性研究报告已达到初步设计深度，不再另行报批初步设计报告。建设单位</w:t>
      </w:r>
      <w:r>
        <w:rPr>
          <w:rFonts w:hint="eastAsia" w:ascii="华文仿宋" w:hAnsi="华文仿宋" w:eastAsia="华文仿宋" w:cs="华文仿宋"/>
          <w:color w:val="000000" w:themeColor="text1"/>
          <w:sz w:val="32"/>
          <w:szCs w:val="32"/>
          <w:lang w:eastAsia="zh-CN"/>
          <w14:textFill>
            <w14:solidFill>
              <w14:schemeClr w14:val="tx1"/>
            </w14:solidFill>
          </w14:textFill>
        </w:rPr>
        <w:t>应通过山西省投资项目在线审批监管平台如实报送项目开工建设、建设进度、竣工的基本信息等。</w:t>
      </w:r>
    </w:p>
    <w:p w14:paraId="1366129F">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3D2CFACE">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7DE6D5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附件：盂县建设项目招标方案和不招标申请核准表</w:t>
      </w:r>
    </w:p>
    <w:p w14:paraId="74501A3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053B7FD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79CD7AEC">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5D6EFC6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2A4AABF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480" w:firstLineChars="14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5CEC190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default" w:ascii="华文仿宋" w:hAnsi="华文仿宋" w:eastAsia="华文仿宋" w:cs="华文仿宋"/>
          <w:sz w:val="13"/>
          <w:szCs w:val="13"/>
          <w:lang w:val="en-US" w:eastAsia="zh-CN"/>
        </w:rPr>
      </w:pPr>
      <w:r>
        <w:rPr>
          <w:rFonts w:hint="eastAsia" w:ascii="华文仿宋" w:hAnsi="华文仿宋" w:eastAsia="华文仿宋" w:cs="华文仿宋"/>
          <w:sz w:val="32"/>
          <w:szCs w:val="32"/>
          <w:lang w:val="en-US" w:eastAsia="zh-CN"/>
        </w:rPr>
        <w:t xml:space="preserve">                             2026年9月2日</w:t>
      </w:r>
    </w:p>
    <w:p w14:paraId="68C5CA6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E9792D6">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0AC29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32EA88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0106E5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090BE0C">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89A75D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bookmarkStart w:id="0" w:name="_GoBack"/>
      <w:bookmarkEnd w:id="0"/>
    </w:p>
    <w:p w14:paraId="45A6A3F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B2363BC">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6EEDE1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25137FC">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69BCAC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395A97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0EBB8A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B242FD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05A23A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B7F13BF">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4B0228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FDCEE0F">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15DF61B">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D6070FD">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36C1BF7">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024B4BD">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AB0E8E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9B9294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2EE9EC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A653122">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F4D1537">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B501ED2">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9A6091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387D02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78F6AA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536A282">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lang w:eastAsia="zh-CN"/>
        </w:rPr>
      </w:pPr>
      <w:r>
        <w:rPr>
          <w:rFonts w:hint="eastAsia" w:ascii="华文仿宋" w:hAnsi="华文仿宋" w:eastAsia="华文仿宋" w:cs="华文仿宋"/>
          <w:b w:val="0"/>
          <w:bCs/>
          <w:sz w:val="32"/>
          <w:szCs w:val="32"/>
          <w:lang w:val="en-US" w:eastAsia="zh-CN"/>
        </w:rPr>
        <w:t>盂县发展和改革局              2026年9月2日印发</w:t>
      </w:r>
    </w:p>
    <w:p w14:paraId="10BB992F">
      <w:pPr>
        <w:ind w:firstLine="720" w:firstLineChars="200"/>
        <w:jc w:val="both"/>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6D5819AC">
      <w:pPr>
        <w:jc w:val="left"/>
        <w:rPr>
          <w:rFonts w:hint="default" w:ascii="宋体" w:hAnsi="宋体" w:eastAsia="宋体" w:cs="宋体"/>
          <w:lang w:val="en-US" w:eastAsia="zh-CN"/>
        </w:rPr>
      </w:pPr>
      <w:r>
        <w:rPr>
          <w:rFonts w:hint="eastAsia"/>
        </w:rPr>
        <w:t xml:space="preserve">                                                           </w:t>
      </w:r>
      <w:r>
        <w:rPr>
          <w:rFonts w:hint="eastAsia" w:ascii="宋体" w:hAnsi="宋体" w:eastAsia="宋体" w:cs="宋体"/>
          <w:lang w:val="en-US" w:eastAsia="zh-CN"/>
        </w:rPr>
        <w:t xml:space="preserve"> </w:t>
      </w:r>
      <w:r>
        <w:rPr>
          <w:rFonts w:hint="eastAsia" w:ascii="宋体" w:hAnsi="宋体" w:cs="宋体"/>
          <w:lang w:val="en-US" w:eastAsia="zh-CN"/>
        </w:rPr>
        <w:t xml:space="preserve">   </w:t>
      </w:r>
      <w:r>
        <w:rPr>
          <w:rFonts w:hint="eastAsia" w:ascii="宋体" w:hAnsi="宋体" w:eastAsia="宋体" w:cs="宋体"/>
          <w:lang w:val="en-US" w:eastAsia="zh-CN"/>
        </w:rPr>
        <w:t xml:space="preserve"> 核准号：</w:t>
      </w:r>
      <w:r>
        <w:rPr>
          <w:rFonts w:hint="eastAsia" w:ascii="宋体" w:hAnsi="宋体" w:eastAsia="宋体" w:cs="宋体"/>
          <w:highlight w:val="none"/>
          <w:lang w:val="en-US" w:eastAsia="zh-CN"/>
        </w:rPr>
        <w:t>202</w:t>
      </w:r>
      <w:r>
        <w:rPr>
          <w:rFonts w:hint="eastAsia" w:ascii="宋体" w:hAnsi="宋体" w:cs="宋体"/>
          <w:highlight w:val="none"/>
          <w:lang w:val="en-US" w:eastAsia="zh-CN"/>
        </w:rPr>
        <w:t>6</w:t>
      </w:r>
      <w:r>
        <w:rPr>
          <w:rFonts w:hint="eastAsia" w:ascii="宋体" w:hAnsi="宋体" w:eastAsia="宋体" w:cs="宋体"/>
          <w:highlight w:val="none"/>
          <w:lang w:val="en-US" w:eastAsia="zh-CN"/>
        </w:rPr>
        <w:t>-0</w:t>
      </w:r>
      <w:r>
        <w:rPr>
          <w:rFonts w:hint="eastAsia" w:ascii="宋体" w:hAnsi="宋体" w:cs="宋体"/>
          <w:highlight w:val="none"/>
          <w:lang w:val="en-US" w:eastAsia="zh-CN"/>
        </w:rPr>
        <w:t>21</w:t>
      </w:r>
    </w:p>
    <w:tbl>
      <w:tblPr>
        <w:tblStyle w:val="9"/>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4B6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33CF7A23">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118D08DE">
            <w:pPr>
              <w:spacing w:line="340" w:lineRule="exact"/>
              <w:jc w:val="center"/>
              <w:rPr>
                <w:rFonts w:hint="default" w:ascii="仿宋_GB2312" w:eastAsia="宋体"/>
                <w:lang w:val="en-US" w:eastAsia="zh-CN"/>
              </w:rPr>
            </w:pPr>
            <w:r>
              <w:rPr>
                <w:rFonts w:hint="default" w:ascii="仿宋_GB2312" w:eastAsia="宋体"/>
                <w:lang w:val="en-US" w:eastAsia="zh-CN"/>
              </w:rPr>
              <w:t>盂县第五实验幼儿园修建</w:t>
            </w:r>
          </w:p>
          <w:p w14:paraId="43E89E3C">
            <w:pPr>
              <w:spacing w:line="340" w:lineRule="exact"/>
              <w:jc w:val="center"/>
              <w:rPr>
                <w:rFonts w:hint="default" w:ascii="仿宋_GB2312" w:eastAsia="宋体"/>
                <w:lang w:val="en-US" w:eastAsia="zh-CN"/>
              </w:rPr>
            </w:pPr>
            <w:r>
              <w:rPr>
                <w:rFonts w:hint="default" w:ascii="仿宋_GB2312" w:eastAsia="宋体"/>
                <w:lang w:val="en-US" w:eastAsia="zh-CN"/>
              </w:rPr>
              <w:t>消防系统项目</w:t>
            </w:r>
          </w:p>
        </w:tc>
        <w:tc>
          <w:tcPr>
            <w:tcW w:w="1087" w:type="dxa"/>
            <w:tcBorders>
              <w:top w:val="single" w:color="auto" w:sz="12" w:space="0"/>
              <w:right w:val="single" w:color="auto" w:sz="4" w:space="0"/>
            </w:tcBorders>
            <w:noWrap w:val="0"/>
            <w:vAlign w:val="center"/>
          </w:tcPr>
          <w:p w14:paraId="606CF448">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4467489A">
            <w:pPr>
              <w:spacing w:line="340" w:lineRule="exact"/>
              <w:jc w:val="center"/>
              <w:rPr>
                <w:rFonts w:hint="default" w:ascii="仿宋_GB2312"/>
                <w:lang w:val="en-US" w:eastAsia="zh-CN"/>
              </w:rPr>
            </w:pPr>
            <w:r>
              <w:rPr>
                <w:rFonts w:hint="eastAsia" w:ascii="仿宋_GB2312"/>
                <w:lang w:val="en-US" w:eastAsia="zh-CN"/>
              </w:rPr>
              <w:t>盂县第五实验幼儿园</w:t>
            </w:r>
          </w:p>
        </w:tc>
      </w:tr>
      <w:tr w14:paraId="6FB9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4F41CD8C">
            <w:pPr>
              <w:spacing w:line="340" w:lineRule="exact"/>
              <w:jc w:val="center"/>
              <w:rPr>
                <w:rFonts w:ascii="仿宋_GB2312"/>
              </w:rPr>
            </w:pPr>
          </w:p>
        </w:tc>
        <w:tc>
          <w:tcPr>
            <w:tcW w:w="2377" w:type="dxa"/>
            <w:gridSpan w:val="2"/>
            <w:tcBorders>
              <w:top w:val="single" w:color="auto" w:sz="8" w:space="0"/>
            </w:tcBorders>
            <w:noWrap w:val="0"/>
            <w:vAlign w:val="center"/>
          </w:tcPr>
          <w:p w14:paraId="24B7F7AA">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6488E801">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2AB1ED46">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06A99510">
            <w:pPr>
              <w:spacing w:line="340" w:lineRule="exact"/>
              <w:jc w:val="center"/>
              <w:rPr>
                <w:rFonts w:ascii="仿宋_GB2312"/>
              </w:rPr>
            </w:pPr>
            <w:r>
              <w:rPr>
                <w:rFonts w:hint="eastAsia" w:ascii="仿宋_GB2312"/>
              </w:rPr>
              <w:t>不采用</w:t>
            </w:r>
          </w:p>
          <w:p w14:paraId="02FC381E">
            <w:pPr>
              <w:widowControl/>
              <w:spacing w:line="340" w:lineRule="exact"/>
              <w:jc w:val="center"/>
              <w:rPr>
                <w:rFonts w:ascii="仿宋_GB2312"/>
              </w:rPr>
            </w:pPr>
            <w:r>
              <w:rPr>
                <w:rFonts w:hint="eastAsia" w:ascii="仿宋_GB2312"/>
              </w:rPr>
              <w:t>招标方式</w:t>
            </w:r>
          </w:p>
        </w:tc>
      </w:tr>
      <w:tr w14:paraId="439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423BEEBD">
            <w:pPr>
              <w:spacing w:line="340" w:lineRule="exact"/>
              <w:jc w:val="center"/>
              <w:rPr>
                <w:rFonts w:ascii="仿宋_GB2312"/>
              </w:rPr>
            </w:pPr>
          </w:p>
        </w:tc>
        <w:tc>
          <w:tcPr>
            <w:tcW w:w="1312" w:type="dxa"/>
            <w:noWrap w:val="0"/>
            <w:vAlign w:val="center"/>
          </w:tcPr>
          <w:p w14:paraId="6177D201">
            <w:pPr>
              <w:spacing w:line="340" w:lineRule="exact"/>
              <w:jc w:val="center"/>
              <w:rPr>
                <w:rFonts w:ascii="仿宋_GB2312"/>
              </w:rPr>
            </w:pPr>
            <w:r>
              <w:rPr>
                <w:rFonts w:hint="eastAsia" w:ascii="仿宋_GB2312"/>
              </w:rPr>
              <w:t>全部招标</w:t>
            </w:r>
          </w:p>
        </w:tc>
        <w:tc>
          <w:tcPr>
            <w:tcW w:w="1065" w:type="dxa"/>
            <w:noWrap w:val="0"/>
            <w:vAlign w:val="center"/>
          </w:tcPr>
          <w:p w14:paraId="0FA1F742">
            <w:pPr>
              <w:spacing w:line="340" w:lineRule="exact"/>
              <w:jc w:val="center"/>
              <w:rPr>
                <w:rFonts w:ascii="仿宋_GB2312"/>
              </w:rPr>
            </w:pPr>
            <w:r>
              <w:rPr>
                <w:rFonts w:hint="eastAsia" w:ascii="仿宋_GB2312"/>
              </w:rPr>
              <w:t>部分招标</w:t>
            </w:r>
          </w:p>
        </w:tc>
        <w:tc>
          <w:tcPr>
            <w:tcW w:w="1223" w:type="dxa"/>
            <w:gridSpan w:val="2"/>
            <w:noWrap w:val="0"/>
            <w:vAlign w:val="center"/>
          </w:tcPr>
          <w:p w14:paraId="164775F5">
            <w:pPr>
              <w:spacing w:line="340" w:lineRule="exact"/>
              <w:jc w:val="center"/>
              <w:rPr>
                <w:rFonts w:ascii="仿宋_GB2312"/>
              </w:rPr>
            </w:pPr>
            <w:r>
              <w:rPr>
                <w:rFonts w:hint="eastAsia" w:ascii="仿宋_GB2312"/>
              </w:rPr>
              <w:t>委托招标</w:t>
            </w:r>
          </w:p>
        </w:tc>
        <w:tc>
          <w:tcPr>
            <w:tcW w:w="1087" w:type="dxa"/>
            <w:noWrap w:val="0"/>
            <w:vAlign w:val="center"/>
          </w:tcPr>
          <w:p w14:paraId="4ABB797D">
            <w:pPr>
              <w:spacing w:line="340" w:lineRule="exact"/>
              <w:jc w:val="center"/>
              <w:rPr>
                <w:rFonts w:ascii="仿宋_GB2312"/>
              </w:rPr>
            </w:pPr>
            <w:r>
              <w:rPr>
                <w:rFonts w:hint="eastAsia" w:ascii="仿宋_GB2312"/>
              </w:rPr>
              <w:t>自行招标</w:t>
            </w:r>
          </w:p>
        </w:tc>
        <w:tc>
          <w:tcPr>
            <w:tcW w:w="1155" w:type="dxa"/>
            <w:noWrap w:val="0"/>
            <w:vAlign w:val="center"/>
          </w:tcPr>
          <w:p w14:paraId="27A64FC9">
            <w:pPr>
              <w:spacing w:line="340" w:lineRule="exact"/>
              <w:jc w:val="center"/>
              <w:rPr>
                <w:rFonts w:ascii="仿宋_GB2312"/>
              </w:rPr>
            </w:pPr>
            <w:r>
              <w:rPr>
                <w:rFonts w:hint="eastAsia" w:ascii="仿宋_GB2312"/>
              </w:rPr>
              <w:t>公开招标</w:t>
            </w:r>
          </w:p>
        </w:tc>
        <w:tc>
          <w:tcPr>
            <w:tcW w:w="1125" w:type="dxa"/>
            <w:noWrap w:val="0"/>
            <w:vAlign w:val="center"/>
          </w:tcPr>
          <w:p w14:paraId="75E01961">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27CEB281">
            <w:pPr>
              <w:spacing w:line="340" w:lineRule="exact"/>
              <w:jc w:val="center"/>
              <w:rPr>
                <w:rFonts w:ascii="仿宋_GB2312"/>
              </w:rPr>
            </w:pPr>
          </w:p>
        </w:tc>
      </w:tr>
      <w:tr w14:paraId="2240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350D01B">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18F1DF3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014C992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2DE069F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0533F5B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BF1195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85C15C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6B828FC9">
            <w:pPr>
              <w:jc w:val="center"/>
              <w:rPr>
                <w:rFonts w:hint="eastAsia" w:ascii="仿宋_GB2312" w:eastAsia="宋体"/>
                <w:lang w:val="en-US" w:eastAsia="zh-CN"/>
              </w:rPr>
            </w:pPr>
            <w:r>
              <w:rPr>
                <w:rFonts w:hint="eastAsia" w:ascii="仿宋_GB2312"/>
                <w:lang w:val="en-US" w:eastAsia="zh-CN"/>
              </w:rPr>
              <w:t>核准</w:t>
            </w:r>
          </w:p>
        </w:tc>
      </w:tr>
      <w:tr w14:paraId="359A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436B377E">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342CD208">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1BBEA7C">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130BFC6">
            <w:pPr>
              <w:jc w:val="center"/>
              <w:rPr>
                <w:rFonts w:hint="eastAsia" w:ascii="仿宋_GB2312"/>
              </w:rPr>
            </w:pPr>
            <w:r>
              <w:rPr>
                <w:rFonts w:hint="eastAsia" w:ascii="仿宋_GB2312"/>
              </w:rPr>
              <w:t>――</w:t>
            </w:r>
          </w:p>
        </w:tc>
        <w:tc>
          <w:tcPr>
            <w:tcW w:w="1087" w:type="dxa"/>
            <w:noWrap w:val="0"/>
            <w:vAlign w:val="center"/>
          </w:tcPr>
          <w:p w14:paraId="6B881B62">
            <w:pPr>
              <w:jc w:val="center"/>
              <w:rPr>
                <w:rFonts w:hint="eastAsia" w:ascii="仿宋_GB2312"/>
              </w:rPr>
            </w:pPr>
            <w:r>
              <w:rPr>
                <w:rFonts w:hint="eastAsia" w:ascii="仿宋_GB2312"/>
              </w:rPr>
              <w:t>――</w:t>
            </w:r>
          </w:p>
        </w:tc>
        <w:tc>
          <w:tcPr>
            <w:tcW w:w="1155" w:type="dxa"/>
            <w:noWrap w:val="0"/>
            <w:vAlign w:val="center"/>
          </w:tcPr>
          <w:p w14:paraId="1475B7BE">
            <w:pPr>
              <w:jc w:val="center"/>
              <w:rPr>
                <w:rFonts w:hint="eastAsia" w:ascii="仿宋_GB2312"/>
              </w:rPr>
            </w:pPr>
            <w:r>
              <w:rPr>
                <w:rFonts w:hint="eastAsia" w:ascii="仿宋_GB2312"/>
              </w:rPr>
              <w:t>――</w:t>
            </w:r>
          </w:p>
        </w:tc>
        <w:tc>
          <w:tcPr>
            <w:tcW w:w="1125" w:type="dxa"/>
            <w:noWrap w:val="0"/>
            <w:vAlign w:val="center"/>
          </w:tcPr>
          <w:p w14:paraId="7CEA2675">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A06F7EE">
            <w:pPr>
              <w:jc w:val="center"/>
              <w:rPr>
                <w:rFonts w:hint="eastAsia" w:ascii="仿宋_GB2312" w:eastAsia="宋体"/>
                <w:lang w:eastAsia="zh-CN"/>
              </w:rPr>
            </w:pPr>
            <w:r>
              <w:rPr>
                <w:rFonts w:hint="eastAsia" w:ascii="仿宋_GB2312"/>
                <w:lang w:val="en-US" w:eastAsia="zh-CN"/>
              </w:rPr>
              <w:t>核准</w:t>
            </w:r>
          </w:p>
        </w:tc>
      </w:tr>
      <w:tr w14:paraId="2865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A2CF596">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0DAC49A">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387AC612">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A5561D4">
            <w:pPr>
              <w:jc w:val="center"/>
              <w:rPr>
                <w:rFonts w:hint="eastAsia" w:ascii="仿宋_GB2312"/>
              </w:rPr>
            </w:pPr>
            <w:r>
              <w:rPr>
                <w:rFonts w:hint="eastAsia" w:ascii="仿宋_GB2312"/>
              </w:rPr>
              <w:t>――</w:t>
            </w:r>
          </w:p>
        </w:tc>
        <w:tc>
          <w:tcPr>
            <w:tcW w:w="1087" w:type="dxa"/>
            <w:noWrap w:val="0"/>
            <w:vAlign w:val="center"/>
          </w:tcPr>
          <w:p w14:paraId="7240F191">
            <w:pPr>
              <w:jc w:val="center"/>
              <w:rPr>
                <w:rFonts w:hint="eastAsia" w:ascii="仿宋_GB2312"/>
              </w:rPr>
            </w:pPr>
            <w:r>
              <w:rPr>
                <w:rFonts w:hint="eastAsia" w:ascii="仿宋_GB2312"/>
              </w:rPr>
              <w:t>――</w:t>
            </w:r>
          </w:p>
        </w:tc>
        <w:tc>
          <w:tcPr>
            <w:tcW w:w="1155" w:type="dxa"/>
            <w:noWrap w:val="0"/>
            <w:vAlign w:val="center"/>
          </w:tcPr>
          <w:p w14:paraId="38CBB559">
            <w:pPr>
              <w:jc w:val="center"/>
              <w:rPr>
                <w:rFonts w:hint="eastAsia" w:ascii="仿宋_GB2312"/>
              </w:rPr>
            </w:pPr>
            <w:r>
              <w:rPr>
                <w:rFonts w:hint="eastAsia" w:ascii="仿宋_GB2312"/>
              </w:rPr>
              <w:t>――</w:t>
            </w:r>
          </w:p>
        </w:tc>
        <w:tc>
          <w:tcPr>
            <w:tcW w:w="1125" w:type="dxa"/>
            <w:noWrap w:val="0"/>
            <w:vAlign w:val="center"/>
          </w:tcPr>
          <w:p w14:paraId="7747789F">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14A8C4F">
            <w:pPr>
              <w:jc w:val="center"/>
              <w:rPr>
                <w:rFonts w:hint="eastAsia" w:ascii="仿宋_GB2312"/>
                <w:lang w:val="en-US" w:eastAsia="zh-CN"/>
              </w:rPr>
            </w:pPr>
            <w:r>
              <w:rPr>
                <w:rFonts w:hint="eastAsia" w:ascii="仿宋_GB2312"/>
                <w:lang w:val="en-US" w:eastAsia="zh-CN"/>
              </w:rPr>
              <w:t>核准</w:t>
            </w:r>
          </w:p>
        </w:tc>
      </w:tr>
      <w:tr w14:paraId="582B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0872C8E">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41F8E41C">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724B11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721BC7B8">
            <w:pPr>
              <w:jc w:val="center"/>
              <w:rPr>
                <w:rFonts w:hint="eastAsia" w:ascii="仿宋_GB2312"/>
              </w:rPr>
            </w:pPr>
            <w:r>
              <w:rPr>
                <w:rFonts w:hint="eastAsia" w:ascii="仿宋_GB2312"/>
              </w:rPr>
              <w:t>――</w:t>
            </w:r>
          </w:p>
        </w:tc>
        <w:tc>
          <w:tcPr>
            <w:tcW w:w="1087" w:type="dxa"/>
            <w:noWrap w:val="0"/>
            <w:vAlign w:val="center"/>
          </w:tcPr>
          <w:p w14:paraId="14EBE6A6">
            <w:pPr>
              <w:jc w:val="center"/>
              <w:rPr>
                <w:rFonts w:hint="eastAsia" w:ascii="仿宋_GB2312"/>
              </w:rPr>
            </w:pPr>
            <w:r>
              <w:rPr>
                <w:rFonts w:hint="eastAsia" w:ascii="仿宋_GB2312"/>
              </w:rPr>
              <w:t>――</w:t>
            </w:r>
          </w:p>
        </w:tc>
        <w:tc>
          <w:tcPr>
            <w:tcW w:w="1155" w:type="dxa"/>
            <w:noWrap w:val="0"/>
            <w:vAlign w:val="center"/>
          </w:tcPr>
          <w:p w14:paraId="44D88141">
            <w:pPr>
              <w:jc w:val="center"/>
              <w:rPr>
                <w:rFonts w:hint="eastAsia" w:ascii="仿宋_GB2312"/>
              </w:rPr>
            </w:pPr>
            <w:r>
              <w:rPr>
                <w:rFonts w:hint="eastAsia" w:ascii="仿宋_GB2312"/>
              </w:rPr>
              <w:t>――</w:t>
            </w:r>
          </w:p>
        </w:tc>
        <w:tc>
          <w:tcPr>
            <w:tcW w:w="1125" w:type="dxa"/>
            <w:noWrap w:val="0"/>
            <w:vAlign w:val="center"/>
          </w:tcPr>
          <w:p w14:paraId="3CB63B6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79097FF">
            <w:pPr>
              <w:jc w:val="center"/>
              <w:rPr>
                <w:rFonts w:hint="eastAsia" w:ascii="仿宋_GB2312" w:eastAsia="宋体"/>
                <w:lang w:eastAsia="zh-CN"/>
              </w:rPr>
            </w:pPr>
            <w:r>
              <w:rPr>
                <w:rFonts w:hint="eastAsia" w:ascii="仿宋_GB2312"/>
                <w:lang w:val="en-US" w:eastAsia="zh-CN"/>
              </w:rPr>
              <w:t>核准</w:t>
            </w:r>
          </w:p>
        </w:tc>
      </w:tr>
      <w:tr w14:paraId="1E94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F8D906D">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73A4809">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28DCDBD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0F7F15F">
            <w:pPr>
              <w:jc w:val="center"/>
              <w:rPr>
                <w:rFonts w:hint="eastAsia" w:ascii="仿宋_GB2312"/>
              </w:rPr>
            </w:pPr>
            <w:r>
              <w:rPr>
                <w:rFonts w:hint="eastAsia" w:ascii="仿宋_GB2312"/>
              </w:rPr>
              <w:t>――</w:t>
            </w:r>
          </w:p>
        </w:tc>
        <w:tc>
          <w:tcPr>
            <w:tcW w:w="1087" w:type="dxa"/>
            <w:noWrap w:val="0"/>
            <w:vAlign w:val="center"/>
          </w:tcPr>
          <w:p w14:paraId="4A7AB148">
            <w:pPr>
              <w:jc w:val="center"/>
              <w:rPr>
                <w:rFonts w:hint="eastAsia" w:ascii="仿宋_GB2312"/>
              </w:rPr>
            </w:pPr>
            <w:r>
              <w:rPr>
                <w:rFonts w:hint="eastAsia" w:ascii="仿宋_GB2312"/>
              </w:rPr>
              <w:t>――</w:t>
            </w:r>
          </w:p>
        </w:tc>
        <w:tc>
          <w:tcPr>
            <w:tcW w:w="1155" w:type="dxa"/>
            <w:noWrap w:val="0"/>
            <w:vAlign w:val="center"/>
          </w:tcPr>
          <w:p w14:paraId="0728603C">
            <w:pPr>
              <w:jc w:val="center"/>
              <w:rPr>
                <w:rFonts w:hint="eastAsia" w:ascii="仿宋_GB2312"/>
              </w:rPr>
            </w:pPr>
            <w:r>
              <w:rPr>
                <w:rFonts w:hint="eastAsia" w:ascii="仿宋_GB2312"/>
              </w:rPr>
              <w:t>――</w:t>
            </w:r>
          </w:p>
        </w:tc>
        <w:tc>
          <w:tcPr>
            <w:tcW w:w="1125" w:type="dxa"/>
            <w:noWrap w:val="0"/>
            <w:vAlign w:val="center"/>
          </w:tcPr>
          <w:p w14:paraId="4E4EF1C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2BD48A19">
            <w:pPr>
              <w:jc w:val="center"/>
              <w:rPr>
                <w:rFonts w:hint="eastAsia" w:ascii="仿宋_GB2312"/>
              </w:rPr>
            </w:pPr>
            <w:r>
              <w:rPr>
                <w:rFonts w:hint="eastAsia" w:ascii="仿宋_GB2312"/>
              </w:rPr>
              <w:t>――</w:t>
            </w:r>
          </w:p>
        </w:tc>
      </w:tr>
      <w:tr w14:paraId="3FFA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0955980A">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C7EF46F">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07AC950E">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906D709">
            <w:pPr>
              <w:jc w:val="center"/>
              <w:rPr>
                <w:rFonts w:hint="eastAsia" w:ascii="仿宋_GB2312"/>
                <w:lang w:val="en-US" w:eastAsia="zh-CN"/>
              </w:rPr>
            </w:pPr>
            <w:r>
              <w:rPr>
                <w:rFonts w:hint="eastAsia" w:ascii="仿宋_GB2312"/>
              </w:rPr>
              <w:t>――</w:t>
            </w:r>
          </w:p>
        </w:tc>
        <w:tc>
          <w:tcPr>
            <w:tcW w:w="1087" w:type="dxa"/>
            <w:noWrap w:val="0"/>
            <w:vAlign w:val="center"/>
          </w:tcPr>
          <w:p w14:paraId="3613E63E">
            <w:pPr>
              <w:jc w:val="center"/>
              <w:rPr>
                <w:rFonts w:hint="eastAsia" w:ascii="仿宋_GB2312"/>
              </w:rPr>
            </w:pPr>
            <w:r>
              <w:rPr>
                <w:rFonts w:hint="eastAsia" w:ascii="仿宋_GB2312"/>
              </w:rPr>
              <w:t>――</w:t>
            </w:r>
          </w:p>
        </w:tc>
        <w:tc>
          <w:tcPr>
            <w:tcW w:w="1155" w:type="dxa"/>
            <w:noWrap w:val="0"/>
            <w:vAlign w:val="center"/>
          </w:tcPr>
          <w:p w14:paraId="1E2F7150">
            <w:pPr>
              <w:jc w:val="center"/>
              <w:rPr>
                <w:rFonts w:hint="eastAsia" w:ascii="仿宋_GB2312"/>
                <w:lang w:val="en-US" w:eastAsia="zh-CN"/>
              </w:rPr>
            </w:pPr>
            <w:r>
              <w:rPr>
                <w:rFonts w:hint="eastAsia" w:ascii="仿宋_GB2312"/>
              </w:rPr>
              <w:t>――</w:t>
            </w:r>
          </w:p>
        </w:tc>
        <w:tc>
          <w:tcPr>
            <w:tcW w:w="1125" w:type="dxa"/>
            <w:noWrap w:val="0"/>
            <w:vAlign w:val="center"/>
          </w:tcPr>
          <w:p w14:paraId="1325879B">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89DC7D9">
            <w:pPr>
              <w:jc w:val="center"/>
              <w:rPr>
                <w:rFonts w:hint="eastAsia" w:ascii="仿宋_GB2312"/>
              </w:rPr>
            </w:pPr>
            <w:r>
              <w:rPr>
                <w:rFonts w:hint="eastAsia" w:ascii="仿宋_GB2312"/>
              </w:rPr>
              <w:t>――</w:t>
            </w:r>
          </w:p>
        </w:tc>
      </w:tr>
      <w:tr w14:paraId="3922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48559B98">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6218D91C">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427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EECA910">
            <w:pPr>
              <w:jc w:val="left"/>
              <w:rPr>
                <w:rFonts w:hint="eastAsia"/>
              </w:rPr>
            </w:pPr>
          </w:p>
          <w:p w14:paraId="494E6130">
            <w:pPr>
              <w:keepNext w:val="0"/>
              <w:keepLines w:val="0"/>
              <w:pageBreakBefore w:val="0"/>
              <w:widowControl w:val="0"/>
              <w:tabs>
                <w:tab w:val="left" w:pos="3135"/>
              </w:tabs>
              <w:kinsoku/>
              <w:wordWrap/>
              <w:overflowPunct/>
              <w:topLinePunct w:val="0"/>
              <w:autoSpaceDE/>
              <w:autoSpaceDN/>
              <w:bidi w:val="0"/>
              <w:adjustRightInd/>
              <w:snapToGrid/>
              <w:spacing w:line="320" w:lineRule="exact"/>
              <w:jc w:val="left"/>
              <w:textAlignment w:val="auto"/>
              <w:rPr>
                <w:rFonts w:hint="eastAsia"/>
                <w:lang w:val="en-US" w:eastAsia="zh-CN"/>
              </w:rPr>
            </w:pPr>
            <w:r>
              <w:rPr>
                <w:rFonts w:hint="eastAsia"/>
                <w:lang w:val="en-US" w:eastAsia="zh-CN"/>
              </w:rPr>
              <w:t xml:space="preserve">  核准意见：</w:t>
            </w:r>
          </w:p>
          <w:p w14:paraId="5212BA7D">
            <w:pPr>
              <w:tabs>
                <w:tab w:val="left" w:pos="3135"/>
              </w:tabs>
              <w:ind w:firstLine="420" w:firstLineChars="200"/>
              <w:jc w:val="left"/>
              <w:rPr>
                <w:rFonts w:hint="eastAsia"/>
                <w:lang w:val="en-US" w:eastAsia="zh-CN"/>
              </w:rPr>
            </w:pPr>
            <w:r>
              <w:rPr>
                <w:rFonts w:hint="eastAsia"/>
                <w:lang w:val="en-US" w:eastAsia="zh-CN"/>
              </w:rPr>
              <w:t xml:space="preserve"> 一、该项目属于使用国有资金投资的项目，根据有关规定，达到强制招标规模标准的建设内容均应进行招标。</w:t>
            </w:r>
          </w:p>
          <w:p w14:paraId="2FDFFAF3">
            <w:pPr>
              <w:tabs>
                <w:tab w:val="left" w:pos="3135"/>
              </w:tabs>
              <w:jc w:val="left"/>
              <w:rPr>
                <w:rFonts w:hint="eastAsia"/>
                <w:lang w:val="en-US" w:eastAsia="zh-CN"/>
              </w:rPr>
            </w:pPr>
            <w:r>
              <w:rPr>
                <w:rFonts w:hint="eastAsia"/>
                <w:lang w:val="en-US" w:eastAsia="zh-CN"/>
              </w:rPr>
              <w:t xml:space="preserve">     二、该项目的设计、建安工程、监理、单项合同金额未达到强制招标的规模标准，同意其不采用招标方式。</w:t>
            </w:r>
          </w:p>
          <w:p w14:paraId="350119C4">
            <w:pPr>
              <w:tabs>
                <w:tab w:val="left" w:pos="3135"/>
              </w:tabs>
              <w:ind w:firstLine="4935" w:firstLineChars="2350"/>
              <w:jc w:val="left"/>
              <w:rPr>
                <w:rFonts w:hint="eastAsia"/>
                <w:lang w:val="en-US" w:eastAsia="zh-CN"/>
              </w:rPr>
            </w:pPr>
          </w:p>
          <w:p w14:paraId="5EA0D4BE">
            <w:pPr>
              <w:pStyle w:val="8"/>
              <w:rPr>
                <w:rFonts w:hint="eastAsia"/>
                <w:lang w:val="en-US" w:eastAsia="zh-CN"/>
              </w:rPr>
            </w:pPr>
          </w:p>
          <w:p w14:paraId="0B4060B7">
            <w:pPr>
              <w:tabs>
                <w:tab w:val="left" w:pos="3135"/>
              </w:tabs>
              <w:ind w:firstLine="4935" w:firstLineChars="2350"/>
              <w:jc w:val="left"/>
              <w:rPr>
                <w:rFonts w:hint="eastAsia"/>
                <w:lang w:val="en-US" w:eastAsia="zh-CN"/>
              </w:rPr>
            </w:pPr>
          </w:p>
          <w:p w14:paraId="4F9A90D8">
            <w:pPr>
              <w:tabs>
                <w:tab w:val="left" w:pos="3135"/>
              </w:tabs>
              <w:ind w:firstLine="4935" w:firstLineChars="2350"/>
              <w:jc w:val="left"/>
              <w:rPr>
                <w:rFonts w:hint="eastAsia"/>
                <w:lang w:val="en-US" w:eastAsia="zh-CN"/>
              </w:rPr>
            </w:pPr>
          </w:p>
          <w:p w14:paraId="12CE99BD">
            <w:pPr>
              <w:tabs>
                <w:tab w:val="left" w:pos="3135"/>
              </w:tabs>
              <w:ind w:firstLine="4935" w:firstLineChars="2350"/>
              <w:jc w:val="left"/>
              <w:rPr>
                <w:rFonts w:hint="eastAsia"/>
                <w:lang w:val="en-US" w:eastAsia="zh-CN"/>
              </w:rPr>
            </w:pPr>
          </w:p>
          <w:p w14:paraId="3322C9A5">
            <w:pPr>
              <w:tabs>
                <w:tab w:val="left" w:pos="3135"/>
              </w:tabs>
              <w:ind w:firstLine="4935" w:firstLineChars="2350"/>
              <w:jc w:val="left"/>
              <w:rPr>
                <w:rFonts w:hint="eastAsia"/>
                <w:lang w:val="en-US" w:eastAsia="zh-CN"/>
              </w:rPr>
            </w:pPr>
          </w:p>
          <w:p w14:paraId="1E8FF7AA">
            <w:pPr>
              <w:tabs>
                <w:tab w:val="left" w:pos="3135"/>
              </w:tabs>
              <w:ind w:firstLine="4935" w:firstLineChars="2350"/>
              <w:jc w:val="left"/>
              <w:rPr>
                <w:rFonts w:hint="eastAsia"/>
                <w:lang w:val="en-US" w:eastAsia="zh-CN"/>
              </w:rPr>
            </w:pPr>
            <w:r>
              <w:rPr>
                <w:rFonts w:hint="eastAsia"/>
                <w:lang w:val="en-US" w:eastAsia="zh-CN"/>
              </w:rPr>
              <w:t>盂县发展和改革局</w:t>
            </w:r>
          </w:p>
          <w:p w14:paraId="541C180A">
            <w:pPr>
              <w:pStyle w:val="8"/>
              <w:rPr>
                <w:rFonts w:hint="eastAsia"/>
                <w:lang w:val="en-US" w:eastAsia="zh-CN"/>
              </w:rPr>
            </w:pPr>
          </w:p>
          <w:p w14:paraId="4B4DEE0F">
            <w:pPr>
              <w:pStyle w:val="8"/>
              <w:rPr>
                <w:rFonts w:hint="eastAsia"/>
                <w:lang w:val="en-US" w:eastAsia="zh-CN"/>
              </w:rPr>
            </w:pPr>
          </w:p>
        </w:tc>
      </w:tr>
    </w:tbl>
    <w:p w14:paraId="404959C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微软雅黑"/>
    <w:panose1 w:val="02010609030101010101"/>
    <w:charset w:val="86"/>
    <w:family w:val="modern"/>
    <w:pitch w:val="default"/>
    <w:sig w:usb0="00000000" w:usb1="0000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华文仿宋">
    <w:altName w:val="新宋体"/>
    <w:panose1 w:val="02010600040101010101"/>
    <w:charset w:val="86"/>
    <w:family w:val="auto"/>
    <w:pitch w:val="default"/>
    <w:sig w:usb0="00000000" w:usb1="00000000" w:usb2="00000000" w:usb3="00000000" w:csb0="0004009F" w:csb1="DFD70000"/>
  </w:font>
  <w:font w:name="方正小标宋简体">
    <w:altName w:val="宋体"/>
    <w:panose1 w:val="02000000000000000000"/>
    <w:charset w:val="86"/>
    <w:family w:val="script"/>
    <w:pitch w:val="default"/>
    <w:sig w:usb0="00000000" w:usb1="00000000" w:usb2="00000012"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D42E1"/>
    <w:multiLevelType w:val="singleLevel"/>
    <w:tmpl w:val="A3ED42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446CD5"/>
    <w:rsid w:val="0BEB72D6"/>
    <w:rsid w:val="0BFA092A"/>
    <w:rsid w:val="129C60B5"/>
    <w:rsid w:val="18367644"/>
    <w:rsid w:val="2B242DDB"/>
    <w:rsid w:val="34E51D8F"/>
    <w:rsid w:val="388A4C78"/>
    <w:rsid w:val="394A0842"/>
    <w:rsid w:val="3F1B7587"/>
    <w:rsid w:val="466C0F99"/>
    <w:rsid w:val="47C161B7"/>
    <w:rsid w:val="52633A19"/>
    <w:rsid w:val="78693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jc w:val="left"/>
    </w:pPr>
  </w:style>
  <w:style w:type="paragraph" w:styleId="4">
    <w:name w:val="Normal Indent"/>
    <w:basedOn w:val="1"/>
    <w:qFormat/>
    <w:uiPriority w:val="0"/>
    <w:pPr>
      <w:ind w:firstLine="420"/>
    </w:pPr>
    <w:rPr>
      <w:szCs w:val="20"/>
    </w:rPr>
  </w:style>
  <w:style w:type="paragraph" w:styleId="5">
    <w:name w:val="Body Text"/>
    <w:basedOn w:val="1"/>
    <w:next w:val="6"/>
    <w:qFormat/>
    <w:uiPriority w:val="0"/>
  </w:style>
  <w:style w:type="paragraph" w:styleId="6">
    <w:name w:val="Body Text 2"/>
    <w:basedOn w:val="1"/>
    <w:qFormat/>
    <w:uiPriority w:val="0"/>
    <w:pPr>
      <w:spacing w:after="120" w:line="480" w:lineRule="auto"/>
    </w:pPr>
  </w:style>
  <w:style w:type="paragraph" w:styleId="7">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2"/>
      <w:lang w:val="en-US" w:eastAsia="zh-CN"/>
    </w:rPr>
  </w:style>
  <w:style w:type="paragraph" w:styleId="8">
    <w:name w:val="Body Text First Indent"/>
    <w:basedOn w:val="5"/>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1041</Words>
  <Characters>1108</Characters>
  <Lines>0</Lines>
  <Paragraphs>0</Paragraphs>
  <TotalTime>32</TotalTime>
  <ScaleCrop>false</ScaleCrop>
  <LinksUpToDate>false</LinksUpToDate>
  <CharactersWithSpaces>2377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2026-08-18T03:23:00Z</dcterms:created>
  <dc:creator>hp</dc:creator>
  <cp:lastModifiedBy>淡定</cp:lastModifiedBy>
  <cp:lastPrinted>2026-09-17T09:54:00Z</cp:lastPrinted>
  <dcterms:modified xsi:type="dcterms:W3CDTF">2026-09-30T01:19:27Z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eyJoZGlkIjoiOTJkYTY3Y2FiMzRjZWY5MzA3M2FlZWM5ZWNjNWVjM2UiLCJ1c2VySWQiOiIzNDI3NTg4OTEifQ==</vt:lpwstr>
  </property>
  <property fmtid="{D5CDD505-2E9C-101B-9397-08002B2CF9AE}" pid="4" name="ICV">
    <vt:lpwstr>9031AF7F186947999922C700909675E6_13</vt:lpwstr>
  </property>
</Properties>
</file>