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3C7A8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宋体" w:hAnsi="宋体"/>
          <w:sz w:val="32"/>
          <w:lang w:val="en-US" w:eastAsia="zh-CN"/>
        </w:rPr>
      </w:pPr>
      <w:r>
        <w:rPr>
          <w:rFonts w:hint="eastAsia" w:ascii="宋体" w:hAnsi="宋体"/>
          <w:sz w:val="32"/>
          <w:lang w:val="en-US" w:eastAsia="zh-CN"/>
        </w:rPr>
        <w:t xml:space="preserve">  </w:t>
      </w:r>
    </w:p>
    <w:p w14:paraId="7F2DA1EE">
      <w:pPr>
        <w:ind w:firstLine="2720" w:firstLineChars="850"/>
        <w:rPr>
          <w:rFonts w:hint="eastAsia" w:ascii="宋体" w:hAnsi="宋体"/>
          <w:sz w:val="32"/>
        </w:rPr>
      </w:pPr>
    </w:p>
    <w:p w14:paraId="1FE15D2D">
      <w:pPr>
        <w:ind w:firstLine="2720" w:firstLineChars="850"/>
        <w:rPr>
          <w:rFonts w:hint="eastAsia" w:ascii="宋体" w:hAnsi="宋体"/>
          <w:sz w:val="32"/>
        </w:rPr>
      </w:pPr>
    </w:p>
    <w:p w14:paraId="77CEEEDF">
      <w:pPr>
        <w:ind w:firstLine="2720" w:firstLineChars="850"/>
        <w:rPr>
          <w:rFonts w:hint="eastAsia" w:ascii="宋体" w:hAnsi="宋体"/>
          <w:sz w:val="32"/>
        </w:rPr>
      </w:pPr>
      <w:bookmarkStart w:id="0" w:name="_GoBack"/>
      <w:bookmarkEnd w:id="0"/>
    </w:p>
    <w:p w14:paraId="09B7063B">
      <w:pPr>
        <w:ind w:firstLine="2720" w:firstLineChars="850"/>
        <w:rPr>
          <w:rFonts w:hint="eastAsia" w:ascii="宋体" w:hAnsi="宋体"/>
          <w:sz w:val="32"/>
        </w:rPr>
      </w:pPr>
    </w:p>
    <w:p w14:paraId="7F5E9890">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59BAEF">
      <w:pPr>
        <w:pStyle w:val="12"/>
        <w:rPr>
          <w:rFonts w:hint="eastAsia"/>
          <w:sz w:val="10"/>
          <w:szCs w:val="10"/>
        </w:rPr>
      </w:pPr>
    </w:p>
    <w:p w14:paraId="463E86E5">
      <w:pPr>
        <w:pStyle w:val="12"/>
        <w:rPr>
          <w:rFonts w:hint="eastAsia"/>
          <w:sz w:val="10"/>
          <w:szCs w:val="10"/>
        </w:rPr>
      </w:pPr>
    </w:p>
    <w:p w14:paraId="1B698A09">
      <w:pPr>
        <w:pStyle w:val="12"/>
        <w:rPr>
          <w:rFonts w:hint="eastAsia"/>
          <w:sz w:val="10"/>
          <w:szCs w:val="10"/>
        </w:rPr>
      </w:pPr>
    </w:p>
    <w:p w14:paraId="038CFBE8">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color w:val="auto"/>
          <w:sz w:val="32"/>
          <w:szCs w:val="32"/>
          <w:lang w:eastAsia="zh-CN"/>
        </w:rPr>
      </w:pPr>
      <w:r>
        <w:rPr>
          <w:rFonts w:hint="eastAsia" w:ascii="华文仿宋" w:hAnsi="华文仿宋" w:eastAsia="华文仿宋" w:cs="华文仿宋"/>
          <w:color w:val="auto"/>
          <w:sz w:val="32"/>
          <w:szCs w:val="32"/>
        </w:rPr>
        <w:t>盂发改发</w:t>
      </w:r>
      <w:r>
        <w:rPr>
          <w:rFonts w:hint="eastAsia" w:ascii="华文仿宋" w:hAnsi="华文仿宋" w:eastAsia="华文仿宋" w:cs="华文仿宋"/>
          <w:color w:val="auto"/>
          <w:sz w:val="32"/>
        </w:rPr>
        <w:t>〔20</w:t>
      </w:r>
      <w:r>
        <w:rPr>
          <w:rFonts w:hint="eastAsia" w:ascii="华文仿宋" w:hAnsi="华文仿宋" w:eastAsia="华文仿宋" w:cs="华文仿宋"/>
          <w:color w:val="auto"/>
          <w:sz w:val="32"/>
          <w:lang w:val="en-US" w:eastAsia="zh-CN"/>
        </w:rPr>
        <w:t>26</w:t>
      </w:r>
      <w:r>
        <w:rPr>
          <w:rFonts w:hint="eastAsia" w:ascii="华文仿宋" w:hAnsi="华文仿宋" w:eastAsia="华文仿宋" w:cs="华文仿宋"/>
          <w:color w:val="auto"/>
          <w:sz w:val="32"/>
        </w:rPr>
        <w:t>〕</w:t>
      </w:r>
      <w:r>
        <w:rPr>
          <w:rFonts w:hint="eastAsia" w:ascii="华文仿宋" w:hAnsi="华文仿宋" w:eastAsia="华文仿宋" w:cs="华文仿宋"/>
          <w:color w:val="auto"/>
          <w:sz w:val="32"/>
          <w:lang w:val="en-US" w:eastAsia="zh-CN"/>
        </w:rPr>
        <w:t>114</w:t>
      </w:r>
      <w:r>
        <w:rPr>
          <w:rFonts w:hint="eastAsia" w:ascii="华文仿宋" w:hAnsi="华文仿宋" w:eastAsia="华文仿宋" w:cs="华文仿宋"/>
          <w:color w:val="auto"/>
          <w:sz w:val="32"/>
          <w:szCs w:val="32"/>
        </w:rPr>
        <w:t>号</w:t>
      </w:r>
    </w:p>
    <w:p w14:paraId="3A865F3C">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15D4879B">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9601C97">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6"/>
          <w:sz w:val="44"/>
          <w:szCs w:val="44"/>
          <w:lang w:eastAsia="zh-CN"/>
        </w:rPr>
      </w:pPr>
      <w:r>
        <w:rPr>
          <w:rFonts w:hint="eastAsia" w:ascii="方正小标宋_GBK" w:hAnsi="方正小标宋_GBK" w:eastAsia="方正小标宋_GBK" w:cs="方正小标宋_GBK"/>
          <w:b w:val="0"/>
          <w:bCs/>
          <w:spacing w:val="-6"/>
          <w:sz w:val="44"/>
          <w:szCs w:val="44"/>
          <w:lang w:eastAsia="zh-CN"/>
        </w:rPr>
        <w:t>盂县发展和改革局</w:t>
      </w:r>
    </w:p>
    <w:p w14:paraId="6D5DB6A1">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6"/>
          <w:sz w:val="44"/>
          <w:szCs w:val="44"/>
        </w:rPr>
      </w:pPr>
      <w:r>
        <w:rPr>
          <w:rFonts w:hint="eastAsia" w:ascii="方正小标宋_GBK" w:hAnsi="方正小标宋_GBK" w:eastAsia="方正小标宋_GBK" w:cs="方正小标宋_GBK"/>
          <w:b w:val="0"/>
          <w:bCs/>
          <w:spacing w:val="-6"/>
          <w:sz w:val="44"/>
          <w:szCs w:val="44"/>
        </w:rPr>
        <w:t>关于对《</w:t>
      </w:r>
      <w:r>
        <w:rPr>
          <w:rFonts w:hint="eastAsia" w:ascii="方正小标宋_GBK" w:hAnsi="方正小标宋_GBK" w:eastAsia="方正小标宋_GBK" w:cs="方正小标宋_GBK"/>
          <w:b w:val="0"/>
          <w:bCs/>
          <w:spacing w:val="-6"/>
          <w:sz w:val="44"/>
          <w:szCs w:val="44"/>
          <w:lang w:val="en-US" w:eastAsia="zh-CN"/>
        </w:rPr>
        <w:t>盂县实验小学运动场改造项目</w:t>
      </w:r>
      <w:r>
        <w:rPr>
          <w:rFonts w:hint="eastAsia" w:ascii="方正小标宋_GBK" w:hAnsi="方正小标宋_GBK" w:eastAsia="方正小标宋_GBK" w:cs="方正小标宋_GBK"/>
          <w:b w:val="0"/>
          <w:bCs/>
          <w:spacing w:val="-6"/>
          <w:sz w:val="44"/>
          <w:szCs w:val="44"/>
        </w:rPr>
        <w:t>可行性研究报告（代项目建议书）</w:t>
      </w:r>
      <w:r>
        <w:rPr>
          <w:rFonts w:hint="eastAsia" w:ascii="方正小标宋_GBK" w:hAnsi="方正小标宋_GBK" w:eastAsia="方正小标宋_GBK" w:cs="方正小标宋_GBK"/>
          <w:b w:val="0"/>
          <w:bCs/>
          <w:spacing w:val="-6"/>
          <w:sz w:val="44"/>
          <w:szCs w:val="44"/>
          <w:lang w:eastAsia="zh-CN"/>
        </w:rPr>
        <w:t>》</w:t>
      </w:r>
      <w:r>
        <w:rPr>
          <w:rFonts w:hint="eastAsia" w:ascii="方正小标宋_GBK" w:hAnsi="方正小标宋_GBK" w:eastAsia="方正小标宋_GBK" w:cs="方正小标宋_GBK"/>
          <w:b w:val="0"/>
          <w:bCs/>
          <w:spacing w:val="-6"/>
          <w:sz w:val="44"/>
          <w:szCs w:val="44"/>
        </w:rPr>
        <w:t>的批复</w:t>
      </w:r>
    </w:p>
    <w:p w14:paraId="353755C0">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5EC628C3">
      <w:pPr>
        <w:keepNext w:val="0"/>
        <w:keepLines w:val="0"/>
        <w:widowControl/>
        <w:suppressLineNumbers w:val="0"/>
        <w:jc w:val="right"/>
        <w:rPr>
          <w:rFonts w:hint="default" w:ascii="华文仿宋" w:hAnsi="华文仿宋" w:eastAsia="华文仿宋" w:cs="华文仿宋"/>
          <w:sz w:val="24"/>
          <w:szCs w:val="24"/>
          <w:lang w:val="en" w:eastAsia="zh-CN"/>
        </w:rPr>
      </w:pPr>
      <w:r>
        <w:rPr>
          <w:rFonts w:hint="eastAsia" w:ascii="华文仿宋" w:hAnsi="华文仿宋" w:eastAsia="华文仿宋" w:cs="华文仿宋"/>
          <w:sz w:val="24"/>
          <w:szCs w:val="24"/>
          <w:lang w:val="en-US" w:eastAsia="zh-CN"/>
        </w:rPr>
        <w:t>项目编码：2608-140322-89-01-184592</w:t>
      </w:r>
    </w:p>
    <w:p w14:paraId="395C042C">
      <w:pPr>
        <w:pStyle w:val="4"/>
        <w:ind w:left="0" w:leftChars="0" w:firstLine="0" w:firstLineChars="0"/>
        <w:rPr>
          <w:rFonts w:hint="eastAsia"/>
        </w:rPr>
      </w:pPr>
    </w:p>
    <w:p w14:paraId="15894BBC">
      <w:pPr>
        <w:keepNext w:val="0"/>
        <w:keepLines w:val="0"/>
        <w:widowControl/>
        <w:suppressLineNumbers w:val="0"/>
        <w:jc w:val="left"/>
        <w:rPr>
          <w:rFonts w:hint="eastAsia" w:ascii="华文仿宋" w:hAnsi="华文仿宋" w:eastAsia="华文仿宋" w:cs="华文仿宋"/>
          <w:sz w:val="32"/>
          <w:szCs w:val="32"/>
          <w:lang w:eastAsia="zh-CN"/>
        </w:rPr>
      </w:pPr>
      <w:r>
        <w:rPr>
          <w:rFonts w:hint="eastAsia" w:ascii="仿宋_GB2312" w:hAnsi="仿宋_GB2312" w:eastAsia="仿宋_GB2312" w:cs="仿宋_GB2312"/>
          <w:b w:val="0"/>
          <w:bCs w:val="0"/>
          <w:spacing w:val="0"/>
          <w:w w:val="100"/>
          <w:kern w:val="2"/>
          <w:sz w:val="32"/>
          <w:szCs w:val="32"/>
          <w:lang w:val="en-US" w:eastAsia="zh-CN"/>
        </w:rPr>
        <w:t>盂县实验小学</w:t>
      </w:r>
      <w:r>
        <w:rPr>
          <w:rFonts w:hint="eastAsia" w:ascii="华文仿宋" w:hAnsi="华文仿宋" w:eastAsia="华文仿宋" w:cs="华文仿宋"/>
          <w:sz w:val="32"/>
          <w:szCs w:val="32"/>
          <w:lang w:eastAsia="zh-CN"/>
        </w:rPr>
        <w:t>：</w:t>
      </w:r>
    </w:p>
    <w:p w14:paraId="19154F57">
      <w:pPr>
        <w:keepNext w:val="0"/>
        <w:keepLines w:val="0"/>
        <w:widowControl/>
        <w:suppressLineNumbers w:val="0"/>
        <w:ind w:firstLine="640" w:firstLineChars="200"/>
        <w:jc w:val="left"/>
        <w:rPr>
          <w:rFonts w:hint="eastAsia" w:ascii="华文仿宋" w:hAnsi="华文仿宋" w:eastAsia="华文仿宋" w:cs="华文仿宋"/>
          <w:color w:val="auto"/>
          <w:sz w:val="32"/>
          <w:szCs w:val="32"/>
          <w:lang w:val="en-US" w:eastAsia="zh-CN"/>
        </w:rPr>
      </w:pPr>
      <w:r>
        <w:rPr>
          <w:rFonts w:hint="eastAsia" w:ascii="华文仿宋" w:hAnsi="华文仿宋" w:eastAsia="华文仿宋" w:cs="华文仿宋"/>
          <w:sz w:val="32"/>
          <w:szCs w:val="32"/>
          <w:lang w:val="en-US" w:eastAsia="zh-CN"/>
        </w:rPr>
        <w:t>你单位呈报的《盂县实验小学运动场改造项目可行性研究报告》及相关材料已收悉</w:t>
      </w:r>
      <w:r>
        <w:rPr>
          <w:rFonts w:hint="eastAsia" w:ascii="华文仿宋" w:hAnsi="华文仿宋" w:eastAsia="华文仿宋" w:cs="华文仿宋"/>
          <w:sz w:val="32"/>
          <w:szCs w:val="32"/>
          <w:highlight w:val="none"/>
          <w:lang w:val="en-US" w:eastAsia="zh-CN"/>
        </w:rPr>
        <w:t>，为改善实验小学学生体育运动环境，促进学生身心健康全面发展、消除校园安全隐患改善办学条件，优化校园文化氛围，提升学校教育教学质量。根据盂县人民政府2026年第5批预审会和第110次常务会议通过，</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原则同意该项目建设。现将该项目可行性研究报告批复如下：       </w:t>
      </w:r>
    </w:p>
    <w:p w14:paraId="2C9D7E7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w:t>
      </w:r>
      <w:r>
        <w:rPr>
          <w:rFonts w:hint="eastAsia" w:ascii="华文仿宋" w:hAnsi="华文仿宋" w:eastAsia="华文仿宋" w:cs="华文仿宋"/>
          <w:sz w:val="32"/>
          <w:szCs w:val="32"/>
          <w:lang w:val="en-US" w:eastAsia="zh-CN"/>
        </w:rPr>
        <w:t>盂县实验小学运动场改造项目。</w:t>
      </w:r>
    </w:p>
    <w:p w14:paraId="250C2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二、建设地址：盂县实验小学院内。</w:t>
      </w:r>
    </w:p>
    <w:p w14:paraId="19D4200A">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项目建设总投资</w:t>
      </w:r>
      <w:r>
        <w:rPr>
          <w:rFonts w:hint="eastAsia" w:ascii="华文仿宋" w:hAnsi="华文仿宋" w:eastAsia="华文仿宋" w:cs="华文仿宋"/>
          <w:sz w:val="32"/>
          <w:szCs w:val="32"/>
          <w:lang w:val="en-US" w:eastAsia="zh-CN"/>
        </w:rPr>
        <w:t>126.56</w:t>
      </w:r>
      <w:r>
        <w:rPr>
          <w:rFonts w:hint="eastAsia" w:ascii="华文仿宋" w:hAnsi="华文仿宋" w:eastAsia="华文仿宋" w:cs="华文仿宋"/>
          <w:sz w:val="32"/>
          <w:szCs w:val="32"/>
        </w:rPr>
        <w:t xml:space="preserve"> 万元。其中：工程费用 </w:t>
      </w:r>
      <w:r>
        <w:rPr>
          <w:rFonts w:hint="eastAsia" w:ascii="华文仿宋" w:hAnsi="华文仿宋" w:eastAsia="华文仿宋" w:cs="华文仿宋"/>
          <w:sz w:val="32"/>
          <w:szCs w:val="32"/>
          <w:lang w:val="en-US" w:eastAsia="zh-CN"/>
        </w:rPr>
        <w:t>100.57</w:t>
      </w:r>
      <w:r>
        <w:rPr>
          <w:rFonts w:hint="eastAsia" w:ascii="华文仿宋" w:hAnsi="华文仿宋" w:eastAsia="华文仿宋" w:cs="华文仿宋"/>
          <w:sz w:val="32"/>
          <w:szCs w:val="32"/>
        </w:rPr>
        <w:t>万元，工程建设其他费用</w:t>
      </w:r>
      <w:r>
        <w:rPr>
          <w:rFonts w:hint="eastAsia" w:ascii="华文仿宋" w:hAnsi="华文仿宋" w:eastAsia="华文仿宋" w:cs="华文仿宋"/>
          <w:sz w:val="32"/>
          <w:szCs w:val="32"/>
          <w:lang w:val="en-US" w:eastAsia="zh-CN"/>
        </w:rPr>
        <w:t>16.62</w:t>
      </w:r>
      <w:r>
        <w:rPr>
          <w:rFonts w:hint="eastAsia" w:ascii="华文仿宋" w:hAnsi="华文仿宋" w:eastAsia="华文仿宋" w:cs="华文仿宋"/>
          <w:sz w:val="32"/>
          <w:szCs w:val="32"/>
        </w:rPr>
        <w:t xml:space="preserve"> 万元，预备费用</w:t>
      </w:r>
      <w:r>
        <w:rPr>
          <w:rFonts w:hint="eastAsia" w:ascii="华文仿宋" w:hAnsi="华文仿宋" w:eastAsia="华文仿宋" w:cs="华文仿宋"/>
          <w:sz w:val="32"/>
          <w:szCs w:val="32"/>
          <w:lang w:val="en-US" w:eastAsia="zh-CN"/>
        </w:rPr>
        <w:t>9.37</w:t>
      </w:r>
      <w:r>
        <w:rPr>
          <w:rFonts w:hint="eastAsia" w:ascii="华文仿宋" w:hAnsi="华文仿宋" w:eastAsia="华文仿宋" w:cs="华文仿宋"/>
          <w:sz w:val="32"/>
          <w:szCs w:val="32"/>
        </w:rPr>
        <w:t>万元。资金来源：2026 年义务教育薄弱环节改善与能力提升补助资金。</w:t>
      </w:r>
    </w:p>
    <w:p w14:paraId="5F5D441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w:t>
      </w:r>
      <w:r>
        <w:rPr>
          <w:rFonts w:hint="eastAsia" w:ascii="华文仿宋" w:hAnsi="华文仿宋" w:eastAsia="华文仿宋" w:cs="华文仿宋"/>
          <w:sz w:val="32"/>
          <w:szCs w:val="32"/>
          <w:lang w:val="en-US" w:eastAsia="zh-CN"/>
        </w:rPr>
        <w:t>主要建设内容包括拆除院面现状铺砖 86.61㎡、绿地 24.15 ㎡、篮球架 8 处、旗台 7.2 ㎡；移栽现状树木共计 16 棵。运动场地沥青硬化 4390.63 ㎡，设置硅 PU篮球场 424.31 ㎡，配套旗台 21.8 ㎡、排水沟190m、移动式篮球架 3 个、成品足球门 1 个及照明灯具等。</w:t>
      </w:r>
    </w:p>
    <w:p w14:paraId="407A31E2">
      <w:pPr>
        <w:pStyle w:val="12"/>
        <w:keepNext w:val="0"/>
        <w:keepLines w:val="0"/>
        <w:pageBreakBefore w:val="0"/>
        <w:widowControl w:val="0"/>
        <w:numPr>
          <w:ilvl w:val="0"/>
          <w:numId w:val="0"/>
        </w:numPr>
        <w:kinsoku/>
        <w:wordWrap/>
        <w:overflowPunct/>
        <w:topLinePunct w:val="0"/>
        <w:bidi w:val="0"/>
        <w:adjustRightInd/>
        <w:snapToGrid/>
        <w:spacing w:line="56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五、建设期限：6个月</w:t>
      </w:r>
    </w:p>
    <w:p w14:paraId="761561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六、如需对本工程可行性研究报告批复文件所规定的有关内容进行调整，请及时以书面形式向我局报告，并按有关规定办理。</w:t>
      </w:r>
    </w:p>
    <w:p w14:paraId="2A20710C">
      <w:pPr>
        <w:pStyle w:val="12"/>
        <w:keepNext w:val="0"/>
        <w:keepLines w:val="0"/>
        <w:pageBreakBefore w:val="0"/>
        <w:widowControl w:val="0"/>
        <w:kinsoku/>
        <w:wordWrap/>
        <w:overflowPunct/>
        <w:topLinePunct w:val="0"/>
        <w:bidi w:val="0"/>
        <w:adjustRightInd/>
        <w:snapToGrid/>
        <w:spacing w:line="560" w:lineRule="exact"/>
        <w:ind w:firstLine="640"/>
        <w:textAlignment w:val="auto"/>
        <w:rPr>
          <w:rFonts w:hint="default" w:ascii="华文仿宋" w:hAnsi="华文仿宋" w:eastAsia="华文仿宋" w:cs="华文仿宋"/>
          <w:sz w:val="32"/>
          <w:szCs w:val="32"/>
          <w:highlight w:val="none"/>
          <w:lang w:val="en-US" w:eastAsia="zh-CN"/>
        </w:rPr>
      </w:pPr>
      <w:r>
        <w:rPr>
          <w:rFonts w:hint="eastAsia" w:ascii="华文仿宋" w:hAnsi="华文仿宋" w:eastAsia="华文仿宋" w:cs="华文仿宋"/>
          <w:color w:val="000000"/>
          <w:sz w:val="32"/>
          <w:szCs w:val="32"/>
          <w:highlight w:val="none"/>
          <w:lang w:val="en-US" w:eastAsia="zh-CN"/>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p>
    <w:p w14:paraId="5B257C83">
      <w:pPr>
        <w:pStyle w:val="6"/>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lang w:val="en-US" w:eastAsia="zh-CN"/>
        </w:rPr>
      </w:pPr>
      <w:r>
        <w:rPr>
          <w:rFonts w:hint="eastAsia" w:ascii="仿宋" w:hAnsi="仿宋" w:eastAsia="仿宋" w:cs="仿宋"/>
          <w:color w:val="000000"/>
          <w:sz w:val="32"/>
          <w:szCs w:val="32"/>
          <w:lang w:val="en-US" w:eastAsia="zh-CN"/>
        </w:rPr>
        <w:t>八</w:t>
      </w:r>
      <w:r>
        <w:rPr>
          <w:rFonts w:hint="eastAsia" w:ascii="华文仿宋" w:hAnsi="华文仿宋" w:eastAsia="华文仿宋" w:cs="华文仿宋"/>
          <w:color w:val="000000"/>
          <w:sz w:val="32"/>
          <w:szCs w:val="32"/>
          <w:lang w:val="en-US" w:eastAsia="zh-CN"/>
        </w:rPr>
        <w:t>、</w:t>
      </w:r>
      <w:r>
        <w:rPr>
          <w:rFonts w:hint="eastAsia" w:ascii="华文仿宋" w:hAnsi="华文仿宋" w:eastAsia="华文仿宋" w:cs="华文仿宋"/>
          <w:color w:val="000000"/>
          <w:kern w:val="2"/>
          <w:sz w:val="32"/>
          <w:szCs w:val="32"/>
          <w:lang w:val="en-US" w:eastAsia="zh-CN"/>
        </w:rPr>
        <w:t>你单位应当按照相关节能标准、规范建设，采用节能技术、工艺和设备，加强节能管理，不断提高项目能效水平。项目实施建设和运营期，将严格遵守国家相关节能法律法规政策，自觉配合相关检查、监察。</w:t>
      </w:r>
    </w:p>
    <w:p w14:paraId="18570A95">
      <w:pPr>
        <w:pStyle w:val="6"/>
        <w:keepNext w:val="0"/>
        <w:keepLines w:val="0"/>
        <w:pageBreakBefore w:val="0"/>
        <w:widowControl w:val="0"/>
        <w:kinsoku/>
        <w:wordWrap/>
        <w:overflowPunct/>
        <w:topLinePunct w:val="0"/>
        <w:bidi w:val="0"/>
        <w:adjustRightInd/>
        <w:snapToGrid/>
        <w:spacing w:line="560" w:lineRule="exact"/>
        <w:ind w:firstLine="64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b w:val="0"/>
          <w:bCs w:val="0"/>
          <w:sz w:val="32"/>
          <w:szCs w:val="32"/>
          <w:lang w:val="en-US" w:eastAsia="zh-CN"/>
        </w:rPr>
        <w:t>九、项目开工前，项目单位要依法依规取得相关报批手续，主要包括建设用地批复、环评、文物选址、文评、水保、取水许可、泉域水资源影响评价、社会稳定性评价、招标投标、工程规划、施工许可等与项目性质有关的事项。</w:t>
      </w:r>
    </w:p>
    <w:p w14:paraId="3D0AB6C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color w:val="000000"/>
          <w:sz w:val="32"/>
          <w:szCs w:val="32"/>
          <w:lang w:eastAsia="zh-CN"/>
        </w:rPr>
        <w:t>十、按照《政府投资条例》（国务院令第712号）规定，你单位应抓紧编制项目初步设计，并报我局批复。同时，应通过山西省投资项目在线审批监管平台如实报送项目开工建设、建设进度、竣工的基本信息等。</w:t>
      </w:r>
    </w:p>
    <w:p w14:paraId="1366129F">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3D2CFACE">
      <w:pPr>
        <w:pStyle w:val="12"/>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华文仿宋" w:hAnsi="华文仿宋" w:eastAsia="华文仿宋" w:cs="华文仿宋"/>
          <w:sz w:val="32"/>
          <w:szCs w:val="32"/>
          <w:lang w:val="en-US" w:eastAsia="zh-CN"/>
        </w:rPr>
      </w:pPr>
    </w:p>
    <w:p w14:paraId="7DE6D57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textAlignment w:val="auto"/>
        <w:outlineLvl w:val="9"/>
        <w:rPr>
          <w:rFonts w:hint="eastAsia" w:ascii="华文仿宋" w:hAnsi="华文仿宋" w:eastAsia="华文仿宋" w:cs="华文仿宋"/>
          <w:color w:val="000000"/>
          <w:sz w:val="32"/>
          <w:szCs w:val="32"/>
          <w:lang w:val="en-US" w:eastAsia="zh-CN"/>
        </w:rPr>
      </w:pPr>
      <w:r>
        <w:rPr>
          <w:rFonts w:hint="eastAsia" w:ascii="华文仿宋" w:hAnsi="华文仿宋" w:eastAsia="华文仿宋" w:cs="华文仿宋"/>
          <w:color w:val="000000"/>
          <w:sz w:val="32"/>
          <w:szCs w:val="32"/>
          <w:lang w:val="en-US" w:eastAsia="zh-CN"/>
        </w:rPr>
        <w:t>附件：盂县建设项目招标方案和不招标申请核准表</w:t>
      </w:r>
    </w:p>
    <w:p w14:paraId="74501A3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w:t>
      </w:r>
    </w:p>
    <w:p w14:paraId="3D8A488C">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6739C364">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3F560E08">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p>
    <w:p w14:paraId="2A4AABFF">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4160" w:firstLineChars="13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5CEC190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华文仿宋" w:hAnsi="华文仿宋" w:eastAsia="华文仿宋" w:cs="华文仿宋"/>
          <w:sz w:val="13"/>
          <w:szCs w:val="13"/>
          <w:lang w:val="en-US" w:eastAsia="zh-CN"/>
        </w:rPr>
      </w:pPr>
      <w:r>
        <w:rPr>
          <w:rFonts w:hint="eastAsia" w:ascii="华文仿宋" w:hAnsi="华文仿宋" w:eastAsia="华文仿宋" w:cs="华文仿宋"/>
          <w:sz w:val="32"/>
          <w:szCs w:val="32"/>
          <w:lang w:val="en-US" w:eastAsia="zh-CN"/>
        </w:rPr>
        <w:t xml:space="preserve">                             2026年8月17日</w:t>
      </w:r>
    </w:p>
    <w:p w14:paraId="68C5CA6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E9792D6">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0AC29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0EE043D">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9939707">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0CFB53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9F1EE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786598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BC2B4B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6F857EF">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B2F873C">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59BE47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AF81ECE">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F65284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D73713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D93B734">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069293A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684DDE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2CC3D3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7DE894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AF75AD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A67D37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6746AE31">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5F0A259">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A28ED8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41D2FCEA">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80B31C3">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366DCC85">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17A93A0">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2A26AE0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1572BFC6">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F154A78">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7540080B">
      <w:pPr>
        <w:pStyle w:val="7"/>
        <w:keepNext w:val="0"/>
        <w:keepLines w:val="0"/>
        <w:pageBreakBefore w:val="0"/>
        <w:widowControl w:val="0"/>
        <w:kinsoku/>
        <w:wordWrap/>
        <w:overflowPunct/>
        <w:topLinePunct w:val="0"/>
        <w:bidi w:val="0"/>
        <w:adjustRightInd/>
        <w:spacing w:line="520" w:lineRule="exact"/>
        <w:textAlignment w:val="auto"/>
        <w:rPr>
          <w:rFonts w:hint="eastAsia" w:ascii="华文仿宋" w:hAnsi="华文仿宋" w:eastAsia="华文仿宋" w:cs="华文仿宋"/>
          <w:sz w:val="13"/>
          <w:szCs w:val="13"/>
          <w:lang w:val="en-US" w:eastAsia="zh-CN"/>
        </w:rPr>
      </w:pPr>
    </w:p>
    <w:p w14:paraId="5A327F5A">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lang w:eastAsia="zh-CN"/>
        </w:rPr>
      </w:pPr>
      <w:r>
        <w:rPr>
          <w:rFonts w:hint="eastAsia" w:ascii="华文仿宋" w:hAnsi="华文仿宋" w:eastAsia="华文仿宋" w:cs="华文仿宋"/>
          <w:b w:val="0"/>
          <w:bCs/>
          <w:sz w:val="32"/>
          <w:szCs w:val="32"/>
          <w:lang w:val="en-US" w:eastAsia="zh-CN"/>
        </w:rPr>
        <w:t>盂县发展和改革局              2026年8月17日印发</w:t>
      </w:r>
    </w:p>
    <w:p w14:paraId="10BB992F">
      <w:pPr>
        <w:ind w:firstLine="720" w:firstLineChars="200"/>
        <w:jc w:val="both"/>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6D5819AC">
      <w:pPr>
        <w:jc w:val="left"/>
        <w:rPr>
          <w:rFonts w:hint="default" w:ascii="宋体" w:hAnsi="宋体" w:eastAsia="宋体" w:cs="宋体"/>
          <w:lang w:val="en-US" w:eastAsia="zh-CN"/>
        </w:rPr>
      </w:pPr>
      <w:r>
        <w:rPr>
          <w:rFonts w:hint="eastAsia"/>
        </w:rPr>
        <w:t xml:space="preserve">                                                           </w:t>
      </w:r>
      <w:r>
        <w:rPr>
          <w:rFonts w:hint="eastAsia" w:ascii="宋体" w:hAnsi="宋体" w:eastAsia="宋体" w:cs="宋体"/>
          <w:lang w:val="en-US" w:eastAsia="zh-CN"/>
        </w:rPr>
        <w:t xml:space="preserve"> </w:t>
      </w:r>
      <w:r>
        <w:rPr>
          <w:rFonts w:hint="eastAsia" w:ascii="宋体" w:hAnsi="宋体" w:cs="宋体"/>
          <w:lang w:val="en-US" w:eastAsia="zh-CN"/>
        </w:rPr>
        <w:t xml:space="preserve">   </w:t>
      </w:r>
      <w:r>
        <w:rPr>
          <w:rFonts w:hint="eastAsia" w:ascii="宋体" w:hAnsi="宋体" w:eastAsia="宋体" w:cs="宋体"/>
          <w:lang w:val="en-US" w:eastAsia="zh-CN"/>
        </w:rPr>
        <w:t xml:space="preserve"> 核准号：</w:t>
      </w:r>
      <w:r>
        <w:rPr>
          <w:rFonts w:hint="eastAsia" w:ascii="宋体" w:hAnsi="宋体" w:eastAsia="宋体" w:cs="宋体"/>
          <w:highlight w:val="none"/>
          <w:lang w:val="en-US" w:eastAsia="zh-CN"/>
        </w:rPr>
        <w:t>202</w:t>
      </w:r>
      <w:r>
        <w:rPr>
          <w:rFonts w:hint="eastAsia" w:ascii="宋体" w:hAnsi="宋体" w:cs="宋体"/>
          <w:highlight w:val="none"/>
          <w:lang w:val="en-US" w:eastAsia="zh-CN"/>
        </w:rPr>
        <w:t>6</w:t>
      </w:r>
      <w:r>
        <w:rPr>
          <w:rFonts w:hint="eastAsia" w:ascii="宋体" w:hAnsi="宋体" w:eastAsia="宋体" w:cs="宋体"/>
          <w:highlight w:val="none"/>
          <w:lang w:val="en-US" w:eastAsia="zh-CN"/>
        </w:rPr>
        <w:t>-0</w:t>
      </w:r>
      <w:r>
        <w:rPr>
          <w:rFonts w:hint="eastAsia" w:ascii="宋体" w:hAnsi="宋体" w:cs="宋体"/>
          <w:highlight w:val="none"/>
          <w:lang w:val="en-US" w:eastAsia="zh-CN"/>
        </w:rPr>
        <w:t>19</w:t>
      </w:r>
    </w:p>
    <w:tbl>
      <w:tblPr>
        <w:tblStyle w:val="9"/>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4B66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60" w:hRule="atLeast"/>
        </w:trPr>
        <w:tc>
          <w:tcPr>
            <w:tcW w:w="1283" w:type="dxa"/>
            <w:tcBorders>
              <w:top w:val="single" w:color="auto" w:sz="12" w:space="0"/>
              <w:left w:val="single" w:color="auto" w:sz="12" w:space="0"/>
            </w:tcBorders>
            <w:noWrap w:val="0"/>
            <w:vAlign w:val="center"/>
          </w:tcPr>
          <w:p w14:paraId="33CF7A23">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43E89E3C">
            <w:pPr>
              <w:spacing w:line="340" w:lineRule="exact"/>
              <w:jc w:val="center"/>
              <w:rPr>
                <w:rFonts w:hint="default" w:ascii="仿宋_GB2312" w:eastAsia="宋体"/>
                <w:lang w:val="en-US" w:eastAsia="zh-CN"/>
              </w:rPr>
            </w:pPr>
            <w:r>
              <w:rPr>
                <w:rFonts w:hint="default" w:ascii="仿宋_GB2312" w:eastAsia="宋体"/>
                <w:lang w:val="en-US" w:eastAsia="zh-CN"/>
              </w:rPr>
              <w:t>盂县实验小学运动场改造项目</w:t>
            </w:r>
          </w:p>
        </w:tc>
        <w:tc>
          <w:tcPr>
            <w:tcW w:w="1087" w:type="dxa"/>
            <w:tcBorders>
              <w:top w:val="single" w:color="auto" w:sz="12" w:space="0"/>
              <w:right w:val="single" w:color="auto" w:sz="4" w:space="0"/>
            </w:tcBorders>
            <w:noWrap w:val="0"/>
            <w:vAlign w:val="center"/>
          </w:tcPr>
          <w:p w14:paraId="606CF448">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4467489A">
            <w:pPr>
              <w:spacing w:line="340" w:lineRule="exact"/>
              <w:jc w:val="center"/>
              <w:rPr>
                <w:rFonts w:hint="default" w:ascii="仿宋_GB2312"/>
                <w:lang w:val="en-US" w:eastAsia="zh-CN"/>
              </w:rPr>
            </w:pPr>
            <w:r>
              <w:rPr>
                <w:rFonts w:hint="eastAsia" w:ascii="仿宋_GB2312"/>
                <w:lang w:val="en-US" w:eastAsia="zh-CN"/>
              </w:rPr>
              <w:t>盂县实验小学</w:t>
            </w:r>
          </w:p>
        </w:tc>
      </w:tr>
      <w:tr w14:paraId="6FB9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4F41CD8C">
            <w:pPr>
              <w:spacing w:line="340" w:lineRule="exact"/>
              <w:jc w:val="center"/>
              <w:rPr>
                <w:rFonts w:ascii="仿宋_GB2312"/>
              </w:rPr>
            </w:pPr>
          </w:p>
        </w:tc>
        <w:tc>
          <w:tcPr>
            <w:tcW w:w="2377" w:type="dxa"/>
            <w:gridSpan w:val="2"/>
            <w:tcBorders>
              <w:top w:val="single" w:color="auto" w:sz="8" w:space="0"/>
            </w:tcBorders>
            <w:noWrap w:val="0"/>
            <w:vAlign w:val="center"/>
          </w:tcPr>
          <w:p w14:paraId="24B7F7AA">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6488E801">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2AB1ED46">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06A99510">
            <w:pPr>
              <w:spacing w:line="340" w:lineRule="exact"/>
              <w:jc w:val="center"/>
              <w:rPr>
                <w:rFonts w:ascii="仿宋_GB2312"/>
              </w:rPr>
            </w:pPr>
            <w:r>
              <w:rPr>
                <w:rFonts w:hint="eastAsia" w:ascii="仿宋_GB2312"/>
              </w:rPr>
              <w:t>不采用</w:t>
            </w:r>
          </w:p>
          <w:p w14:paraId="02FC381E">
            <w:pPr>
              <w:widowControl/>
              <w:spacing w:line="340" w:lineRule="exact"/>
              <w:jc w:val="center"/>
              <w:rPr>
                <w:rFonts w:ascii="仿宋_GB2312"/>
              </w:rPr>
            </w:pPr>
            <w:r>
              <w:rPr>
                <w:rFonts w:hint="eastAsia" w:ascii="仿宋_GB2312"/>
              </w:rPr>
              <w:t>招标方式</w:t>
            </w:r>
          </w:p>
        </w:tc>
      </w:tr>
      <w:tr w14:paraId="4397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423BEEBD">
            <w:pPr>
              <w:spacing w:line="340" w:lineRule="exact"/>
              <w:jc w:val="center"/>
              <w:rPr>
                <w:rFonts w:ascii="仿宋_GB2312"/>
              </w:rPr>
            </w:pPr>
          </w:p>
        </w:tc>
        <w:tc>
          <w:tcPr>
            <w:tcW w:w="1312" w:type="dxa"/>
            <w:noWrap w:val="0"/>
            <w:vAlign w:val="center"/>
          </w:tcPr>
          <w:p w14:paraId="6177D201">
            <w:pPr>
              <w:spacing w:line="340" w:lineRule="exact"/>
              <w:jc w:val="center"/>
              <w:rPr>
                <w:rFonts w:ascii="仿宋_GB2312"/>
              </w:rPr>
            </w:pPr>
            <w:r>
              <w:rPr>
                <w:rFonts w:hint="eastAsia" w:ascii="仿宋_GB2312"/>
              </w:rPr>
              <w:t>全部招标</w:t>
            </w:r>
          </w:p>
        </w:tc>
        <w:tc>
          <w:tcPr>
            <w:tcW w:w="1065" w:type="dxa"/>
            <w:noWrap w:val="0"/>
            <w:vAlign w:val="center"/>
          </w:tcPr>
          <w:p w14:paraId="0FA1F742">
            <w:pPr>
              <w:spacing w:line="340" w:lineRule="exact"/>
              <w:jc w:val="center"/>
              <w:rPr>
                <w:rFonts w:ascii="仿宋_GB2312"/>
              </w:rPr>
            </w:pPr>
            <w:r>
              <w:rPr>
                <w:rFonts w:hint="eastAsia" w:ascii="仿宋_GB2312"/>
              </w:rPr>
              <w:t>部分招标</w:t>
            </w:r>
          </w:p>
        </w:tc>
        <w:tc>
          <w:tcPr>
            <w:tcW w:w="1223" w:type="dxa"/>
            <w:gridSpan w:val="2"/>
            <w:noWrap w:val="0"/>
            <w:vAlign w:val="center"/>
          </w:tcPr>
          <w:p w14:paraId="164775F5">
            <w:pPr>
              <w:spacing w:line="340" w:lineRule="exact"/>
              <w:jc w:val="center"/>
              <w:rPr>
                <w:rFonts w:ascii="仿宋_GB2312"/>
              </w:rPr>
            </w:pPr>
            <w:r>
              <w:rPr>
                <w:rFonts w:hint="eastAsia" w:ascii="仿宋_GB2312"/>
              </w:rPr>
              <w:t>委托招标</w:t>
            </w:r>
          </w:p>
        </w:tc>
        <w:tc>
          <w:tcPr>
            <w:tcW w:w="1087" w:type="dxa"/>
            <w:noWrap w:val="0"/>
            <w:vAlign w:val="center"/>
          </w:tcPr>
          <w:p w14:paraId="4ABB797D">
            <w:pPr>
              <w:spacing w:line="340" w:lineRule="exact"/>
              <w:jc w:val="center"/>
              <w:rPr>
                <w:rFonts w:ascii="仿宋_GB2312"/>
              </w:rPr>
            </w:pPr>
            <w:r>
              <w:rPr>
                <w:rFonts w:hint="eastAsia" w:ascii="仿宋_GB2312"/>
              </w:rPr>
              <w:t>自行招标</w:t>
            </w:r>
          </w:p>
        </w:tc>
        <w:tc>
          <w:tcPr>
            <w:tcW w:w="1155" w:type="dxa"/>
            <w:noWrap w:val="0"/>
            <w:vAlign w:val="center"/>
          </w:tcPr>
          <w:p w14:paraId="27A64FC9">
            <w:pPr>
              <w:spacing w:line="340" w:lineRule="exact"/>
              <w:jc w:val="center"/>
              <w:rPr>
                <w:rFonts w:ascii="仿宋_GB2312"/>
              </w:rPr>
            </w:pPr>
            <w:r>
              <w:rPr>
                <w:rFonts w:hint="eastAsia" w:ascii="仿宋_GB2312"/>
              </w:rPr>
              <w:t>公开招标</w:t>
            </w:r>
          </w:p>
        </w:tc>
        <w:tc>
          <w:tcPr>
            <w:tcW w:w="1125" w:type="dxa"/>
            <w:noWrap w:val="0"/>
            <w:vAlign w:val="center"/>
          </w:tcPr>
          <w:p w14:paraId="75E0196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27CEB281">
            <w:pPr>
              <w:spacing w:line="340" w:lineRule="exact"/>
              <w:jc w:val="center"/>
              <w:rPr>
                <w:rFonts w:ascii="仿宋_GB2312"/>
              </w:rPr>
            </w:pPr>
          </w:p>
        </w:tc>
      </w:tr>
      <w:tr w14:paraId="2240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350D01B">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18F1DF3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014C992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2DE069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533F5B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BF1195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585C15C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6B828FC9">
            <w:pPr>
              <w:jc w:val="center"/>
              <w:rPr>
                <w:rFonts w:hint="default" w:ascii="仿宋_GB2312" w:eastAsia="宋体"/>
                <w:lang w:val="en-US" w:eastAsia="zh-CN"/>
              </w:rPr>
            </w:pPr>
            <w:r>
              <w:rPr>
                <w:rFonts w:hint="eastAsia" w:ascii="仿宋_GB2312"/>
              </w:rPr>
              <w:t>――</w:t>
            </w:r>
          </w:p>
        </w:tc>
      </w:tr>
      <w:tr w14:paraId="359A6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436B377E">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342CD208">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1BBEA7C">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130BFC6">
            <w:pPr>
              <w:jc w:val="center"/>
              <w:rPr>
                <w:rFonts w:hint="eastAsia" w:ascii="仿宋_GB2312"/>
              </w:rPr>
            </w:pPr>
            <w:r>
              <w:rPr>
                <w:rFonts w:hint="eastAsia" w:ascii="仿宋_GB2312"/>
              </w:rPr>
              <w:t>――</w:t>
            </w:r>
          </w:p>
        </w:tc>
        <w:tc>
          <w:tcPr>
            <w:tcW w:w="1087" w:type="dxa"/>
            <w:noWrap w:val="0"/>
            <w:vAlign w:val="center"/>
          </w:tcPr>
          <w:p w14:paraId="6B881B62">
            <w:pPr>
              <w:jc w:val="center"/>
              <w:rPr>
                <w:rFonts w:hint="eastAsia" w:ascii="仿宋_GB2312"/>
              </w:rPr>
            </w:pPr>
            <w:r>
              <w:rPr>
                <w:rFonts w:hint="eastAsia" w:ascii="仿宋_GB2312"/>
              </w:rPr>
              <w:t>――</w:t>
            </w:r>
          </w:p>
        </w:tc>
        <w:tc>
          <w:tcPr>
            <w:tcW w:w="1155" w:type="dxa"/>
            <w:noWrap w:val="0"/>
            <w:vAlign w:val="center"/>
          </w:tcPr>
          <w:p w14:paraId="1475B7BE">
            <w:pPr>
              <w:jc w:val="center"/>
              <w:rPr>
                <w:rFonts w:hint="eastAsia" w:ascii="仿宋_GB2312"/>
              </w:rPr>
            </w:pPr>
            <w:r>
              <w:rPr>
                <w:rFonts w:hint="eastAsia" w:ascii="仿宋_GB2312"/>
              </w:rPr>
              <w:t>――</w:t>
            </w:r>
          </w:p>
        </w:tc>
        <w:tc>
          <w:tcPr>
            <w:tcW w:w="1125" w:type="dxa"/>
            <w:noWrap w:val="0"/>
            <w:vAlign w:val="center"/>
          </w:tcPr>
          <w:p w14:paraId="7CEA2675">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7A06F7EE">
            <w:pPr>
              <w:jc w:val="center"/>
              <w:rPr>
                <w:rFonts w:hint="eastAsia" w:ascii="仿宋_GB2312" w:eastAsia="宋体"/>
                <w:lang w:eastAsia="zh-CN"/>
              </w:rPr>
            </w:pPr>
            <w:r>
              <w:rPr>
                <w:rFonts w:hint="eastAsia" w:ascii="仿宋_GB2312"/>
                <w:lang w:val="en-US" w:eastAsia="zh-CN"/>
              </w:rPr>
              <w:t>核准</w:t>
            </w:r>
          </w:p>
        </w:tc>
      </w:tr>
      <w:tr w14:paraId="28657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5A2CF596">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10DAC49A">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387AC61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A5561D4">
            <w:pPr>
              <w:jc w:val="center"/>
              <w:rPr>
                <w:rFonts w:hint="eastAsia" w:ascii="仿宋_GB2312"/>
              </w:rPr>
            </w:pPr>
            <w:r>
              <w:rPr>
                <w:rFonts w:hint="eastAsia" w:ascii="仿宋_GB2312"/>
              </w:rPr>
              <w:t>――</w:t>
            </w:r>
          </w:p>
        </w:tc>
        <w:tc>
          <w:tcPr>
            <w:tcW w:w="1087" w:type="dxa"/>
            <w:noWrap w:val="0"/>
            <w:vAlign w:val="center"/>
          </w:tcPr>
          <w:p w14:paraId="7240F191">
            <w:pPr>
              <w:jc w:val="center"/>
              <w:rPr>
                <w:rFonts w:hint="eastAsia" w:ascii="仿宋_GB2312"/>
              </w:rPr>
            </w:pPr>
            <w:r>
              <w:rPr>
                <w:rFonts w:hint="eastAsia" w:ascii="仿宋_GB2312"/>
              </w:rPr>
              <w:t>――</w:t>
            </w:r>
          </w:p>
        </w:tc>
        <w:tc>
          <w:tcPr>
            <w:tcW w:w="1155" w:type="dxa"/>
            <w:noWrap w:val="0"/>
            <w:vAlign w:val="center"/>
          </w:tcPr>
          <w:p w14:paraId="38CBB559">
            <w:pPr>
              <w:jc w:val="center"/>
              <w:rPr>
                <w:rFonts w:hint="eastAsia" w:ascii="仿宋_GB2312"/>
              </w:rPr>
            </w:pPr>
            <w:r>
              <w:rPr>
                <w:rFonts w:hint="eastAsia" w:ascii="仿宋_GB2312"/>
              </w:rPr>
              <w:t>――</w:t>
            </w:r>
          </w:p>
        </w:tc>
        <w:tc>
          <w:tcPr>
            <w:tcW w:w="1125" w:type="dxa"/>
            <w:noWrap w:val="0"/>
            <w:vAlign w:val="center"/>
          </w:tcPr>
          <w:p w14:paraId="7747789F">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14A8C4F">
            <w:pPr>
              <w:jc w:val="center"/>
              <w:rPr>
                <w:rFonts w:hint="eastAsia" w:ascii="仿宋_GB2312" w:eastAsia="宋体"/>
                <w:lang w:val="en-US" w:eastAsia="zh-CN"/>
              </w:rPr>
            </w:pPr>
            <w:r>
              <w:rPr>
                <w:rFonts w:hint="eastAsia" w:ascii="仿宋_GB2312"/>
                <w:lang w:val="en-US" w:eastAsia="zh-CN"/>
              </w:rPr>
              <w:t>核准</w:t>
            </w:r>
          </w:p>
        </w:tc>
      </w:tr>
      <w:tr w14:paraId="582B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20872C8E">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41F8E41C">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0724B11B">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721BC7B8">
            <w:pPr>
              <w:jc w:val="center"/>
              <w:rPr>
                <w:rFonts w:hint="eastAsia" w:ascii="仿宋_GB2312"/>
              </w:rPr>
            </w:pPr>
            <w:r>
              <w:rPr>
                <w:rFonts w:hint="eastAsia" w:ascii="仿宋_GB2312"/>
              </w:rPr>
              <w:t>――</w:t>
            </w:r>
          </w:p>
        </w:tc>
        <w:tc>
          <w:tcPr>
            <w:tcW w:w="1087" w:type="dxa"/>
            <w:noWrap w:val="0"/>
            <w:vAlign w:val="center"/>
          </w:tcPr>
          <w:p w14:paraId="14EBE6A6">
            <w:pPr>
              <w:jc w:val="center"/>
              <w:rPr>
                <w:rFonts w:hint="eastAsia" w:ascii="仿宋_GB2312"/>
              </w:rPr>
            </w:pPr>
            <w:r>
              <w:rPr>
                <w:rFonts w:hint="eastAsia" w:ascii="仿宋_GB2312"/>
              </w:rPr>
              <w:t>――</w:t>
            </w:r>
          </w:p>
        </w:tc>
        <w:tc>
          <w:tcPr>
            <w:tcW w:w="1155" w:type="dxa"/>
            <w:noWrap w:val="0"/>
            <w:vAlign w:val="center"/>
          </w:tcPr>
          <w:p w14:paraId="44D88141">
            <w:pPr>
              <w:jc w:val="center"/>
              <w:rPr>
                <w:rFonts w:hint="eastAsia" w:ascii="仿宋_GB2312"/>
              </w:rPr>
            </w:pPr>
            <w:r>
              <w:rPr>
                <w:rFonts w:hint="eastAsia" w:ascii="仿宋_GB2312"/>
              </w:rPr>
              <w:t>――</w:t>
            </w:r>
          </w:p>
        </w:tc>
        <w:tc>
          <w:tcPr>
            <w:tcW w:w="1125" w:type="dxa"/>
            <w:noWrap w:val="0"/>
            <w:vAlign w:val="center"/>
          </w:tcPr>
          <w:p w14:paraId="3CB63B6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679097FF">
            <w:pPr>
              <w:jc w:val="center"/>
              <w:rPr>
                <w:rFonts w:hint="eastAsia" w:ascii="仿宋_GB2312" w:eastAsia="宋体"/>
                <w:lang w:eastAsia="zh-CN"/>
              </w:rPr>
            </w:pPr>
            <w:r>
              <w:rPr>
                <w:rFonts w:hint="eastAsia" w:ascii="仿宋_GB2312"/>
                <w:lang w:val="en-US" w:eastAsia="zh-CN"/>
              </w:rPr>
              <w:t>核准</w:t>
            </w:r>
          </w:p>
        </w:tc>
      </w:tr>
      <w:tr w14:paraId="1E94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1F8D906D">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073A4809">
            <w:pPr>
              <w:jc w:val="center"/>
              <w:rPr>
                <w:rFonts w:hint="eastAsia" w:ascii="仿宋_GB2312"/>
              </w:rPr>
            </w:pPr>
            <w:r>
              <w:rPr>
                <w:rFonts w:hint="eastAsia" w:ascii="仿宋_GB2312"/>
              </w:rPr>
              <w:t>――</w:t>
            </w:r>
          </w:p>
        </w:tc>
        <w:tc>
          <w:tcPr>
            <w:tcW w:w="1065" w:type="dxa"/>
            <w:tcBorders>
              <w:right w:val="single" w:color="auto" w:sz="4" w:space="0"/>
            </w:tcBorders>
            <w:noWrap w:val="0"/>
            <w:vAlign w:val="center"/>
          </w:tcPr>
          <w:p w14:paraId="28DCDBD6">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50F7F15F">
            <w:pPr>
              <w:jc w:val="center"/>
              <w:rPr>
                <w:rFonts w:hint="eastAsia" w:ascii="仿宋_GB2312"/>
              </w:rPr>
            </w:pPr>
            <w:r>
              <w:rPr>
                <w:rFonts w:hint="eastAsia" w:ascii="仿宋_GB2312"/>
              </w:rPr>
              <w:t>――</w:t>
            </w:r>
          </w:p>
        </w:tc>
        <w:tc>
          <w:tcPr>
            <w:tcW w:w="1087" w:type="dxa"/>
            <w:noWrap w:val="0"/>
            <w:vAlign w:val="center"/>
          </w:tcPr>
          <w:p w14:paraId="4A7AB148">
            <w:pPr>
              <w:jc w:val="center"/>
              <w:rPr>
                <w:rFonts w:hint="eastAsia" w:ascii="仿宋_GB2312"/>
              </w:rPr>
            </w:pPr>
            <w:r>
              <w:rPr>
                <w:rFonts w:hint="eastAsia" w:ascii="仿宋_GB2312"/>
              </w:rPr>
              <w:t>――</w:t>
            </w:r>
          </w:p>
        </w:tc>
        <w:tc>
          <w:tcPr>
            <w:tcW w:w="1155" w:type="dxa"/>
            <w:noWrap w:val="0"/>
            <w:vAlign w:val="center"/>
          </w:tcPr>
          <w:p w14:paraId="0728603C">
            <w:pPr>
              <w:jc w:val="center"/>
              <w:rPr>
                <w:rFonts w:hint="eastAsia" w:ascii="仿宋_GB2312"/>
              </w:rPr>
            </w:pPr>
            <w:r>
              <w:rPr>
                <w:rFonts w:hint="eastAsia" w:ascii="仿宋_GB2312"/>
              </w:rPr>
              <w:t>――</w:t>
            </w:r>
          </w:p>
        </w:tc>
        <w:tc>
          <w:tcPr>
            <w:tcW w:w="1125" w:type="dxa"/>
            <w:noWrap w:val="0"/>
            <w:vAlign w:val="center"/>
          </w:tcPr>
          <w:p w14:paraId="4E4EF1C4">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2BD48A19">
            <w:pPr>
              <w:jc w:val="center"/>
              <w:rPr>
                <w:rFonts w:hint="eastAsia" w:ascii="仿宋_GB2312"/>
              </w:rPr>
            </w:pPr>
            <w:r>
              <w:rPr>
                <w:rFonts w:hint="eastAsia" w:ascii="仿宋_GB2312"/>
              </w:rPr>
              <w:t>――</w:t>
            </w:r>
          </w:p>
        </w:tc>
      </w:tr>
      <w:tr w14:paraId="3FFAE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0955980A">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C7EF46F">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07AC950E">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3906D709">
            <w:pPr>
              <w:jc w:val="center"/>
              <w:rPr>
                <w:rFonts w:hint="eastAsia" w:ascii="仿宋_GB2312"/>
                <w:lang w:val="en-US" w:eastAsia="zh-CN"/>
              </w:rPr>
            </w:pPr>
            <w:r>
              <w:rPr>
                <w:rFonts w:hint="eastAsia" w:ascii="仿宋_GB2312"/>
              </w:rPr>
              <w:t>――</w:t>
            </w:r>
          </w:p>
        </w:tc>
        <w:tc>
          <w:tcPr>
            <w:tcW w:w="1087" w:type="dxa"/>
            <w:noWrap w:val="0"/>
            <w:vAlign w:val="center"/>
          </w:tcPr>
          <w:p w14:paraId="3613E63E">
            <w:pPr>
              <w:jc w:val="center"/>
              <w:rPr>
                <w:rFonts w:hint="eastAsia" w:ascii="仿宋_GB2312"/>
              </w:rPr>
            </w:pPr>
            <w:r>
              <w:rPr>
                <w:rFonts w:hint="eastAsia" w:ascii="仿宋_GB2312"/>
              </w:rPr>
              <w:t>――</w:t>
            </w:r>
          </w:p>
        </w:tc>
        <w:tc>
          <w:tcPr>
            <w:tcW w:w="1155" w:type="dxa"/>
            <w:noWrap w:val="0"/>
            <w:vAlign w:val="center"/>
          </w:tcPr>
          <w:p w14:paraId="1E2F7150">
            <w:pPr>
              <w:jc w:val="center"/>
              <w:rPr>
                <w:rFonts w:hint="eastAsia" w:ascii="仿宋_GB2312"/>
                <w:lang w:val="en-US" w:eastAsia="zh-CN"/>
              </w:rPr>
            </w:pPr>
            <w:r>
              <w:rPr>
                <w:rFonts w:hint="eastAsia" w:ascii="仿宋_GB2312"/>
              </w:rPr>
              <w:t>――</w:t>
            </w:r>
          </w:p>
        </w:tc>
        <w:tc>
          <w:tcPr>
            <w:tcW w:w="1125" w:type="dxa"/>
            <w:noWrap w:val="0"/>
            <w:vAlign w:val="center"/>
          </w:tcPr>
          <w:p w14:paraId="1325879B">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489DC7D9">
            <w:pPr>
              <w:jc w:val="center"/>
              <w:rPr>
                <w:rFonts w:hint="eastAsia" w:ascii="仿宋_GB2312"/>
              </w:rPr>
            </w:pPr>
            <w:r>
              <w:rPr>
                <w:rFonts w:hint="eastAsia" w:ascii="仿宋_GB2312"/>
              </w:rPr>
              <w:t>――</w:t>
            </w:r>
          </w:p>
        </w:tc>
      </w:tr>
      <w:tr w14:paraId="3922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48559B98">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6218D91C">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6427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2"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6EECA910">
            <w:pPr>
              <w:jc w:val="left"/>
              <w:rPr>
                <w:rFonts w:hint="eastAsia"/>
              </w:rPr>
            </w:pPr>
          </w:p>
          <w:p w14:paraId="655DB6BF">
            <w:pPr>
              <w:keepNext w:val="0"/>
              <w:keepLines w:val="0"/>
              <w:pageBreakBefore w:val="0"/>
              <w:widowControl w:val="0"/>
              <w:tabs>
                <w:tab w:val="left" w:pos="3135"/>
              </w:tabs>
              <w:kinsoku/>
              <w:wordWrap/>
              <w:overflowPunct/>
              <w:topLinePunct w:val="0"/>
              <w:autoSpaceDE/>
              <w:autoSpaceDN/>
              <w:bidi w:val="0"/>
              <w:adjustRightInd/>
              <w:snapToGrid/>
              <w:spacing w:line="320" w:lineRule="exact"/>
              <w:jc w:val="left"/>
              <w:textAlignment w:val="auto"/>
              <w:rPr>
                <w:rFonts w:hint="eastAsia"/>
                <w:lang w:val="en-US" w:eastAsia="zh-CN"/>
              </w:rPr>
            </w:pPr>
            <w:r>
              <w:rPr>
                <w:rFonts w:hint="eastAsia"/>
                <w:lang w:val="en-US" w:eastAsia="zh-CN"/>
              </w:rPr>
              <w:t xml:space="preserve">  核准意见：</w:t>
            </w:r>
          </w:p>
          <w:p w14:paraId="5212BA7D">
            <w:pPr>
              <w:tabs>
                <w:tab w:val="left" w:pos="3135"/>
              </w:tabs>
              <w:ind w:firstLine="420" w:firstLineChars="200"/>
              <w:jc w:val="left"/>
              <w:rPr>
                <w:rFonts w:hint="eastAsia"/>
                <w:lang w:val="en-US" w:eastAsia="zh-CN"/>
              </w:rPr>
            </w:pPr>
            <w:r>
              <w:rPr>
                <w:rFonts w:hint="eastAsia"/>
                <w:lang w:val="en-US" w:eastAsia="zh-CN"/>
              </w:rPr>
              <w:t xml:space="preserve"> 一、该项目属于使用国有资金投资的项目，根据有关规定，达到强制招标规模标准的建设内容均应进行招标。</w:t>
            </w:r>
          </w:p>
          <w:p w14:paraId="2B0F0A62">
            <w:pPr>
              <w:tabs>
                <w:tab w:val="left" w:pos="3135"/>
              </w:tabs>
              <w:jc w:val="left"/>
              <w:rPr>
                <w:rFonts w:hint="eastAsia"/>
                <w:lang w:val="en-US" w:eastAsia="zh-CN"/>
              </w:rPr>
            </w:pPr>
            <w:r>
              <w:rPr>
                <w:rFonts w:hint="eastAsia"/>
                <w:lang w:val="en-US" w:eastAsia="zh-CN"/>
              </w:rPr>
              <w:t xml:space="preserve">     二、该项目的设计、建安工程、监理、单项合同金额未达到强制招标的规模标准，同意其不采用招标方式。</w:t>
            </w:r>
          </w:p>
          <w:p w14:paraId="66DA8E76">
            <w:pPr>
              <w:tabs>
                <w:tab w:val="left" w:pos="3135"/>
              </w:tabs>
              <w:ind w:firstLine="4935" w:firstLineChars="2350"/>
              <w:jc w:val="left"/>
              <w:rPr>
                <w:rFonts w:hint="eastAsia"/>
                <w:lang w:val="en-US" w:eastAsia="zh-CN"/>
              </w:rPr>
            </w:pPr>
          </w:p>
          <w:p w14:paraId="17197190">
            <w:pPr>
              <w:pStyle w:val="2"/>
              <w:rPr>
                <w:rFonts w:hint="eastAsia"/>
                <w:lang w:val="en-US" w:eastAsia="zh-CN"/>
              </w:rPr>
            </w:pPr>
          </w:p>
          <w:p w14:paraId="28A98DF2">
            <w:pPr>
              <w:pStyle w:val="2"/>
              <w:rPr>
                <w:rFonts w:hint="eastAsia"/>
                <w:lang w:val="en-US" w:eastAsia="zh-CN"/>
              </w:rPr>
            </w:pPr>
          </w:p>
          <w:p w14:paraId="3514D65E">
            <w:pPr>
              <w:pStyle w:val="2"/>
              <w:rPr>
                <w:rFonts w:hint="eastAsia"/>
                <w:lang w:val="en-US" w:eastAsia="zh-CN"/>
              </w:rPr>
            </w:pPr>
          </w:p>
          <w:p w14:paraId="5EA0D4BE">
            <w:pPr>
              <w:pStyle w:val="8"/>
              <w:rPr>
                <w:rFonts w:hint="eastAsia"/>
                <w:lang w:val="en-US" w:eastAsia="zh-CN"/>
              </w:rPr>
            </w:pPr>
          </w:p>
          <w:p w14:paraId="1E8FF7AA">
            <w:pPr>
              <w:tabs>
                <w:tab w:val="left" w:pos="3135"/>
              </w:tabs>
              <w:ind w:firstLine="4935" w:firstLineChars="2350"/>
              <w:jc w:val="left"/>
              <w:rPr>
                <w:rFonts w:hint="eastAsia"/>
                <w:lang w:val="en-US" w:eastAsia="zh-CN"/>
              </w:rPr>
            </w:pPr>
            <w:r>
              <w:rPr>
                <w:rFonts w:hint="eastAsia"/>
                <w:lang w:val="en-US" w:eastAsia="zh-CN"/>
              </w:rPr>
              <w:t>盂县发展和改革局</w:t>
            </w:r>
          </w:p>
          <w:p w14:paraId="541C180A">
            <w:pPr>
              <w:pStyle w:val="8"/>
              <w:rPr>
                <w:rFonts w:hint="eastAsia"/>
                <w:lang w:val="en-US" w:eastAsia="zh-CN"/>
              </w:rPr>
            </w:pPr>
          </w:p>
          <w:p w14:paraId="4B4DEE0F">
            <w:pPr>
              <w:pStyle w:val="8"/>
              <w:rPr>
                <w:rFonts w:hint="eastAsia"/>
                <w:lang w:val="en-US" w:eastAsia="zh-CN"/>
              </w:rPr>
            </w:pPr>
          </w:p>
        </w:tc>
      </w:tr>
    </w:tbl>
    <w:p w14:paraId="4D4BBAEA"/>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ED42E1"/>
    <w:multiLevelType w:val="singleLevel"/>
    <w:tmpl w:val="A3ED42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B4F11"/>
    <w:rsid w:val="0ACB6F8A"/>
    <w:rsid w:val="0CC872C0"/>
    <w:rsid w:val="26434431"/>
    <w:rsid w:val="4BE5279E"/>
    <w:rsid w:val="53470B78"/>
    <w:rsid w:val="66ED2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1">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jc w:val="left"/>
    </w:pPr>
  </w:style>
  <w:style w:type="paragraph" w:styleId="4">
    <w:name w:val="Normal Indent"/>
    <w:basedOn w:val="1"/>
    <w:qFormat/>
    <w:uiPriority w:val="0"/>
    <w:pPr>
      <w:ind w:firstLine="420"/>
    </w:pPr>
    <w:rPr>
      <w:szCs w:val="20"/>
    </w:rPr>
  </w:style>
  <w:style w:type="paragraph" w:styleId="5">
    <w:name w:val="Body Text"/>
    <w:basedOn w:val="1"/>
    <w:next w:val="6"/>
    <w:qFormat/>
    <w:uiPriority w:val="0"/>
  </w:style>
  <w:style w:type="paragraph" w:styleId="6">
    <w:name w:val="Body Text 2"/>
    <w:basedOn w:val="1"/>
    <w:qFormat/>
    <w:uiPriority w:val="0"/>
    <w:pPr>
      <w:spacing w:after="120" w:line="480" w:lineRule="auto"/>
    </w:pPr>
  </w:style>
  <w:style w:type="paragraph" w:styleId="7">
    <w:name w:val="footer"/>
    <w:basedOn w:val="1"/>
    <w:qFormat/>
    <w:uiPriority w:val="0"/>
    <w:pPr>
      <w:widowControl w:val="0"/>
      <w:tabs>
        <w:tab w:val="center" w:pos="4153"/>
        <w:tab w:val="right" w:pos="8306"/>
      </w:tabs>
      <w:snapToGrid w:val="0"/>
      <w:jc w:val="left"/>
    </w:pPr>
    <w:rPr>
      <w:rFonts w:ascii="Calibri" w:hAnsi="Calibri" w:eastAsia="宋体" w:cs="Times New Roman"/>
      <w:kern w:val="2"/>
      <w:sz w:val="18"/>
      <w:szCs w:val="22"/>
      <w:lang w:val="en-US" w:eastAsia="zh-CN"/>
    </w:rPr>
  </w:style>
  <w:style w:type="paragraph" w:styleId="8">
    <w:name w:val="Body Text First Indent"/>
    <w:basedOn w:val="5"/>
    <w:qFormat/>
    <w:uiPriority w:val="0"/>
    <w:pPr>
      <w:ind w:firstLine="420" w:firstLineChars="1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1334</Words>
  <Characters>1448</Characters>
  <Lines>0</Lines>
  <Paragraphs>0</Paragraphs>
  <TotalTime>18</TotalTime>
  <ScaleCrop>false</ScaleCrop>
  <LinksUpToDate>false</LinksUpToDate>
  <CharactersWithSpaces>1635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2026-08-17T01:22:00Z</dcterms:created>
  <dc:creator>hp</dc:creator>
  <cp:lastModifiedBy>WPS_1601539374</cp:lastModifiedBy>
  <cp:lastPrinted>2026-09-03T09:58:00Z</cp:lastPrinted>
  <dcterms:modified xsi:type="dcterms:W3CDTF">2026-09-28T01:33:30Z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eyJoZGlkIjoiYjVlYmU4NDgxN2M5NDc1ZTY1ZGEwM2M5ZDhhNDRhMDUiLCJ1c2VySWQiOiIxMTI2NDI5OTgwIn0=</vt:lpwstr>
  </property>
  <property fmtid="{D5CDD505-2E9C-101B-9397-08002B2CF9AE}" pid="4" name="ICV">
    <vt:lpwstr>BB5E34ACA4E74CD68AE402315E6E2F9C_13</vt:lpwstr>
  </property>
</Properties>
</file>