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16E661">
      <w:pPr>
        <w:ind w:firstLine="2720" w:firstLineChars="850"/>
        <w:rPr>
          <w:rFonts w:hint="eastAsia" w:ascii="宋体" w:hAnsi="宋体"/>
          <w:sz w:val="32"/>
        </w:rPr>
      </w:pPr>
    </w:p>
    <w:p w14:paraId="1731EFB6">
      <w:pPr>
        <w:ind w:firstLine="2720" w:firstLineChars="850"/>
        <w:rPr>
          <w:rFonts w:hint="eastAsia" w:ascii="宋体" w:hAnsi="宋体"/>
          <w:sz w:val="32"/>
        </w:rPr>
      </w:pPr>
    </w:p>
    <w:p w14:paraId="7B5A3F0D">
      <w:pPr>
        <w:ind w:firstLine="2720" w:firstLineChars="850"/>
        <w:rPr>
          <w:rFonts w:hint="eastAsia" w:ascii="宋体" w:hAnsi="宋体"/>
          <w:sz w:val="32"/>
        </w:rPr>
      </w:pPr>
    </w:p>
    <w:p w14:paraId="24E55630">
      <w:pPr>
        <w:ind w:firstLine="2720" w:firstLineChars="850"/>
        <w:rPr>
          <w:rFonts w:hint="eastAsia" w:ascii="宋体" w:hAnsi="宋体"/>
          <w:sz w:val="32"/>
        </w:rPr>
      </w:pPr>
    </w:p>
    <w:p w14:paraId="4D9F634D">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hint="eastAsia" w:ascii="宋体" w:hAnsi="宋体"/>
          <w:sz w:val="32"/>
        </w:rPr>
      </w:pPr>
    </w:p>
    <w:p w14:paraId="335064F9">
      <w:pPr>
        <w:pStyle w:val="22"/>
        <w:rPr>
          <w:rFonts w:hint="eastAsia"/>
          <w:sz w:val="10"/>
          <w:szCs w:val="10"/>
        </w:rPr>
      </w:pPr>
    </w:p>
    <w:p w14:paraId="6D14A548">
      <w:pPr>
        <w:pStyle w:val="22"/>
        <w:rPr>
          <w:rFonts w:hint="eastAsia"/>
          <w:sz w:val="10"/>
          <w:szCs w:val="10"/>
        </w:rPr>
      </w:pPr>
    </w:p>
    <w:p w14:paraId="671F0156">
      <w:pPr>
        <w:pStyle w:val="22"/>
        <w:rPr>
          <w:rFonts w:hint="eastAsia"/>
          <w:sz w:val="10"/>
          <w:szCs w:val="10"/>
        </w:rPr>
      </w:pPr>
    </w:p>
    <w:p w14:paraId="5111095A">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lang w:val="en-US" w:eastAsia="zh-CN"/>
        </w:rPr>
      </w:pPr>
      <w:r>
        <w:rPr>
          <w:rFonts w:hint="eastAsia" w:ascii="宋体" w:hAnsi="宋体"/>
          <w:sz w:val="32"/>
          <w:lang w:val="en-US" w:eastAsia="zh-CN"/>
        </w:rPr>
        <w:t xml:space="preserve">               </w:t>
      </w:r>
    </w:p>
    <w:p w14:paraId="604C2320">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lang w:eastAsia="zh-CN"/>
        </w:rPr>
      </w:pPr>
      <w:r>
        <w:rPr>
          <w:rFonts w:hint="eastAsia" w:ascii="华文仿宋" w:hAnsi="华文仿宋" w:eastAsia="华文仿宋" w:cs="华文仿宋"/>
          <w:sz w:val="32"/>
          <w:szCs w:val="32"/>
        </w:rPr>
        <w:t>盂发改发</w:t>
      </w:r>
      <w:r>
        <w:rPr>
          <w:rFonts w:hint="eastAsia" w:ascii="华文仿宋" w:hAnsi="华文仿宋" w:eastAsia="华文仿宋" w:cs="华文仿宋"/>
          <w:sz w:val="32"/>
        </w:rPr>
        <w:t>〔20</w:t>
      </w:r>
      <w:r>
        <w:rPr>
          <w:rFonts w:hint="eastAsia" w:ascii="华文仿宋" w:hAnsi="华文仿宋" w:eastAsia="华文仿宋" w:cs="华文仿宋"/>
          <w:sz w:val="32"/>
          <w:lang w:val="en-US" w:eastAsia="zh-CN"/>
        </w:rPr>
        <w:t>26</w:t>
      </w:r>
      <w:r>
        <w:rPr>
          <w:rFonts w:hint="eastAsia" w:ascii="华文仿宋" w:hAnsi="华文仿宋" w:eastAsia="华文仿宋" w:cs="华文仿宋"/>
          <w:sz w:val="32"/>
        </w:rPr>
        <w:t>〕</w:t>
      </w:r>
      <w:r>
        <w:rPr>
          <w:rFonts w:hint="eastAsia" w:ascii="华文仿宋" w:hAnsi="华文仿宋" w:eastAsia="华文仿宋" w:cs="华文仿宋"/>
          <w:sz w:val="32"/>
          <w:lang w:val="en-US" w:eastAsia="zh-CN"/>
        </w:rPr>
        <w:t>102</w:t>
      </w:r>
      <w:r>
        <w:rPr>
          <w:rFonts w:hint="eastAsia" w:ascii="华文仿宋" w:hAnsi="华文仿宋" w:eastAsia="华文仿宋" w:cs="华文仿宋"/>
          <w:sz w:val="32"/>
          <w:szCs w:val="32"/>
        </w:rPr>
        <w:t>号</w:t>
      </w:r>
    </w:p>
    <w:p w14:paraId="539386D8">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_GB2312" w:hAnsi="仿宋_GB2312" w:eastAsia="仿宋_GB2312" w:cs="仿宋_GB2312"/>
          <w:b/>
          <w:sz w:val="32"/>
          <w:szCs w:val="32"/>
        </w:rPr>
      </w:pPr>
    </w:p>
    <w:p w14:paraId="28DB7716">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eastAsia" w:ascii="宋体" w:hAnsi="宋体"/>
          <w:b/>
          <w:sz w:val="44"/>
        </w:rPr>
      </w:pPr>
    </w:p>
    <w:p w14:paraId="78F80AC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_GBK" w:hAnsi="方正小标宋_GBK" w:eastAsia="方正小标宋_GBK" w:cs="方正小标宋_GBK"/>
          <w:b w:val="0"/>
          <w:bCs/>
          <w:spacing w:val="11"/>
          <w:sz w:val="44"/>
          <w:lang w:eastAsia="zh-CN"/>
        </w:rPr>
      </w:pPr>
      <w:r>
        <w:rPr>
          <w:rFonts w:hint="eastAsia" w:ascii="方正小标宋_GBK" w:hAnsi="方正小标宋_GBK" w:eastAsia="方正小标宋_GBK" w:cs="方正小标宋_GBK"/>
          <w:b w:val="0"/>
          <w:bCs/>
          <w:spacing w:val="11"/>
          <w:sz w:val="44"/>
          <w:lang w:eastAsia="zh-CN"/>
        </w:rPr>
        <w:t>盂县发展和改革局</w:t>
      </w:r>
    </w:p>
    <w:p w14:paraId="6D369A4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宋体" w:hAnsi="宋体"/>
          <w:b/>
          <w:spacing w:val="0"/>
          <w:sz w:val="44"/>
        </w:rPr>
      </w:pPr>
      <w:r>
        <w:rPr>
          <w:rFonts w:hint="eastAsia" w:ascii="方正小标宋_GBK" w:hAnsi="方正小标宋_GBK" w:eastAsia="方正小标宋_GBK" w:cs="方正小标宋_GBK"/>
          <w:b w:val="0"/>
          <w:bCs/>
          <w:spacing w:val="0"/>
          <w:sz w:val="44"/>
        </w:rPr>
        <w:t>关于对《</w:t>
      </w:r>
      <w:r>
        <w:rPr>
          <w:rFonts w:hint="eastAsia" w:ascii="方正小标宋简体" w:hAnsi="方正小标宋简体" w:eastAsia="方正小标宋简体" w:cs="方正小标宋简体"/>
          <w:b w:val="0"/>
          <w:bCs w:val="0"/>
          <w:sz w:val="44"/>
          <w:szCs w:val="44"/>
          <w:lang w:val="en-US" w:eastAsia="zh-CN"/>
        </w:rPr>
        <w:t>盂县灯花水库除险加固工程</w:t>
      </w:r>
      <w:r>
        <w:rPr>
          <w:rFonts w:hint="eastAsia" w:ascii="方正小标宋_GBK" w:hAnsi="方正小标宋_GBK" w:eastAsia="方正小标宋_GBK" w:cs="方正小标宋_GBK"/>
          <w:b w:val="0"/>
          <w:bCs/>
          <w:spacing w:val="0"/>
          <w:sz w:val="44"/>
          <w:lang w:val="en-US" w:eastAsia="zh-CN"/>
        </w:rPr>
        <w:t>可行性研究报告</w:t>
      </w:r>
      <w:r>
        <w:rPr>
          <w:rFonts w:hint="eastAsia" w:ascii="方正小标宋_GBK" w:hAnsi="方正小标宋_GBK" w:eastAsia="方正小标宋_GBK" w:cs="方正小标宋_GBK"/>
          <w:b w:val="0"/>
          <w:bCs/>
          <w:spacing w:val="0"/>
          <w:sz w:val="44"/>
        </w:rPr>
        <w:t>（代项目建议书）</w:t>
      </w:r>
      <w:r>
        <w:rPr>
          <w:rFonts w:hint="eastAsia" w:ascii="方正小标宋_GBK" w:hAnsi="方正小标宋_GBK" w:eastAsia="方正小标宋_GBK" w:cs="方正小标宋_GBK"/>
          <w:b w:val="0"/>
          <w:bCs/>
          <w:spacing w:val="0"/>
          <w:sz w:val="44"/>
          <w:lang w:eastAsia="zh-CN"/>
        </w:rPr>
        <w:t>》</w:t>
      </w:r>
      <w:r>
        <w:rPr>
          <w:rFonts w:hint="eastAsia" w:ascii="方正小标宋_GBK" w:hAnsi="方正小标宋_GBK" w:eastAsia="方正小标宋_GBK" w:cs="方正小标宋_GBK"/>
          <w:b w:val="0"/>
          <w:bCs/>
          <w:spacing w:val="0"/>
          <w:sz w:val="44"/>
        </w:rPr>
        <w:t>的批复</w:t>
      </w:r>
    </w:p>
    <w:p w14:paraId="02861F39">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outlineLvl w:val="9"/>
        <w:rPr>
          <w:rFonts w:hint="eastAsia" w:ascii="宋体" w:hAnsi="宋体"/>
          <w:b/>
          <w:sz w:val="44"/>
        </w:rPr>
      </w:pPr>
    </w:p>
    <w:p w14:paraId="419B4D71">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3600" w:firstLineChars="1500"/>
        <w:jc w:val="both"/>
        <w:textAlignment w:val="auto"/>
        <w:outlineLvl w:val="9"/>
        <w:rPr>
          <w:rFonts w:hint="default" w:ascii="华文仿宋" w:hAnsi="华文仿宋" w:eastAsia="华文仿宋" w:cs="华文仿宋"/>
          <w:sz w:val="24"/>
          <w:szCs w:val="24"/>
          <w:lang w:val="en-US" w:eastAsia="zh-CN"/>
        </w:rPr>
      </w:pPr>
      <w:r>
        <w:rPr>
          <w:rFonts w:hint="eastAsia" w:ascii="华文仿宋" w:hAnsi="华文仿宋" w:eastAsia="华文仿宋" w:cs="华文仿宋"/>
          <w:sz w:val="24"/>
          <w:szCs w:val="24"/>
          <w:lang w:val="en-US" w:eastAsia="zh-CN"/>
        </w:rPr>
        <w:t>项目编码：2606-140322-89-01-827902</w:t>
      </w:r>
    </w:p>
    <w:p w14:paraId="2D1D998C">
      <w:pPr>
        <w:pStyle w:val="5"/>
        <w:ind w:left="0" w:leftChars="0" w:firstLine="0" w:firstLineChars="0"/>
        <w:rPr>
          <w:rFonts w:hint="eastAsia"/>
        </w:rPr>
      </w:pPr>
    </w:p>
    <w:p w14:paraId="033656BC">
      <w:pPr>
        <w:pStyle w:val="9"/>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b w:val="0"/>
          <w:bCs w:val="0"/>
          <w:i w:val="0"/>
          <w:caps w:val="0"/>
          <w:color w:val="000000"/>
          <w:spacing w:val="0"/>
          <w:sz w:val="32"/>
          <w:szCs w:val="32"/>
          <w:lang w:val="en-US" w:eastAsia="zh-CN"/>
        </w:rPr>
        <w:t>盂县水利局</w:t>
      </w:r>
      <w:r>
        <w:rPr>
          <w:rFonts w:hint="eastAsia" w:ascii="华文仿宋" w:hAnsi="华文仿宋" w:eastAsia="华文仿宋" w:cs="华文仿宋"/>
          <w:sz w:val="32"/>
          <w:szCs w:val="32"/>
          <w:lang w:eastAsia="zh-CN"/>
        </w:rPr>
        <w:t>：</w:t>
      </w:r>
    </w:p>
    <w:p w14:paraId="1775C3C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val="en-US" w:eastAsia="zh-CN"/>
        </w:rPr>
        <w:t>你单位呈报的《关于审批〈盂县灯花水库除险加固工程可行性研究报告〉的申请》（盂水字〔2026〕124号</w:t>
      </w:r>
      <w:r>
        <w:rPr>
          <w:rFonts w:hint="eastAsia" w:ascii="华文仿宋" w:hAnsi="华文仿宋" w:eastAsia="华文仿宋" w:cs="华文仿宋"/>
          <w:sz w:val="32"/>
          <w:szCs w:val="32"/>
          <w:highlight w:val="none"/>
          <w:lang w:val="en-US" w:eastAsia="zh-CN"/>
        </w:rPr>
        <w:t>）</w:t>
      </w:r>
      <w:r>
        <w:rPr>
          <w:rFonts w:hint="eastAsia" w:ascii="华文仿宋" w:hAnsi="华文仿宋" w:eastAsia="华文仿宋" w:cs="华文仿宋"/>
          <w:sz w:val="32"/>
          <w:szCs w:val="32"/>
          <w:lang w:val="en-US" w:eastAsia="zh-CN"/>
        </w:rPr>
        <w:t>及相关材料已收悉。</w:t>
      </w:r>
      <w:r>
        <w:rPr>
          <w:rFonts w:hint="eastAsia" w:ascii="华文仿宋" w:hAnsi="华文仿宋" w:eastAsia="华文仿宋" w:cs="华文仿宋"/>
          <w:sz w:val="32"/>
          <w:szCs w:val="32"/>
          <w:highlight w:val="none"/>
          <w:lang w:val="en-US" w:eastAsia="zh-CN"/>
        </w:rPr>
        <w:t>灯花水库鉴定为三类坝，带病运行存在安全隐患，通过水库除险加固工程，使水库满足防洪要求，水库枢纽各建筑物达到安全运行标准。根据</w:t>
      </w:r>
      <w:r>
        <w:rPr>
          <w:rFonts w:hint="eastAsia" w:ascii="华文仿宋" w:hAnsi="华文仿宋" w:eastAsia="华文仿宋" w:cs="华文仿宋"/>
          <w:sz w:val="32"/>
          <w:szCs w:val="32"/>
          <w:lang w:val="en-US" w:eastAsia="zh-CN"/>
        </w:rPr>
        <w:t>盂县人民政府第108次常务会议要求</w:t>
      </w:r>
      <w:r>
        <w:rPr>
          <w:rFonts w:hint="eastAsia" w:ascii="华文仿宋" w:hAnsi="华文仿宋" w:eastAsia="华文仿宋" w:cs="华文仿宋"/>
          <w:color w:val="auto"/>
          <w:sz w:val="32"/>
          <w:szCs w:val="32"/>
          <w:lang w:val="en-US" w:eastAsia="zh-CN"/>
        </w:rPr>
        <w:t>，</w:t>
      </w:r>
      <w:r>
        <w:rPr>
          <w:rFonts w:hint="eastAsia" w:ascii="华文仿宋" w:hAnsi="华文仿宋" w:eastAsia="华文仿宋" w:cs="华文仿宋"/>
          <w:spacing w:val="0"/>
          <w:position w:val="0"/>
          <w:sz w:val="32"/>
          <w:szCs w:val="32"/>
          <w:lang w:val="en-US" w:eastAsia="zh-CN"/>
        </w:rPr>
        <w:t>经我局</w:t>
      </w:r>
      <w:r>
        <w:rPr>
          <w:rFonts w:hint="eastAsia" w:ascii="华文仿宋" w:hAnsi="华文仿宋" w:eastAsia="华文仿宋" w:cs="华文仿宋"/>
          <w:sz w:val="32"/>
          <w:szCs w:val="32"/>
          <w:lang w:val="en-US" w:eastAsia="zh-CN"/>
        </w:rPr>
        <w:t>审查并结合专家评审意见，经研究，</w:t>
      </w:r>
      <w:r>
        <w:rPr>
          <w:rFonts w:hint="eastAsia" w:ascii="华文仿宋" w:hAnsi="华文仿宋" w:eastAsia="华文仿宋" w:cs="华文仿宋"/>
          <w:color w:val="auto"/>
          <w:sz w:val="32"/>
          <w:szCs w:val="32"/>
          <w:lang w:val="en-US" w:eastAsia="zh-CN"/>
        </w:rPr>
        <w:t>原则同意该项目建设。现将该项目可行性研究报告（代项目建议书）批复如下：</w:t>
      </w:r>
    </w:p>
    <w:p w14:paraId="4B274419">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eastAsia="zh-CN"/>
        </w:rPr>
        <w:t>项目名称：</w:t>
      </w:r>
      <w:r>
        <w:rPr>
          <w:rFonts w:hint="eastAsia" w:ascii="华文仿宋" w:hAnsi="华文仿宋" w:eastAsia="华文仿宋" w:cs="华文仿宋"/>
          <w:sz w:val="32"/>
          <w:szCs w:val="32"/>
          <w:lang w:val="en-US" w:eastAsia="zh-CN"/>
        </w:rPr>
        <w:t>盂县灯花水库除险加固工程</w:t>
      </w:r>
    </w:p>
    <w:p w14:paraId="5BA9A14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华文仿宋" w:hAnsi="华文仿宋" w:eastAsia="华文仿宋" w:cs="华文仿宋"/>
          <w:spacing w:val="0"/>
          <w:position w:val="0"/>
          <w:sz w:val="32"/>
          <w:szCs w:val="32"/>
          <w:lang w:val="en-US" w:eastAsia="zh-CN"/>
        </w:rPr>
      </w:pPr>
      <w:r>
        <w:rPr>
          <w:rFonts w:hint="eastAsia" w:ascii="华文仿宋" w:hAnsi="华文仿宋" w:eastAsia="华文仿宋" w:cs="华文仿宋"/>
          <w:sz w:val="32"/>
          <w:szCs w:val="32"/>
          <w:lang w:val="en-US" w:eastAsia="zh-CN"/>
        </w:rPr>
        <w:t>二、建设地址：</w:t>
      </w:r>
      <w:r>
        <w:rPr>
          <w:rFonts w:hint="eastAsia" w:ascii="仿宋_GB2312" w:hAnsi="仿宋_GB2312" w:eastAsia="仿宋_GB2312" w:cs="仿宋_GB2312"/>
          <w:b w:val="0"/>
          <w:bCs w:val="0"/>
          <w:sz w:val="32"/>
          <w:szCs w:val="40"/>
          <w:lang w:val="en-US" w:eastAsia="zh-CN"/>
        </w:rPr>
        <w:t>盂县梁家寨乡灯花村</w:t>
      </w:r>
    </w:p>
    <w:p w14:paraId="11F7E7A4">
      <w:pPr>
        <w:pStyle w:val="22"/>
        <w:keepNext w:val="0"/>
        <w:keepLines w:val="0"/>
        <w:pageBreakBefore w:val="0"/>
        <w:widowControl w:val="0"/>
        <w:numPr>
          <w:ilvl w:val="0"/>
          <w:numId w:val="0"/>
        </w:numPr>
        <w:kinsoku/>
        <w:wordWrap/>
        <w:overflowPunct/>
        <w:topLinePunct w:val="0"/>
        <w:bidi w:val="0"/>
        <w:adjustRightInd/>
        <w:snapToGrid/>
        <w:spacing w:line="540" w:lineRule="exact"/>
        <w:ind w:firstLine="640" w:firstLineChars="200"/>
        <w:jc w:val="both"/>
        <w:textAlignment w:val="auto"/>
        <w:rPr>
          <w:rFonts w:hint="eastAsia" w:ascii="华文仿宋" w:hAnsi="华文仿宋" w:eastAsia="华文仿宋" w:cs="华文仿宋"/>
          <w:color w:val="000000"/>
          <w:kern w:val="0"/>
          <w:sz w:val="32"/>
          <w:szCs w:val="32"/>
          <w:lang w:val="en-US" w:eastAsia="zh-CN" w:bidi="ar"/>
        </w:rPr>
      </w:pPr>
      <w:r>
        <w:rPr>
          <w:rFonts w:hint="eastAsia" w:ascii="华文仿宋" w:hAnsi="华文仿宋" w:eastAsia="华文仿宋" w:cs="华文仿宋"/>
          <w:sz w:val="32"/>
          <w:szCs w:val="32"/>
          <w:lang w:val="en-US" w:eastAsia="zh-CN"/>
        </w:rPr>
        <w:t>三、项目投资及资金来源：本项目总投资</w:t>
      </w:r>
      <w:r>
        <w:rPr>
          <w:rFonts w:hint="default" w:ascii="华文仿宋" w:hAnsi="华文仿宋" w:eastAsia="华文仿宋" w:cs="华文仿宋"/>
          <w:sz w:val="32"/>
          <w:szCs w:val="32"/>
          <w:lang w:val="en" w:eastAsia="zh-CN"/>
        </w:rPr>
        <w:t>206.76</w:t>
      </w:r>
      <w:r>
        <w:rPr>
          <w:rFonts w:hint="eastAsia" w:ascii="华文仿宋" w:hAnsi="华文仿宋" w:eastAsia="华文仿宋" w:cs="华文仿宋"/>
          <w:sz w:val="32"/>
          <w:szCs w:val="32"/>
          <w:lang w:val="en-US" w:eastAsia="zh-CN"/>
        </w:rPr>
        <w:t>万元，其中：建安工程费143.21万元，独立费用37.48万元，预备费18.07万元，静态投资环保水保8.00万元。资金来源为：中央资金140万元，省级资金33.38万元，县级配套资金33.38万元</w:t>
      </w:r>
      <w:r>
        <w:rPr>
          <w:rFonts w:hint="eastAsia" w:ascii="华文仿宋" w:hAnsi="华文仿宋" w:eastAsia="华文仿宋" w:cs="华文仿宋"/>
          <w:color w:val="000000"/>
          <w:kern w:val="0"/>
          <w:sz w:val="32"/>
          <w:szCs w:val="32"/>
          <w:lang w:val="en-US" w:eastAsia="zh-CN" w:bidi="ar"/>
        </w:rPr>
        <w:t>。</w:t>
      </w:r>
    </w:p>
    <w:p w14:paraId="3054E7B8">
      <w:pPr>
        <w:pStyle w:val="22"/>
        <w:keepNext w:val="0"/>
        <w:keepLines w:val="0"/>
        <w:pageBreakBefore w:val="0"/>
        <w:widowControl w:val="0"/>
        <w:numPr>
          <w:ilvl w:val="0"/>
          <w:numId w:val="0"/>
        </w:numPr>
        <w:kinsoku/>
        <w:wordWrap/>
        <w:overflowPunct/>
        <w:topLinePunct w:val="0"/>
        <w:bidi w:val="0"/>
        <w:adjustRightInd/>
        <w:snapToGrid/>
        <w:spacing w:line="540" w:lineRule="exact"/>
        <w:ind w:firstLine="640" w:firstLineChars="200"/>
        <w:jc w:val="both"/>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四、建设规模及内容</w:t>
      </w:r>
      <w:r>
        <w:rPr>
          <w:rFonts w:hint="eastAsia" w:ascii="华文仿宋" w:hAnsi="华文仿宋" w:eastAsia="华文仿宋" w:cs="华文仿宋"/>
          <w:sz w:val="32"/>
          <w:szCs w:val="32"/>
          <w:lang w:eastAsia="zh-CN"/>
        </w:rPr>
        <w:t>：灯花水库原库容</w:t>
      </w:r>
      <w:r>
        <w:rPr>
          <w:rFonts w:hint="eastAsia" w:ascii="华文仿宋" w:hAnsi="华文仿宋" w:eastAsia="华文仿宋" w:cs="华文仿宋"/>
          <w:sz w:val="32"/>
          <w:szCs w:val="32"/>
          <w:lang w:val="en-US" w:eastAsia="zh-CN"/>
        </w:rPr>
        <w:t>13万m³，本次除险加固库容为15.9万m³，灯花水库属于小（2）型水库，工程等级V等，主要建筑物级别为5级，设计洪水标准为20年，校核洪水标准为100年。主要建设内容为：</w:t>
      </w:r>
      <w:r>
        <w:rPr>
          <w:rFonts w:hint="eastAsia" w:ascii="华文仿宋" w:hAnsi="华文仿宋" w:eastAsia="华文仿宋" w:cs="华文仿宋"/>
          <w:sz w:val="32"/>
          <w:szCs w:val="32"/>
          <w:lang w:eastAsia="zh-CN"/>
        </w:rPr>
        <w:t>（一）大坝加固改造设计，坝顶加高10cm，坝顶高程变为569</w:t>
      </w:r>
      <w:r>
        <w:rPr>
          <w:rFonts w:hint="eastAsia" w:ascii="华文仿宋" w:hAnsi="华文仿宋" w:eastAsia="华文仿宋" w:cs="华文仿宋"/>
          <w:sz w:val="32"/>
          <w:szCs w:val="32"/>
          <w:lang w:val="en-US" w:eastAsia="zh-CN"/>
        </w:rPr>
        <w:t>.</w:t>
      </w:r>
      <w:r>
        <w:rPr>
          <w:rFonts w:hint="eastAsia" w:ascii="华文仿宋" w:hAnsi="华文仿宋" w:eastAsia="华文仿宋" w:cs="华文仿宋"/>
          <w:sz w:val="32"/>
          <w:szCs w:val="32"/>
          <w:lang w:eastAsia="zh-CN"/>
        </w:rPr>
        <w:t>30m，坝前迎水面混凝土加固，后坝坡勾缝剥落部分重新砌筑。（二）溢洪道泄槽段新建钢筋混凝土右边墙，挑坎后防冲底板修复。（三）更换冲沙泄洪洞闸门、门槽及启闭机，新建启闭机房、增设备用电源，修复出口消力池。（四）更换放水涵管出口控制阀门、拆除重建检修阀井，排水渠两侧挡墙损坏部分拆除重建。</w:t>
      </w:r>
    </w:p>
    <w:p w14:paraId="1338A87E">
      <w:pPr>
        <w:pStyle w:val="22"/>
        <w:keepNext w:val="0"/>
        <w:keepLines w:val="0"/>
        <w:pageBreakBefore w:val="0"/>
        <w:widowControl w:val="0"/>
        <w:numPr>
          <w:ilvl w:val="0"/>
          <w:numId w:val="0"/>
        </w:numPr>
        <w:kinsoku/>
        <w:wordWrap/>
        <w:overflowPunct/>
        <w:topLinePunct w:val="0"/>
        <w:bidi w:val="0"/>
        <w:adjustRightInd/>
        <w:snapToGrid/>
        <w:spacing w:line="540" w:lineRule="exact"/>
        <w:ind w:firstLine="640" w:firstLineChars="200"/>
        <w:jc w:val="both"/>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五、建设期限：8个月</w:t>
      </w:r>
    </w:p>
    <w:p w14:paraId="3D28EA1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华文仿宋" w:hAnsi="华文仿宋" w:eastAsia="华文仿宋" w:cs="华文仿宋"/>
          <w:color w:val="000000" w:themeColor="text1"/>
          <w:sz w:val="32"/>
          <w:szCs w:val="32"/>
          <w:lang w:val="en-US" w:eastAsia="zh-CN"/>
          <w14:textFill>
            <w14:solidFill>
              <w14:schemeClr w14:val="tx1"/>
            </w14:solidFill>
          </w14:textFill>
        </w:rPr>
      </w:pPr>
      <w:r>
        <w:rPr>
          <w:rFonts w:hint="eastAsia" w:ascii="华文仿宋" w:hAnsi="华文仿宋" w:eastAsia="华文仿宋" w:cs="华文仿宋"/>
          <w:color w:val="000000" w:themeColor="text1"/>
          <w:sz w:val="32"/>
          <w:szCs w:val="32"/>
          <w:lang w:val="en-US" w:eastAsia="zh-CN"/>
          <w14:textFill>
            <w14:solidFill>
              <w14:schemeClr w14:val="tx1"/>
            </w14:solidFill>
          </w14:textFill>
        </w:rPr>
        <w:t>六、如需对本工程可行性研究报告（代项目建议书）批复文件所规定的有关内容进行调整，请及时以书面形式向我局报告，并按有关规定办理。</w:t>
      </w:r>
    </w:p>
    <w:p w14:paraId="7CC68BE1">
      <w:pPr>
        <w:pStyle w:val="22"/>
        <w:keepNext w:val="0"/>
        <w:keepLines w:val="0"/>
        <w:pageBreakBefore w:val="0"/>
        <w:widowControl w:val="0"/>
        <w:kinsoku/>
        <w:wordWrap/>
        <w:overflowPunct/>
        <w:topLinePunct w:val="0"/>
        <w:bidi w:val="0"/>
        <w:adjustRightInd/>
        <w:snapToGrid/>
        <w:spacing w:line="54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七、请严格按照我局核准的招标方案组织实施。</w:t>
      </w:r>
      <w:r>
        <w:rPr>
          <w:rFonts w:hint="eastAsia" w:ascii="华文仿宋" w:hAnsi="华文仿宋" w:eastAsia="华文仿宋" w:cs="华文仿宋"/>
          <w:sz w:val="32"/>
          <w:szCs w:val="32"/>
          <w:highlight w:val="none"/>
          <w:lang w:val="en-US" w:eastAsia="zh-CN"/>
        </w:rPr>
        <w:t>项目建设单位（招标人）应当通过各级公共资源交易平台或各电子招标投标交易平台（系统）发布招标计划，并同步推送至山西省招标投标公共服务平台和山西省公共资源交易平台。依法必须进行招标的工程建设项目要全部发布招标计划。</w:t>
      </w:r>
      <w:r>
        <w:rPr>
          <w:rFonts w:hint="eastAsia" w:ascii="仿宋" w:hAnsi="仿宋" w:eastAsia="仿宋" w:cs="仿宋"/>
          <w:color w:val="000000" w:themeColor="text1"/>
          <w:sz w:val="32"/>
          <w:szCs w:val="32"/>
          <w:lang w:val="en-US" w:eastAsia="zh-CN"/>
          <w14:textFill>
            <w14:solidFill>
              <w14:schemeClr w14:val="tx1"/>
            </w14:solidFill>
          </w14:textFill>
        </w:rPr>
        <w:t xml:space="preserve">   </w:t>
      </w:r>
    </w:p>
    <w:p w14:paraId="568E206A">
      <w:pPr>
        <w:pStyle w:val="2"/>
        <w:keepNext w:val="0"/>
        <w:keepLines w:val="0"/>
        <w:pageBreakBefore w:val="0"/>
        <w:widowControl w:val="0"/>
        <w:kinsoku/>
        <w:wordWrap/>
        <w:overflowPunct/>
        <w:topLinePunct w:val="0"/>
        <w:bidi w:val="0"/>
        <w:adjustRightInd/>
        <w:snapToGrid/>
        <w:spacing w:line="540" w:lineRule="exact"/>
        <w:ind w:firstLine="640" w:firstLineChars="200"/>
        <w:textAlignment w:val="auto"/>
        <w:rPr>
          <w:rFonts w:hint="eastAsia" w:ascii="华文仿宋" w:hAnsi="华文仿宋" w:eastAsia="华文仿宋" w:cs="华文仿宋"/>
          <w:color w:val="000000" w:themeColor="text1"/>
          <w:kern w:val="2"/>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八</w:t>
      </w:r>
      <w:r>
        <w:rPr>
          <w:rFonts w:hint="eastAsia" w:ascii="华文仿宋" w:hAnsi="华文仿宋" w:eastAsia="华文仿宋" w:cs="华文仿宋"/>
          <w:color w:val="000000" w:themeColor="text1"/>
          <w:kern w:val="2"/>
          <w:sz w:val="32"/>
          <w:szCs w:val="32"/>
          <w:lang w:val="en-US" w:eastAsia="zh-CN"/>
          <w14:textFill>
            <w14:solidFill>
              <w14:schemeClr w14:val="tx1"/>
            </w14:solidFill>
          </w14:textFill>
        </w:rPr>
        <w:t>、你单位应当按照相关节能标准、规范建设，采用节能技术、工艺和设备，加强节能管理，不断提高项目能效水平。项目实施建设和运营期，将严格遵守国家相关节能法律法规政策，自觉配合相关检查、监察。</w:t>
      </w:r>
    </w:p>
    <w:p w14:paraId="3414625E">
      <w:pPr>
        <w:pStyle w:val="3"/>
        <w:keepNext w:val="0"/>
        <w:keepLines w:val="0"/>
        <w:pageBreakBefore w:val="0"/>
        <w:widowControl w:val="0"/>
        <w:kinsoku/>
        <w:wordWrap/>
        <w:overflowPunct/>
        <w:topLinePunct w:val="0"/>
        <w:bidi w:val="0"/>
        <w:adjustRightInd/>
        <w:snapToGrid/>
        <w:spacing w:line="540" w:lineRule="exact"/>
        <w:ind w:firstLine="640" w:firstLineChars="200"/>
        <w:textAlignment w:val="auto"/>
        <w:rPr>
          <w:rFonts w:hint="eastAsia"/>
          <w:lang w:val="en-US" w:eastAsia="zh-CN"/>
        </w:rPr>
      </w:pPr>
      <w:r>
        <w:rPr>
          <w:rFonts w:hint="eastAsia" w:ascii="华文仿宋" w:hAnsi="华文仿宋" w:eastAsia="华文仿宋" w:cs="华文仿宋"/>
          <w:b w:val="0"/>
          <w:bCs w:val="0"/>
          <w:sz w:val="32"/>
          <w:szCs w:val="32"/>
          <w:lang w:val="en-US" w:eastAsia="zh-CN"/>
        </w:rPr>
        <w:t>九、根据山西省人民政府办公厅《关于印发山西省基本建设用地考古前置管理规定的通知》和盂县人民政府办公室《关于进一步加强文物保护管理工作的实施意见》你单位在开工前，必须事先会同文物行政管理部门依法做好文物调查和勘探工作。</w:t>
      </w:r>
    </w:p>
    <w:p w14:paraId="469D940D">
      <w:pPr>
        <w:pStyle w:val="3"/>
        <w:keepNext w:val="0"/>
        <w:keepLines w:val="0"/>
        <w:pageBreakBefore w:val="0"/>
        <w:widowControl w:val="0"/>
        <w:kinsoku/>
        <w:wordWrap/>
        <w:overflowPunct/>
        <w:topLinePunct w:val="0"/>
        <w:bidi w:val="0"/>
        <w:adjustRightInd/>
        <w:snapToGrid/>
        <w:spacing w:line="540" w:lineRule="exact"/>
        <w:ind w:firstLine="640" w:firstLineChars="200"/>
        <w:textAlignment w:val="auto"/>
        <w:rPr>
          <w:rFonts w:hint="default"/>
          <w:lang w:val="en-US" w:eastAsia="zh-CN"/>
        </w:rPr>
      </w:pPr>
      <w:r>
        <w:rPr>
          <w:rFonts w:hint="eastAsia" w:ascii="华文仿宋" w:hAnsi="华文仿宋" w:eastAsia="华文仿宋" w:cs="华文仿宋"/>
          <w:b w:val="0"/>
          <w:bCs w:val="0"/>
          <w:sz w:val="32"/>
          <w:szCs w:val="32"/>
          <w:lang w:val="en-US" w:eastAsia="zh-CN"/>
        </w:rPr>
        <w:t>十、项目开工前，项目单位要依法依规取得相关报批手续，主要包括建设用地批复、环评、文物选址、文评、水保、取水许可、泉域水资源影响评价、社会稳定性评价、招标投标、工程规划、施工许可等与项目性质有关的事项。</w:t>
      </w:r>
    </w:p>
    <w:p w14:paraId="546685A5">
      <w:pPr>
        <w:pStyle w:val="2"/>
        <w:keepNext w:val="0"/>
        <w:keepLines w:val="0"/>
        <w:pageBreakBefore w:val="0"/>
        <w:widowControl w:val="0"/>
        <w:kinsoku/>
        <w:wordWrap/>
        <w:overflowPunct/>
        <w:topLinePunct w:val="0"/>
        <w:bidi w:val="0"/>
        <w:adjustRightInd/>
        <w:snapToGrid/>
        <w:spacing w:line="540" w:lineRule="exact"/>
        <w:ind w:firstLine="640" w:firstLineChars="200"/>
        <w:textAlignment w:val="auto"/>
        <w:rPr>
          <w:rFonts w:hint="eastAsia" w:ascii="华文仿宋" w:hAnsi="华文仿宋" w:eastAsia="华文仿宋" w:cs="华文仿宋"/>
          <w:lang w:val="en-US" w:eastAsia="zh-CN"/>
        </w:rPr>
      </w:pPr>
      <w:r>
        <w:rPr>
          <w:rFonts w:hint="eastAsia" w:ascii="华文仿宋" w:hAnsi="华文仿宋" w:eastAsia="华文仿宋" w:cs="华文仿宋"/>
          <w:color w:val="000000" w:themeColor="text1"/>
          <w:sz w:val="32"/>
          <w:szCs w:val="32"/>
          <w:lang w:eastAsia="zh-CN"/>
          <w14:textFill>
            <w14:solidFill>
              <w14:schemeClr w14:val="tx1"/>
            </w14:solidFill>
          </w14:textFill>
        </w:rPr>
        <w:t>十一、按照《政府投资条例》（国务院令第712号）规定，你单位应通过山西省投资项目在线审批监管平台如实报送项目开工建设、建设进度、竣工的基本信息等。</w:t>
      </w:r>
    </w:p>
    <w:p w14:paraId="61675344">
      <w:pPr>
        <w:pStyle w:val="22"/>
        <w:keepNext w:val="0"/>
        <w:keepLines w:val="0"/>
        <w:pageBreakBefore w:val="0"/>
        <w:widowControl w:val="0"/>
        <w:kinsoku/>
        <w:wordWrap/>
        <w:overflowPunct/>
        <w:topLinePunct w:val="0"/>
        <w:bidi w:val="0"/>
        <w:adjustRightInd/>
        <w:snapToGrid/>
        <w:spacing w:line="54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专此批复 </w:t>
      </w:r>
    </w:p>
    <w:p w14:paraId="6BFE7B09">
      <w:pPr>
        <w:pStyle w:val="22"/>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p>
    <w:p w14:paraId="5EBED9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eastAsia" w:ascii="华文仿宋" w:hAnsi="华文仿宋" w:eastAsia="华文仿宋" w:cs="华文仿宋"/>
          <w:color w:val="000000" w:themeColor="text1"/>
          <w:sz w:val="32"/>
          <w:szCs w:val="32"/>
          <w:lang w:val="en-US" w:eastAsia="zh-CN"/>
          <w14:textFill>
            <w14:solidFill>
              <w14:schemeClr w14:val="tx1"/>
            </w14:solidFill>
          </w14:textFill>
        </w:rPr>
      </w:pPr>
      <w:r>
        <w:rPr>
          <w:rFonts w:hint="eastAsia" w:ascii="华文仿宋" w:hAnsi="华文仿宋" w:eastAsia="华文仿宋" w:cs="华文仿宋"/>
          <w:color w:val="000000" w:themeColor="text1"/>
          <w:sz w:val="32"/>
          <w:szCs w:val="32"/>
          <w:lang w:val="en-US" w:eastAsia="zh-CN"/>
          <w14:textFill>
            <w14:solidFill>
              <w14:schemeClr w14:val="tx1"/>
            </w14:solidFill>
          </w14:textFill>
        </w:rPr>
        <w:t>附件：盂县建设项目招标方案和不招标申请核准表</w:t>
      </w:r>
    </w:p>
    <w:p w14:paraId="4A528FEA">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9"/>
        <w:rPr>
          <w:rFonts w:hint="eastAsia"/>
          <w:lang w:val="en-US" w:eastAsia="zh-CN"/>
        </w:rPr>
      </w:pPr>
      <w:r>
        <w:rPr>
          <w:rFonts w:hint="eastAsia" w:ascii="华文仿宋" w:hAnsi="华文仿宋" w:eastAsia="华文仿宋" w:cs="华文仿宋"/>
          <w:sz w:val="32"/>
          <w:szCs w:val="32"/>
          <w:lang w:val="en-US" w:eastAsia="zh-CN"/>
        </w:rPr>
        <w:t xml:space="preserve">     </w:t>
      </w:r>
    </w:p>
    <w:p w14:paraId="6DC26E30">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5440" w:firstLineChars="17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盂县发展和改革局</w:t>
      </w:r>
    </w:p>
    <w:p w14:paraId="7C0347EB">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                                   2026年7月30日</w:t>
      </w:r>
    </w:p>
    <w:p w14:paraId="1AF280DA">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32"/>
          <w:szCs w:val="32"/>
          <w:lang w:val="en-US" w:eastAsia="zh-CN"/>
        </w:rPr>
      </w:pPr>
    </w:p>
    <w:p w14:paraId="5B96CA00">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32"/>
          <w:szCs w:val="32"/>
          <w:lang w:val="en-US" w:eastAsia="zh-CN"/>
        </w:rPr>
      </w:pPr>
    </w:p>
    <w:p w14:paraId="6E2CB7CD">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FDA7C2A">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005152B4">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7F86AA4">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BE4F555">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6BB2DC3">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3642BC0">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4FECF77">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EBE0495">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5"/>
          <w:szCs w:val="15"/>
          <w:lang w:val="en-US" w:eastAsia="zh-CN"/>
        </w:rPr>
      </w:pPr>
    </w:p>
    <w:p w14:paraId="6A4460E9">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51BB802">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A10BC89">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E7C8804">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E8639F5">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AA6E35C">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C4B1609">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38CF7E4">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8375A14">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6CDE691">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C0E1D0E">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494A388">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8F1CCC1">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4E25EED">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76E649E0">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bookmarkStart w:id="0" w:name="_GoBack"/>
      <w:bookmarkEnd w:id="0"/>
    </w:p>
    <w:p w14:paraId="38187FA8">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E6947CF">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snapToGrid/>
        <w:spacing w:line="440" w:lineRule="exact"/>
        <w:ind w:firstLine="320" w:firstLineChars="100"/>
        <w:textAlignment w:val="auto"/>
        <w:rPr>
          <w:rFonts w:hint="eastAsia" w:ascii="华文中宋" w:hAnsi="华文中宋" w:eastAsia="华文中宋"/>
          <w:bCs/>
          <w:sz w:val="36"/>
        </w:rPr>
      </w:pPr>
      <w:r>
        <w:rPr>
          <w:rFonts w:hint="eastAsia" w:ascii="华文仿宋" w:hAnsi="华文仿宋" w:eastAsia="华文仿宋" w:cs="华文仿宋"/>
          <w:b w:val="0"/>
          <w:bCs/>
          <w:sz w:val="32"/>
          <w:szCs w:val="32"/>
          <w:lang w:val="en-US" w:eastAsia="zh-CN"/>
        </w:rPr>
        <w:t>盂县发展和改革局              2026年7月30日印发</w:t>
      </w:r>
    </w:p>
    <w:p w14:paraId="52BEA231">
      <w:pPr>
        <w:pStyle w:val="10"/>
        <w:rPr>
          <w:rFonts w:hint="eastAsia"/>
          <w:lang w:eastAsia="zh-CN"/>
        </w:rPr>
      </w:pPr>
    </w:p>
    <w:p w14:paraId="2B9A19A8">
      <w:pPr>
        <w:pStyle w:val="10"/>
        <w:rPr>
          <w:rFonts w:hint="eastAsia"/>
          <w:lang w:eastAsia="zh-CN"/>
        </w:rPr>
      </w:pPr>
    </w:p>
    <w:p w14:paraId="6E83595C">
      <w:pPr>
        <w:jc w:val="center"/>
        <w:rPr>
          <w:rFonts w:ascii="华文中宋" w:hAnsi="华文中宋" w:eastAsia="华文中宋"/>
          <w:bCs/>
          <w:sz w:val="36"/>
        </w:rPr>
      </w:pPr>
      <w:r>
        <w:rPr>
          <w:rFonts w:hint="eastAsia" w:ascii="华文中宋" w:hAnsi="华文中宋" w:eastAsia="华文中宋"/>
          <w:bCs/>
          <w:sz w:val="36"/>
          <w:lang w:eastAsia="zh-CN"/>
        </w:rPr>
        <w:t>盂县</w:t>
      </w:r>
      <w:r>
        <w:rPr>
          <w:rFonts w:hint="eastAsia" w:ascii="华文中宋" w:hAnsi="华文中宋" w:eastAsia="华文中宋"/>
          <w:bCs/>
          <w:sz w:val="36"/>
        </w:rPr>
        <w:t>建设项目招标方案和不招标申请核准表</w:t>
      </w:r>
    </w:p>
    <w:p w14:paraId="06682A60">
      <w:pPr>
        <w:jc w:val="left"/>
        <w:rPr>
          <w:rFonts w:hint="default" w:asciiTheme="minorEastAsia" w:hAnsiTheme="minorEastAsia" w:eastAsiaTheme="minorEastAsia" w:cstheme="minorEastAsia"/>
          <w:lang w:val="en-US" w:eastAsia="zh-CN"/>
        </w:rPr>
      </w:pPr>
      <w:r>
        <w:rPr>
          <w:rFonts w:hint="eastAsia"/>
        </w:rPr>
        <w:t xml:space="preserve">                                                           </w:t>
      </w:r>
      <w:r>
        <w:rPr>
          <w:rFonts w:hint="eastAsia" w:asciiTheme="minorEastAsia" w:hAnsiTheme="minorEastAsia" w:eastAsiaTheme="minorEastAsia" w:cstheme="minorEastAsia"/>
          <w:lang w:val="en-US" w:eastAsia="zh-CN"/>
        </w:rPr>
        <w:t xml:space="preserve">  核准号：2026-015</w:t>
      </w:r>
    </w:p>
    <w:tbl>
      <w:tblPr>
        <w:tblStyle w:val="15"/>
        <w:tblW w:w="9315" w:type="dxa"/>
        <w:tblInd w:w="-2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3"/>
        <w:gridCol w:w="1312"/>
        <w:gridCol w:w="1065"/>
        <w:gridCol w:w="263"/>
        <w:gridCol w:w="960"/>
        <w:gridCol w:w="1087"/>
        <w:gridCol w:w="1155"/>
        <w:gridCol w:w="1125"/>
        <w:gridCol w:w="1065"/>
      </w:tblGrid>
      <w:tr w14:paraId="6A5D3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1283" w:type="dxa"/>
            <w:tcBorders>
              <w:top w:val="single" w:color="auto" w:sz="12" w:space="0"/>
              <w:left w:val="single" w:color="auto" w:sz="12" w:space="0"/>
            </w:tcBorders>
            <w:noWrap w:val="0"/>
            <w:vAlign w:val="center"/>
          </w:tcPr>
          <w:p w14:paraId="67FB74BD">
            <w:pPr>
              <w:spacing w:line="340" w:lineRule="exact"/>
              <w:jc w:val="center"/>
              <w:rPr>
                <w:rFonts w:hint="eastAsia" w:ascii="仿宋_GB2312"/>
              </w:rPr>
            </w:pPr>
            <w:r>
              <w:rPr>
                <w:rFonts w:hint="eastAsia" w:ascii="仿宋_GB2312"/>
              </w:rPr>
              <w:t>项目名称</w:t>
            </w:r>
          </w:p>
        </w:tc>
        <w:tc>
          <w:tcPr>
            <w:tcW w:w="3600" w:type="dxa"/>
            <w:gridSpan w:val="4"/>
            <w:tcBorders>
              <w:top w:val="single" w:color="auto" w:sz="12" w:space="0"/>
              <w:right w:val="single" w:color="auto" w:sz="4" w:space="0"/>
            </w:tcBorders>
            <w:noWrap w:val="0"/>
            <w:vAlign w:val="center"/>
          </w:tcPr>
          <w:p w14:paraId="521C4166">
            <w:pPr>
              <w:keepNext w:val="0"/>
              <w:keepLines w:val="0"/>
              <w:widowControl/>
              <w:suppressLineNumbers w:val="0"/>
              <w:ind w:firstLine="420" w:firstLineChars="200"/>
              <w:jc w:val="left"/>
              <w:rPr>
                <w:rFonts w:hint="eastAsia" w:ascii="华文仿宋" w:hAnsi="华文仿宋" w:eastAsia="华文仿宋" w:cs="华文仿宋"/>
                <w:lang w:val="en-US" w:eastAsia="zh-CN"/>
              </w:rPr>
            </w:pPr>
            <w:r>
              <w:rPr>
                <w:rFonts w:hint="eastAsia" w:ascii="仿宋_GB2312" w:eastAsia="宋体"/>
                <w:lang w:val="en-US" w:eastAsia="zh-CN"/>
              </w:rPr>
              <w:t>盂县灯花水库除险加固工程</w:t>
            </w:r>
          </w:p>
        </w:tc>
        <w:tc>
          <w:tcPr>
            <w:tcW w:w="1087" w:type="dxa"/>
            <w:tcBorders>
              <w:top w:val="single" w:color="auto" w:sz="12" w:space="0"/>
              <w:right w:val="single" w:color="auto" w:sz="4" w:space="0"/>
            </w:tcBorders>
            <w:noWrap w:val="0"/>
            <w:vAlign w:val="center"/>
          </w:tcPr>
          <w:p w14:paraId="1B507A4F">
            <w:pPr>
              <w:spacing w:line="340" w:lineRule="exact"/>
              <w:jc w:val="center"/>
              <w:rPr>
                <w:rFonts w:hint="eastAsia" w:ascii="仿宋_GB2312"/>
                <w:lang w:val="en-US" w:eastAsia="zh-CN"/>
              </w:rPr>
            </w:pPr>
            <w:r>
              <w:rPr>
                <w:rFonts w:hint="eastAsia" w:ascii="仿宋_GB2312"/>
                <w:lang w:val="en-US" w:eastAsia="zh-CN"/>
              </w:rPr>
              <w:t>建设单位</w:t>
            </w:r>
          </w:p>
        </w:tc>
        <w:tc>
          <w:tcPr>
            <w:tcW w:w="3345" w:type="dxa"/>
            <w:gridSpan w:val="3"/>
            <w:tcBorders>
              <w:top w:val="single" w:color="auto" w:sz="12" w:space="0"/>
              <w:right w:val="single" w:color="auto" w:sz="12" w:space="0"/>
            </w:tcBorders>
            <w:noWrap w:val="0"/>
            <w:vAlign w:val="center"/>
          </w:tcPr>
          <w:p w14:paraId="6D3057D4">
            <w:pPr>
              <w:spacing w:line="340" w:lineRule="exact"/>
              <w:ind w:firstLine="840" w:firstLineChars="400"/>
              <w:jc w:val="both"/>
              <w:rPr>
                <w:rFonts w:hint="eastAsia" w:ascii="仿宋_GB2312"/>
                <w:lang w:val="en-US" w:eastAsia="zh-CN"/>
              </w:rPr>
            </w:pPr>
            <w:r>
              <w:rPr>
                <w:rFonts w:hint="eastAsia" w:ascii="仿宋_GB2312"/>
                <w:lang w:val="en-US" w:eastAsia="zh-CN"/>
              </w:rPr>
              <w:t>盂县水利局</w:t>
            </w:r>
          </w:p>
        </w:tc>
      </w:tr>
      <w:tr w14:paraId="621CE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1283" w:type="dxa"/>
            <w:vMerge w:val="restart"/>
            <w:tcBorders>
              <w:top w:val="single" w:color="auto" w:sz="8" w:space="0"/>
              <w:left w:val="single" w:color="auto" w:sz="12" w:space="0"/>
            </w:tcBorders>
            <w:noWrap w:val="0"/>
            <w:vAlign w:val="center"/>
          </w:tcPr>
          <w:p w14:paraId="596FC273">
            <w:pPr>
              <w:spacing w:line="340" w:lineRule="exact"/>
              <w:jc w:val="center"/>
              <w:rPr>
                <w:rFonts w:ascii="仿宋_GB2312"/>
              </w:rPr>
            </w:pPr>
          </w:p>
        </w:tc>
        <w:tc>
          <w:tcPr>
            <w:tcW w:w="2377" w:type="dxa"/>
            <w:gridSpan w:val="2"/>
            <w:tcBorders>
              <w:top w:val="single" w:color="auto" w:sz="8" w:space="0"/>
            </w:tcBorders>
            <w:noWrap w:val="0"/>
            <w:vAlign w:val="center"/>
          </w:tcPr>
          <w:p w14:paraId="2C892620">
            <w:pPr>
              <w:spacing w:line="340" w:lineRule="exact"/>
              <w:jc w:val="center"/>
              <w:rPr>
                <w:rFonts w:ascii="仿宋_GB2312"/>
              </w:rPr>
            </w:pPr>
            <w:r>
              <w:rPr>
                <w:rFonts w:hint="eastAsia" w:ascii="仿宋_GB2312"/>
              </w:rPr>
              <w:t>招标范围</w:t>
            </w:r>
          </w:p>
        </w:tc>
        <w:tc>
          <w:tcPr>
            <w:tcW w:w="2310" w:type="dxa"/>
            <w:gridSpan w:val="3"/>
            <w:tcBorders>
              <w:top w:val="single" w:color="auto" w:sz="8" w:space="0"/>
            </w:tcBorders>
            <w:noWrap w:val="0"/>
            <w:vAlign w:val="center"/>
          </w:tcPr>
          <w:p w14:paraId="52541186">
            <w:pPr>
              <w:spacing w:line="340" w:lineRule="exact"/>
              <w:jc w:val="center"/>
              <w:rPr>
                <w:rFonts w:ascii="仿宋_GB2312"/>
              </w:rPr>
            </w:pPr>
            <w:r>
              <w:rPr>
                <w:rFonts w:hint="eastAsia" w:ascii="仿宋_GB2312"/>
              </w:rPr>
              <w:t>招标组织形式</w:t>
            </w:r>
          </w:p>
        </w:tc>
        <w:tc>
          <w:tcPr>
            <w:tcW w:w="2280" w:type="dxa"/>
            <w:gridSpan w:val="2"/>
            <w:tcBorders>
              <w:top w:val="single" w:color="auto" w:sz="8" w:space="0"/>
            </w:tcBorders>
            <w:noWrap w:val="0"/>
            <w:vAlign w:val="center"/>
          </w:tcPr>
          <w:p w14:paraId="6F2742C9">
            <w:pPr>
              <w:spacing w:line="340" w:lineRule="exact"/>
              <w:jc w:val="center"/>
              <w:rPr>
                <w:rFonts w:ascii="仿宋_GB2312"/>
              </w:rPr>
            </w:pPr>
            <w:r>
              <w:rPr>
                <w:rFonts w:hint="eastAsia" w:ascii="仿宋_GB2312"/>
              </w:rPr>
              <w:t>招标方式</w:t>
            </w:r>
          </w:p>
        </w:tc>
        <w:tc>
          <w:tcPr>
            <w:tcW w:w="1065" w:type="dxa"/>
            <w:tcBorders>
              <w:top w:val="single" w:color="auto" w:sz="8" w:space="0"/>
              <w:right w:val="single" w:color="auto" w:sz="12" w:space="0"/>
            </w:tcBorders>
            <w:noWrap w:val="0"/>
            <w:vAlign w:val="center"/>
          </w:tcPr>
          <w:p w14:paraId="744E2E15">
            <w:pPr>
              <w:spacing w:line="340" w:lineRule="exact"/>
              <w:jc w:val="center"/>
              <w:rPr>
                <w:rFonts w:ascii="仿宋_GB2312"/>
              </w:rPr>
            </w:pPr>
            <w:r>
              <w:rPr>
                <w:rFonts w:hint="eastAsia" w:ascii="仿宋_GB2312"/>
              </w:rPr>
              <w:t>不采用</w:t>
            </w:r>
          </w:p>
          <w:p w14:paraId="1FE3A9A6">
            <w:pPr>
              <w:widowControl/>
              <w:spacing w:line="340" w:lineRule="exact"/>
              <w:jc w:val="center"/>
              <w:rPr>
                <w:rFonts w:ascii="仿宋_GB2312"/>
              </w:rPr>
            </w:pPr>
            <w:r>
              <w:rPr>
                <w:rFonts w:hint="eastAsia" w:ascii="仿宋_GB2312"/>
              </w:rPr>
              <w:t>招标方式</w:t>
            </w:r>
          </w:p>
        </w:tc>
      </w:tr>
      <w:tr w14:paraId="3C7D0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1283" w:type="dxa"/>
            <w:vMerge w:val="continue"/>
            <w:tcBorders>
              <w:left w:val="single" w:color="auto" w:sz="12" w:space="0"/>
            </w:tcBorders>
            <w:noWrap w:val="0"/>
            <w:vAlign w:val="center"/>
          </w:tcPr>
          <w:p w14:paraId="6A86B7CE">
            <w:pPr>
              <w:spacing w:line="340" w:lineRule="exact"/>
              <w:jc w:val="center"/>
              <w:rPr>
                <w:rFonts w:ascii="仿宋_GB2312"/>
              </w:rPr>
            </w:pPr>
          </w:p>
        </w:tc>
        <w:tc>
          <w:tcPr>
            <w:tcW w:w="1312" w:type="dxa"/>
            <w:noWrap w:val="0"/>
            <w:vAlign w:val="center"/>
          </w:tcPr>
          <w:p w14:paraId="59527548">
            <w:pPr>
              <w:spacing w:line="340" w:lineRule="exact"/>
              <w:jc w:val="center"/>
              <w:rPr>
                <w:rFonts w:ascii="仿宋_GB2312"/>
              </w:rPr>
            </w:pPr>
            <w:r>
              <w:rPr>
                <w:rFonts w:hint="eastAsia" w:ascii="仿宋_GB2312"/>
              </w:rPr>
              <w:t>全部招标</w:t>
            </w:r>
          </w:p>
        </w:tc>
        <w:tc>
          <w:tcPr>
            <w:tcW w:w="1065" w:type="dxa"/>
            <w:noWrap w:val="0"/>
            <w:vAlign w:val="center"/>
          </w:tcPr>
          <w:p w14:paraId="3263C888">
            <w:pPr>
              <w:spacing w:line="340" w:lineRule="exact"/>
              <w:jc w:val="center"/>
              <w:rPr>
                <w:rFonts w:ascii="仿宋_GB2312"/>
              </w:rPr>
            </w:pPr>
            <w:r>
              <w:rPr>
                <w:rFonts w:hint="eastAsia" w:ascii="仿宋_GB2312"/>
              </w:rPr>
              <w:t>部分招标</w:t>
            </w:r>
          </w:p>
        </w:tc>
        <w:tc>
          <w:tcPr>
            <w:tcW w:w="1223" w:type="dxa"/>
            <w:gridSpan w:val="2"/>
            <w:noWrap w:val="0"/>
            <w:vAlign w:val="center"/>
          </w:tcPr>
          <w:p w14:paraId="3228782F">
            <w:pPr>
              <w:spacing w:line="340" w:lineRule="exact"/>
              <w:jc w:val="center"/>
              <w:rPr>
                <w:rFonts w:ascii="仿宋_GB2312"/>
              </w:rPr>
            </w:pPr>
            <w:r>
              <w:rPr>
                <w:rFonts w:hint="eastAsia" w:ascii="仿宋_GB2312"/>
              </w:rPr>
              <w:t>委托招标</w:t>
            </w:r>
          </w:p>
        </w:tc>
        <w:tc>
          <w:tcPr>
            <w:tcW w:w="1087" w:type="dxa"/>
            <w:noWrap w:val="0"/>
            <w:vAlign w:val="center"/>
          </w:tcPr>
          <w:p w14:paraId="54018552">
            <w:pPr>
              <w:spacing w:line="340" w:lineRule="exact"/>
              <w:jc w:val="center"/>
              <w:rPr>
                <w:rFonts w:ascii="仿宋_GB2312"/>
              </w:rPr>
            </w:pPr>
            <w:r>
              <w:rPr>
                <w:rFonts w:hint="eastAsia" w:ascii="仿宋_GB2312"/>
              </w:rPr>
              <w:t>自行招标</w:t>
            </w:r>
          </w:p>
        </w:tc>
        <w:tc>
          <w:tcPr>
            <w:tcW w:w="1155" w:type="dxa"/>
            <w:noWrap w:val="0"/>
            <w:vAlign w:val="center"/>
          </w:tcPr>
          <w:p w14:paraId="7CBAB1AA">
            <w:pPr>
              <w:spacing w:line="340" w:lineRule="exact"/>
              <w:jc w:val="center"/>
              <w:rPr>
                <w:rFonts w:ascii="仿宋_GB2312"/>
              </w:rPr>
            </w:pPr>
            <w:r>
              <w:rPr>
                <w:rFonts w:hint="eastAsia" w:ascii="仿宋_GB2312"/>
              </w:rPr>
              <w:t>公开招标</w:t>
            </w:r>
          </w:p>
        </w:tc>
        <w:tc>
          <w:tcPr>
            <w:tcW w:w="1125" w:type="dxa"/>
            <w:noWrap w:val="0"/>
            <w:vAlign w:val="center"/>
          </w:tcPr>
          <w:p w14:paraId="0AD1E6B5">
            <w:pPr>
              <w:spacing w:line="340" w:lineRule="exact"/>
              <w:jc w:val="center"/>
              <w:rPr>
                <w:rFonts w:ascii="仿宋_GB2312"/>
              </w:rPr>
            </w:pPr>
            <w:r>
              <w:rPr>
                <w:rFonts w:hint="eastAsia" w:ascii="仿宋_GB2312"/>
              </w:rPr>
              <w:t>邀请招标</w:t>
            </w:r>
          </w:p>
        </w:tc>
        <w:tc>
          <w:tcPr>
            <w:tcW w:w="1065" w:type="dxa"/>
            <w:tcBorders>
              <w:right w:val="single" w:color="auto" w:sz="12" w:space="0"/>
            </w:tcBorders>
            <w:noWrap w:val="0"/>
            <w:vAlign w:val="center"/>
          </w:tcPr>
          <w:p w14:paraId="2CC29837">
            <w:pPr>
              <w:spacing w:line="340" w:lineRule="exact"/>
              <w:jc w:val="center"/>
              <w:rPr>
                <w:rFonts w:ascii="仿宋_GB2312"/>
              </w:rPr>
            </w:pPr>
          </w:p>
        </w:tc>
      </w:tr>
      <w:tr w14:paraId="2B5C8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trPr>
        <w:tc>
          <w:tcPr>
            <w:tcW w:w="1283" w:type="dxa"/>
            <w:tcBorders>
              <w:left w:val="single" w:color="auto" w:sz="12" w:space="0"/>
            </w:tcBorders>
            <w:noWrap w:val="0"/>
            <w:vAlign w:val="center"/>
          </w:tcPr>
          <w:p w14:paraId="014121F9">
            <w:pPr>
              <w:spacing w:line="340" w:lineRule="exact"/>
              <w:jc w:val="center"/>
              <w:rPr>
                <w:rFonts w:hint="eastAsia" w:ascii="仿宋_GB2312"/>
                <w:lang w:val="en-US" w:eastAsia="zh-CN"/>
              </w:rPr>
            </w:pPr>
            <w:r>
              <w:rPr>
                <w:rFonts w:hint="eastAsia" w:ascii="仿宋_GB2312"/>
                <w:lang w:val="en-US" w:eastAsia="zh-CN"/>
              </w:rPr>
              <w:t>勘察</w:t>
            </w:r>
          </w:p>
        </w:tc>
        <w:tc>
          <w:tcPr>
            <w:tcW w:w="1312" w:type="dxa"/>
            <w:noWrap w:val="0"/>
            <w:vAlign w:val="center"/>
          </w:tcPr>
          <w:p w14:paraId="7A30D82C">
            <w:pPr>
              <w:jc w:val="center"/>
              <w:rPr>
                <w:rFonts w:hint="eastAsia" w:ascii="仿宋_GB2312"/>
                <w:lang w:val="en-US" w:eastAsia="zh-CN"/>
              </w:rPr>
            </w:pPr>
            <w:r>
              <w:rPr>
                <w:rFonts w:hint="eastAsia" w:ascii="仿宋_GB2312"/>
              </w:rPr>
              <w:t>――</w:t>
            </w:r>
          </w:p>
        </w:tc>
        <w:tc>
          <w:tcPr>
            <w:tcW w:w="1065" w:type="dxa"/>
            <w:tcBorders>
              <w:right w:val="single" w:color="auto" w:sz="4" w:space="0"/>
            </w:tcBorders>
            <w:noWrap w:val="0"/>
            <w:vAlign w:val="center"/>
          </w:tcPr>
          <w:p w14:paraId="434788A0">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01194753">
            <w:pPr>
              <w:jc w:val="center"/>
              <w:rPr>
                <w:rFonts w:hint="eastAsia" w:ascii="仿宋_GB2312"/>
                <w:lang w:val="en-US" w:eastAsia="zh-CN"/>
              </w:rPr>
            </w:pPr>
            <w:r>
              <w:rPr>
                <w:rFonts w:hint="eastAsia" w:ascii="仿宋_GB2312"/>
              </w:rPr>
              <w:t>――</w:t>
            </w:r>
          </w:p>
        </w:tc>
        <w:tc>
          <w:tcPr>
            <w:tcW w:w="1087" w:type="dxa"/>
            <w:noWrap w:val="0"/>
            <w:vAlign w:val="center"/>
          </w:tcPr>
          <w:p w14:paraId="7243E772">
            <w:pPr>
              <w:jc w:val="center"/>
              <w:rPr>
                <w:rFonts w:hint="eastAsia" w:ascii="仿宋_GB2312"/>
              </w:rPr>
            </w:pPr>
            <w:r>
              <w:rPr>
                <w:rFonts w:hint="eastAsia" w:ascii="仿宋_GB2312"/>
              </w:rPr>
              <w:t>――</w:t>
            </w:r>
          </w:p>
        </w:tc>
        <w:tc>
          <w:tcPr>
            <w:tcW w:w="1155" w:type="dxa"/>
            <w:noWrap w:val="0"/>
            <w:vAlign w:val="center"/>
          </w:tcPr>
          <w:p w14:paraId="55D0FD96">
            <w:pPr>
              <w:jc w:val="center"/>
              <w:rPr>
                <w:rFonts w:hint="eastAsia" w:ascii="仿宋_GB2312"/>
                <w:lang w:val="en-US" w:eastAsia="zh-CN"/>
              </w:rPr>
            </w:pPr>
            <w:r>
              <w:rPr>
                <w:rFonts w:hint="eastAsia" w:ascii="仿宋_GB2312"/>
              </w:rPr>
              <w:t>――</w:t>
            </w:r>
          </w:p>
        </w:tc>
        <w:tc>
          <w:tcPr>
            <w:tcW w:w="1125" w:type="dxa"/>
            <w:noWrap w:val="0"/>
            <w:vAlign w:val="center"/>
          </w:tcPr>
          <w:p w14:paraId="2BB75B0E">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63C30BCB">
            <w:pPr>
              <w:jc w:val="center"/>
              <w:rPr>
                <w:rFonts w:hint="eastAsia" w:ascii="仿宋_GB2312" w:eastAsia="宋体"/>
                <w:lang w:eastAsia="zh-CN"/>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r>
      <w:tr w14:paraId="65F5B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trPr>
        <w:tc>
          <w:tcPr>
            <w:tcW w:w="1283" w:type="dxa"/>
            <w:tcBorders>
              <w:left w:val="single" w:color="auto" w:sz="12" w:space="0"/>
            </w:tcBorders>
            <w:noWrap w:val="0"/>
            <w:vAlign w:val="center"/>
          </w:tcPr>
          <w:p w14:paraId="2E862EFD">
            <w:pPr>
              <w:spacing w:line="340" w:lineRule="exact"/>
              <w:jc w:val="center"/>
              <w:rPr>
                <w:rFonts w:hint="eastAsia" w:ascii="仿宋_GB2312"/>
                <w:lang w:val="en-US" w:eastAsia="zh-CN"/>
              </w:rPr>
            </w:pPr>
            <w:r>
              <w:rPr>
                <w:rFonts w:hint="eastAsia" w:ascii="仿宋_GB2312"/>
                <w:lang w:val="en-US" w:eastAsia="zh-CN"/>
              </w:rPr>
              <w:t>设计</w:t>
            </w:r>
          </w:p>
        </w:tc>
        <w:tc>
          <w:tcPr>
            <w:tcW w:w="1312" w:type="dxa"/>
            <w:noWrap w:val="0"/>
            <w:vAlign w:val="center"/>
          </w:tcPr>
          <w:p w14:paraId="7164E051">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4" w:space="0"/>
            </w:tcBorders>
            <w:noWrap w:val="0"/>
            <w:vAlign w:val="center"/>
          </w:tcPr>
          <w:p w14:paraId="0D75957C">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223" w:type="dxa"/>
            <w:gridSpan w:val="2"/>
            <w:tcBorders>
              <w:left w:val="single" w:color="auto" w:sz="4" w:space="0"/>
            </w:tcBorders>
            <w:noWrap w:val="0"/>
            <w:vAlign w:val="center"/>
          </w:tcPr>
          <w:p w14:paraId="5C543233">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87" w:type="dxa"/>
            <w:noWrap w:val="0"/>
            <w:vAlign w:val="center"/>
          </w:tcPr>
          <w:p w14:paraId="75A69870">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55" w:type="dxa"/>
            <w:noWrap w:val="0"/>
            <w:vAlign w:val="center"/>
          </w:tcPr>
          <w:p w14:paraId="648DDD2E">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25" w:type="dxa"/>
            <w:noWrap w:val="0"/>
            <w:vAlign w:val="center"/>
          </w:tcPr>
          <w:p w14:paraId="61D6029B">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12" w:space="0"/>
            </w:tcBorders>
            <w:noWrap w:val="0"/>
            <w:vAlign w:val="center"/>
          </w:tcPr>
          <w:p w14:paraId="3FA14E72">
            <w:pPr>
              <w:jc w:val="center"/>
              <w:rPr>
                <w:rFonts w:hint="eastAsia" w:ascii="仿宋_GB2312" w:hAnsi="Calibri" w:eastAsia="宋体" w:cs="Times New Roman"/>
                <w:kern w:val="2"/>
                <w:sz w:val="21"/>
                <w:szCs w:val="22"/>
                <w:lang w:val="en-US" w:eastAsia="zh-CN"/>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r>
      <w:tr w14:paraId="29E99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1283" w:type="dxa"/>
            <w:tcBorders>
              <w:left w:val="single" w:color="auto" w:sz="12" w:space="0"/>
            </w:tcBorders>
            <w:noWrap w:val="0"/>
            <w:vAlign w:val="center"/>
          </w:tcPr>
          <w:p w14:paraId="0E0DD8E5">
            <w:pPr>
              <w:spacing w:line="340" w:lineRule="exact"/>
              <w:jc w:val="center"/>
              <w:rPr>
                <w:rFonts w:hint="eastAsia" w:ascii="仿宋_GB2312"/>
                <w:lang w:val="en-US" w:eastAsia="zh-CN"/>
              </w:rPr>
            </w:pPr>
            <w:r>
              <w:rPr>
                <w:rFonts w:hint="eastAsia" w:ascii="仿宋_GB2312"/>
                <w:lang w:val="en-US" w:eastAsia="zh-CN"/>
              </w:rPr>
              <w:t>建安工程</w:t>
            </w:r>
          </w:p>
        </w:tc>
        <w:tc>
          <w:tcPr>
            <w:tcW w:w="1312" w:type="dxa"/>
            <w:noWrap w:val="0"/>
            <w:vAlign w:val="center"/>
          </w:tcPr>
          <w:p w14:paraId="3E9A961C">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4" w:space="0"/>
            </w:tcBorders>
            <w:noWrap w:val="0"/>
            <w:vAlign w:val="center"/>
          </w:tcPr>
          <w:p w14:paraId="1F5B13B8">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223" w:type="dxa"/>
            <w:gridSpan w:val="2"/>
            <w:tcBorders>
              <w:left w:val="single" w:color="auto" w:sz="4" w:space="0"/>
            </w:tcBorders>
            <w:noWrap w:val="0"/>
            <w:vAlign w:val="center"/>
          </w:tcPr>
          <w:p w14:paraId="1904508C">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87" w:type="dxa"/>
            <w:noWrap w:val="0"/>
            <w:vAlign w:val="center"/>
          </w:tcPr>
          <w:p w14:paraId="648A8B92">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55" w:type="dxa"/>
            <w:noWrap w:val="0"/>
            <w:vAlign w:val="center"/>
          </w:tcPr>
          <w:p w14:paraId="4606B8FC">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25" w:type="dxa"/>
            <w:noWrap w:val="0"/>
            <w:vAlign w:val="center"/>
          </w:tcPr>
          <w:p w14:paraId="1265C85E">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12" w:space="0"/>
            </w:tcBorders>
            <w:noWrap w:val="0"/>
            <w:vAlign w:val="center"/>
          </w:tcPr>
          <w:p w14:paraId="6588A8A3">
            <w:pPr>
              <w:jc w:val="center"/>
              <w:rPr>
                <w:rFonts w:hint="eastAsia" w:ascii="仿宋_GB2312" w:hAnsi="Calibri" w:eastAsia="宋体" w:cs="Times New Roman"/>
                <w:kern w:val="2"/>
                <w:sz w:val="21"/>
                <w:szCs w:val="22"/>
                <w:lang w:val="en-US" w:eastAsia="zh-CN"/>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r>
      <w:tr w14:paraId="6E26D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283" w:type="dxa"/>
            <w:tcBorders>
              <w:left w:val="single" w:color="auto" w:sz="12" w:space="0"/>
            </w:tcBorders>
            <w:noWrap w:val="0"/>
            <w:vAlign w:val="center"/>
          </w:tcPr>
          <w:p w14:paraId="226A8867">
            <w:pPr>
              <w:spacing w:line="340" w:lineRule="exact"/>
              <w:jc w:val="center"/>
              <w:rPr>
                <w:rFonts w:hint="eastAsia" w:ascii="仿宋_GB2312"/>
                <w:lang w:val="en-US" w:eastAsia="zh-CN"/>
              </w:rPr>
            </w:pPr>
            <w:r>
              <w:rPr>
                <w:rFonts w:hint="eastAsia" w:ascii="仿宋_GB2312"/>
                <w:lang w:val="en-US" w:eastAsia="zh-CN"/>
              </w:rPr>
              <w:t>监理</w:t>
            </w:r>
          </w:p>
        </w:tc>
        <w:tc>
          <w:tcPr>
            <w:tcW w:w="1312" w:type="dxa"/>
            <w:noWrap w:val="0"/>
            <w:vAlign w:val="center"/>
          </w:tcPr>
          <w:p w14:paraId="43B04A9E">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4" w:space="0"/>
            </w:tcBorders>
            <w:noWrap w:val="0"/>
            <w:vAlign w:val="center"/>
          </w:tcPr>
          <w:p w14:paraId="2A73E6ED">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223" w:type="dxa"/>
            <w:gridSpan w:val="2"/>
            <w:tcBorders>
              <w:left w:val="single" w:color="auto" w:sz="4" w:space="0"/>
            </w:tcBorders>
            <w:noWrap w:val="0"/>
            <w:vAlign w:val="center"/>
          </w:tcPr>
          <w:p w14:paraId="3566EB92">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87" w:type="dxa"/>
            <w:noWrap w:val="0"/>
            <w:vAlign w:val="center"/>
          </w:tcPr>
          <w:p w14:paraId="5397EB88">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55" w:type="dxa"/>
            <w:noWrap w:val="0"/>
            <w:vAlign w:val="center"/>
          </w:tcPr>
          <w:p w14:paraId="347E7273">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25" w:type="dxa"/>
            <w:noWrap w:val="0"/>
            <w:vAlign w:val="center"/>
          </w:tcPr>
          <w:p w14:paraId="516C7B87">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12" w:space="0"/>
            </w:tcBorders>
            <w:noWrap w:val="0"/>
            <w:vAlign w:val="center"/>
          </w:tcPr>
          <w:p w14:paraId="0E723620">
            <w:pPr>
              <w:jc w:val="center"/>
              <w:rPr>
                <w:rFonts w:hint="eastAsia" w:ascii="仿宋_GB2312" w:hAnsi="Calibri" w:eastAsia="宋体" w:cs="Times New Roman"/>
                <w:kern w:val="2"/>
                <w:sz w:val="21"/>
                <w:szCs w:val="22"/>
                <w:lang w:val="en-US" w:eastAsia="zh-CN"/>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r>
      <w:tr w14:paraId="77712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1283" w:type="dxa"/>
            <w:tcBorders>
              <w:left w:val="single" w:color="auto" w:sz="12" w:space="0"/>
            </w:tcBorders>
            <w:noWrap w:val="0"/>
            <w:vAlign w:val="center"/>
          </w:tcPr>
          <w:p w14:paraId="6FBC8E35">
            <w:pPr>
              <w:spacing w:line="340" w:lineRule="exact"/>
              <w:jc w:val="center"/>
              <w:rPr>
                <w:rFonts w:hint="eastAsia" w:ascii="仿宋_GB2312"/>
                <w:lang w:val="en-US" w:eastAsia="zh-CN"/>
              </w:rPr>
            </w:pPr>
            <w:r>
              <w:rPr>
                <w:rFonts w:hint="eastAsia" w:ascii="仿宋_GB2312"/>
                <w:lang w:val="en-US" w:eastAsia="zh-CN"/>
              </w:rPr>
              <w:t>设备</w:t>
            </w:r>
          </w:p>
        </w:tc>
        <w:tc>
          <w:tcPr>
            <w:tcW w:w="1312" w:type="dxa"/>
            <w:noWrap w:val="0"/>
            <w:vAlign w:val="center"/>
          </w:tcPr>
          <w:p w14:paraId="73C44D9D">
            <w:pPr>
              <w:jc w:val="center"/>
              <w:rPr>
                <w:rFonts w:hint="eastAsia" w:ascii="仿宋_GB2312" w:eastAsia="宋体"/>
                <w:lang w:eastAsia="zh-CN"/>
              </w:rPr>
            </w:pPr>
            <w:r>
              <w:rPr>
                <w:rFonts w:hint="eastAsia" w:ascii="仿宋_GB2312"/>
              </w:rPr>
              <w:t>――</w:t>
            </w:r>
          </w:p>
        </w:tc>
        <w:tc>
          <w:tcPr>
            <w:tcW w:w="1065" w:type="dxa"/>
            <w:tcBorders>
              <w:right w:val="single" w:color="auto" w:sz="4" w:space="0"/>
            </w:tcBorders>
            <w:noWrap w:val="0"/>
            <w:vAlign w:val="center"/>
          </w:tcPr>
          <w:p w14:paraId="28C083FE">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24DC8FB0">
            <w:pPr>
              <w:jc w:val="center"/>
              <w:rPr>
                <w:rFonts w:hint="eastAsia" w:ascii="仿宋_GB2312" w:eastAsia="宋体"/>
                <w:lang w:eastAsia="zh-CN"/>
              </w:rPr>
            </w:pPr>
            <w:r>
              <w:rPr>
                <w:rFonts w:hint="eastAsia" w:ascii="仿宋_GB2312"/>
              </w:rPr>
              <w:t>――</w:t>
            </w:r>
          </w:p>
        </w:tc>
        <w:tc>
          <w:tcPr>
            <w:tcW w:w="1087" w:type="dxa"/>
            <w:noWrap w:val="0"/>
            <w:vAlign w:val="center"/>
          </w:tcPr>
          <w:p w14:paraId="334959F7">
            <w:pPr>
              <w:jc w:val="center"/>
              <w:rPr>
                <w:rFonts w:hint="eastAsia" w:ascii="仿宋_GB2312"/>
              </w:rPr>
            </w:pPr>
            <w:r>
              <w:rPr>
                <w:rFonts w:hint="eastAsia" w:ascii="仿宋_GB2312"/>
              </w:rPr>
              <w:t>――</w:t>
            </w:r>
          </w:p>
        </w:tc>
        <w:tc>
          <w:tcPr>
            <w:tcW w:w="1155" w:type="dxa"/>
            <w:noWrap w:val="0"/>
            <w:vAlign w:val="center"/>
          </w:tcPr>
          <w:p w14:paraId="52C23997">
            <w:pPr>
              <w:jc w:val="center"/>
              <w:rPr>
                <w:rFonts w:hint="eastAsia" w:ascii="仿宋_GB2312" w:eastAsia="宋体"/>
                <w:lang w:eastAsia="zh-CN"/>
              </w:rPr>
            </w:pPr>
            <w:r>
              <w:rPr>
                <w:rFonts w:hint="eastAsia" w:ascii="仿宋_GB2312"/>
              </w:rPr>
              <w:t>――</w:t>
            </w:r>
          </w:p>
        </w:tc>
        <w:tc>
          <w:tcPr>
            <w:tcW w:w="1125" w:type="dxa"/>
            <w:noWrap w:val="0"/>
            <w:vAlign w:val="center"/>
          </w:tcPr>
          <w:p w14:paraId="0A20E459">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6FF776AC">
            <w:pPr>
              <w:jc w:val="center"/>
              <w:rPr>
                <w:rFonts w:hint="eastAsia" w:ascii="仿宋_GB2312"/>
              </w:rPr>
            </w:pPr>
            <w:r>
              <w:rPr>
                <w:rFonts w:hint="eastAsia" w:ascii="仿宋_GB2312"/>
              </w:rPr>
              <w:t>――</w:t>
            </w:r>
          </w:p>
        </w:tc>
      </w:tr>
      <w:tr w14:paraId="4355C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trPr>
        <w:tc>
          <w:tcPr>
            <w:tcW w:w="1283" w:type="dxa"/>
            <w:tcBorders>
              <w:left w:val="single" w:color="auto" w:sz="12" w:space="0"/>
            </w:tcBorders>
            <w:noWrap w:val="0"/>
            <w:vAlign w:val="center"/>
          </w:tcPr>
          <w:p w14:paraId="46AAE23C">
            <w:pPr>
              <w:spacing w:line="340" w:lineRule="exact"/>
              <w:jc w:val="center"/>
              <w:rPr>
                <w:rFonts w:hint="eastAsia" w:ascii="仿宋_GB2312"/>
                <w:lang w:val="en-US" w:eastAsia="zh-CN"/>
              </w:rPr>
            </w:pPr>
            <w:r>
              <w:rPr>
                <w:rFonts w:hint="eastAsia" w:ascii="仿宋_GB2312"/>
                <w:lang w:val="en-US" w:eastAsia="zh-CN"/>
              </w:rPr>
              <w:t>重要材料</w:t>
            </w:r>
          </w:p>
        </w:tc>
        <w:tc>
          <w:tcPr>
            <w:tcW w:w="1312" w:type="dxa"/>
            <w:noWrap w:val="0"/>
            <w:vAlign w:val="center"/>
          </w:tcPr>
          <w:p w14:paraId="458C3056">
            <w:pPr>
              <w:jc w:val="center"/>
              <w:rPr>
                <w:rFonts w:hint="eastAsia" w:ascii="仿宋_GB2312"/>
                <w:lang w:val="en-US" w:eastAsia="zh-CN"/>
              </w:rPr>
            </w:pPr>
            <w:r>
              <w:rPr>
                <w:rFonts w:hint="eastAsia" w:ascii="仿宋_GB2312"/>
              </w:rPr>
              <w:t>――</w:t>
            </w:r>
          </w:p>
        </w:tc>
        <w:tc>
          <w:tcPr>
            <w:tcW w:w="1065" w:type="dxa"/>
            <w:tcBorders>
              <w:right w:val="single" w:color="auto" w:sz="4" w:space="0"/>
            </w:tcBorders>
            <w:noWrap w:val="0"/>
            <w:vAlign w:val="center"/>
          </w:tcPr>
          <w:p w14:paraId="1329391B">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2BF78BF0">
            <w:pPr>
              <w:jc w:val="center"/>
              <w:rPr>
                <w:rFonts w:hint="eastAsia" w:ascii="仿宋_GB2312"/>
                <w:lang w:val="en-US" w:eastAsia="zh-CN"/>
              </w:rPr>
            </w:pPr>
            <w:r>
              <w:rPr>
                <w:rFonts w:hint="eastAsia" w:ascii="仿宋_GB2312"/>
              </w:rPr>
              <w:t>――</w:t>
            </w:r>
          </w:p>
        </w:tc>
        <w:tc>
          <w:tcPr>
            <w:tcW w:w="1087" w:type="dxa"/>
            <w:noWrap w:val="0"/>
            <w:vAlign w:val="center"/>
          </w:tcPr>
          <w:p w14:paraId="01C06FAA">
            <w:pPr>
              <w:jc w:val="center"/>
              <w:rPr>
                <w:rFonts w:hint="eastAsia" w:ascii="仿宋_GB2312"/>
              </w:rPr>
            </w:pPr>
            <w:r>
              <w:rPr>
                <w:rFonts w:hint="eastAsia" w:ascii="仿宋_GB2312"/>
              </w:rPr>
              <w:t>――</w:t>
            </w:r>
          </w:p>
        </w:tc>
        <w:tc>
          <w:tcPr>
            <w:tcW w:w="1155" w:type="dxa"/>
            <w:noWrap w:val="0"/>
            <w:vAlign w:val="center"/>
          </w:tcPr>
          <w:p w14:paraId="5B4FC7D8">
            <w:pPr>
              <w:jc w:val="center"/>
              <w:rPr>
                <w:rFonts w:hint="eastAsia" w:ascii="仿宋_GB2312"/>
                <w:lang w:val="en-US" w:eastAsia="zh-CN"/>
              </w:rPr>
            </w:pPr>
            <w:r>
              <w:rPr>
                <w:rFonts w:hint="eastAsia" w:ascii="仿宋_GB2312"/>
              </w:rPr>
              <w:t>――</w:t>
            </w:r>
          </w:p>
        </w:tc>
        <w:tc>
          <w:tcPr>
            <w:tcW w:w="1125" w:type="dxa"/>
            <w:noWrap w:val="0"/>
            <w:vAlign w:val="center"/>
          </w:tcPr>
          <w:p w14:paraId="17901693">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23BA4982">
            <w:pPr>
              <w:jc w:val="center"/>
              <w:rPr>
                <w:rFonts w:hint="eastAsia" w:ascii="仿宋_GB2312"/>
              </w:rPr>
            </w:pPr>
            <w:r>
              <w:rPr>
                <w:rFonts w:hint="eastAsia" w:ascii="仿宋_GB2312"/>
              </w:rPr>
              <w:t>――</w:t>
            </w:r>
          </w:p>
        </w:tc>
      </w:tr>
      <w:tr w14:paraId="7F7CE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trPr>
        <w:tc>
          <w:tcPr>
            <w:tcW w:w="3923" w:type="dxa"/>
            <w:gridSpan w:val="4"/>
            <w:tcBorders>
              <w:top w:val="nil"/>
              <w:left w:val="single" w:color="auto" w:sz="12" w:space="0"/>
              <w:bottom w:val="single" w:color="auto" w:sz="2" w:space="0"/>
              <w:right w:val="single" w:color="auto" w:sz="4" w:space="0"/>
            </w:tcBorders>
            <w:noWrap w:val="0"/>
            <w:vAlign w:val="center"/>
          </w:tcPr>
          <w:p w14:paraId="2808ED9D">
            <w:pPr>
              <w:spacing w:line="340" w:lineRule="exact"/>
              <w:jc w:val="center"/>
              <w:rPr>
                <w:rFonts w:ascii="仿宋_GB2312"/>
                <w:bCs/>
              </w:rPr>
            </w:pPr>
            <w:r>
              <w:rPr>
                <w:rFonts w:hint="eastAsia" w:ascii="仿宋_GB2312"/>
                <w:bCs/>
              </w:rPr>
              <w:t>招标公告</w:t>
            </w:r>
            <w:r>
              <w:rPr>
                <w:rFonts w:hint="eastAsia" w:ascii="仿宋_GB2312"/>
                <w:bCs/>
                <w:lang w:val="en-US" w:eastAsia="zh-CN"/>
              </w:rPr>
              <w:t>以及公示信息发布媒介</w:t>
            </w:r>
          </w:p>
        </w:tc>
        <w:tc>
          <w:tcPr>
            <w:tcW w:w="5392" w:type="dxa"/>
            <w:gridSpan w:val="5"/>
            <w:tcBorders>
              <w:top w:val="nil"/>
              <w:left w:val="single" w:color="auto" w:sz="4" w:space="0"/>
              <w:bottom w:val="single" w:color="auto" w:sz="4" w:space="0"/>
              <w:right w:val="single" w:color="auto" w:sz="12" w:space="0"/>
            </w:tcBorders>
            <w:noWrap w:val="0"/>
            <w:vAlign w:val="center"/>
          </w:tcPr>
          <w:p w14:paraId="3E1E3EF7">
            <w:pPr>
              <w:spacing w:line="340" w:lineRule="exact"/>
              <w:jc w:val="center"/>
            </w:pPr>
            <w:r>
              <w:rPr>
                <w:rFonts w:hint="eastAsia"/>
              </w:rPr>
              <w:t>山西省招标投标公共服务平台</w:t>
            </w:r>
            <w:r>
              <w:rPr>
                <w:rFonts w:hint="eastAsia" w:ascii="华文仿宋" w:hAnsi="华文仿宋" w:eastAsia="华文仿宋" w:cs="华文仿宋"/>
                <w:lang w:eastAsia="zh-CN"/>
              </w:rPr>
              <w:t>（</w:t>
            </w:r>
            <w:r>
              <w:rPr>
                <w:rFonts w:hint="eastAsia" w:ascii="华文仿宋" w:hAnsi="华文仿宋" w:eastAsia="华文仿宋" w:cs="华文仿宋"/>
                <w:lang w:val="en-US" w:eastAsia="zh-CN"/>
              </w:rPr>
              <w:t>www.sxbid.com.cn</w:t>
            </w:r>
            <w:r>
              <w:rPr>
                <w:rFonts w:hint="eastAsia" w:ascii="华文仿宋" w:hAnsi="华文仿宋" w:eastAsia="华文仿宋" w:cs="华文仿宋"/>
                <w:lang w:eastAsia="zh-CN"/>
              </w:rPr>
              <w:t>）</w:t>
            </w:r>
          </w:p>
        </w:tc>
      </w:tr>
      <w:tr w14:paraId="60EFC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3" w:hRule="atLeast"/>
        </w:trPr>
        <w:tc>
          <w:tcPr>
            <w:tcW w:w="9315" w:type="dxa"/>
            <w:gridSpan w:val="9"/>
            <w:tcBorders>
              <w:top w:val="single" w:color="auto" w:sz="8" w:space="0"/>
              <w:left w:val="single" w:color="auto" w:sz="12" w:space="0"/>
              <w:bottom w:val="single" w:color="auto" w:sz="12" w:space="0"/>
              <w:right w:val="single" w:color="auto" w:sz="12" w:space="0"/>
            </w:tcBorders>
            <w:noWrap w:val="0"/>
            <w:vAlign w:val="top"/>
          </w:tcPr>
          <w:p w14:paraId="65F40286">
            <w:pPr>
              <w:jc w:val="left"/>
              <w:rPr>
                <w:rFonts w:hint="eastAsia"/>
                <w:lang w:val="en-US" w:eastAsia="zh-CN"/>
              </w:rPr>
            </w:pPr>
            <w:r>
              <w:rPr>
                <w:rFonts w:hint="eastAsia"/>
                <w:lang w:val="en-US" w:eastAsia="zh-CN"/>
              </w:rPr>
              <w:t>核准意见：</w:t>
            </w:r>
          </w:p>
          <w:p w14:paraId="4448B25B">
            <w:pPr>
              <w:pStyle w:val="2"/>
              <w:ind w:firstLine="525" w:firstLineChars="250"/>
              <w:rPr>
                <w:rFonts w:hint="eastAsia"/>
                <w:lang w:val="en-US" w:eastAsia="zh-CN"/>
              </w:rPr>
            </w:pPr>
            <w:r>
              <w:rPr>
                <w:rFonts w:hint="eastAsia"/>
                <w:lang w:val="en-US" w:eastAsia="zh-CN"/>
              </w:rPr>
              <w:t>一、该项目属于使用国有资金投资的项目，根据有关规定，达到强制招标规模标准的建设内容均应进行招标。</w:t>
            </w:r>
          </w:p>
          <w:p w14:paraId="559C79BC">
            <w:pPr>
              <w:pStyle w:val="2"/>
              <w:ind w:firstLine="420" w:firstLineChars="200"/>
              <w:rPr>
                <w:rFonts w:hint="default"/>
                <w:lang w:val="en-US" w:eastAsia="zh-CN"/>
              </w:rPr>
            </w:pPr>
            <w:r>
              <w:rPr>
                <w:rFonts w:hint="eastAsia"/>
                <w:lang w:val="en-US" w:eastAsia="zh-CN"/>
              </w:rPr>
              <w:t xml:space="preserve"> 二、该项目的勘察、设计、建安工程、监理单项合同金额未达到强制招标的规模标准，同意其不采用招标方式。   </w:t>
            </w:r>
          </w:p>
          <w:p w14:paraId="7C53EAF1">
            <w:pPr>
              <w:tabs>
                <w:tab w:val="left" w:pos="3135"/>
              </w:tabs>
              <w:jc w:val="left"/>
              <w:rPr>
                <w:rFonts w:hint="eastAsia"/>
                <w:lang w:val="en-US" w:eastAsia="zh-CN"/>
              </w:rPr>
            </w:pPr>
          </w:p>
          <w:p w14:paraId="5D2A46B9">
            <w:pPr>
              <w:pStyle w:val="3"/>
              <w:rPr>
                <w:rFonts w:hint="eastAsia"/>
                <w:lang w:val="en-US" w:eastAsia="zh-CN"/>
              </w:rPr>
            </w:pPr>
          </w:p>
          <w:p w14:paraId="7EA8A9E0">
            <w:pPr>
              <w:tabs>
                <w:tab w:val="left" w:pos="3135"/>
              </w:tabs>
              <w:ind w:firstLine="4935" w:firstLineChars="2350"/>
              <w:jc w:val="left"/>
              <w:rPr>
                <w:rFonts w:hint="eastAsia"/>
                <w:lang w:val="en-US" w:eastAsia="zh-CN"/>
              </w:rPr>
            </w:pPr>
            <w:r>
              <w:rPr>
                <w:rFonts w:hint="eastAsia"/>
                <w:lang w:val="en-US" w:eastAsia="zh-CN"/>
              </w:rPr>
              <w:t>盂县发展和改革局</w:t>
            </w:r>
          </w:p>
          <w:p w14:paraId="4A7EAD57">
            <w:pPr>
              <w:pStyle w:val="22"/>
              <w:rPr>
                <w:rFonts w:hint="eastAsia"/>
                <w:lang w:val="en-US" w:eastAsia="zh-CN"/>
              </w:rPr>
            </w:pPr>
          </w:p>
          <w:p w14:paraId="54D72B5C">
            <w:pPr>
              <w:pStyle w:val="22"/>
              <w:rPr>
                <w:rFonts w:hint="eastAsia"/>
                <w:lang w:val="en-US" w:eastAsia="zh-CN"/>
              </w:rPr>
            </w:pPr>
          </w:p>
          <w:p w14:paraId="7B935081">
            <w:pPr>
              <w:pStyle w:val="22"/>
              <w:rPr>
                <w:rFonts w:hint="eastAsia"/>
                <w:lang w:val="en-US" w:eastAsia="zh-CN"/>
              </w:rPr>
            </w:pPr>
          </w:p>
          <w:p w14:paraId="20268743">
            <w:pPr>
              <w:pStyle w:val="22"/>
              <w:rPr>
                <w:rFonts w:hint="eastAsia"/>
                <w:lang w:val="en-US" w:eastAsia="zh-CN"/>
              </w:rPr>
            </w:pPr>
          </w:p>
          <w:p w14:paraId="78B6ABAD">
            <w:pPr>
              <w:pStyle w:val="22"/>
              <w:rPr>
                <w:rFonts w:hint="eastAsia"/>
                <w:lang w:val="en-US" w:eastAsia="zh-CN"/>
              </w:rPr>
            </w:pPr>
          </w:p>
          <w:p w14:paraId="728B8CE8">
            <w:pPr>
              <w:pStyle w:val="22"/>
              <w:rPr>
                <w:rFonts w:hint="eastAsia"/>
                <w:lang w:val="en-US" w:eastAsia="zh-CN"/>
              </w:rPr>
            </w:pPr>
          </w:p>
        </w:tc>
      </w:tr>
    </w:tbl>
    <w:p w14:paraId="6843AA80">
      <w:pPr>
        <w:pStyle w:val="10"/>
        <w:rPr>
          <w:rFonts w:hint="eastAsia" w:ascii="华文仿宋" w:hAnsi="华文仿宋" w:eastAsia="华文仿宋" w:cs="华文仿宋"/>
          <w:sz w:val="32"/>
          <w:szCs w:val="32"/>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华文中宋">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69CE4"/>
    <w:multiLevelType w:val="singleLevel"/>
    <w:tmpl w:val="AFF69CE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JhYzgxYjJiM2JhNzU5YzJlNDNlZDdjYWM0NDYwN2MifQ=="/>
  </w:docVars>
  <w:rsids>
    <w:rsidRoot w:val="00000000"/>
    <w:rsid w:val="01AD5116"/>
    <w:rsid w:val="026779BA"/>
    <w:rsid w:val="03433F84"/>
    <w:rsid w:val="03632E30"/>
    <w:rsid w:val="036F0ED3"/>
    <w:rsid w:val="03A13CFA"/>
    <w:rsid w:val="04402271"/>
    <w:rsid w:val="0462205F"/>
    <w:rsid w:val="049E5522"/>
    <w:rsid w:val="05404C1F"/>
    <w:rsid w:val="05C14AC2"/>
    <w:rsid w:val="064E7FBA"/>
    <w:rsid w:val="06525362"/>
    <w:rsid w:val="07FFE3F8"/>
    <w:rsid w:val="083E2F6B"/>
    <w:rsid w:val="084860B6"/>
    <w:rsid w:val="0878647D"/>
    <w:rsid w:val="088604A9"/>
    <w:rsid w:val="09CB225E"/>
    <w:rsid w:val="0A014251"/>
    <w:rsid w:val="0A0779E8"/>
    <w:rsid w:val="0A222B45"/>
    <w:rsid w:val="0A782765"/>
    <w:rsid w:val="0BBF506E"/>
    <w:rsid w:val="0BC12BB2"/>
    <w:rsid w:val="0D696CDD"/>
    <w:rsid w:val="0D9F6182"/>
    <w:rsid w:val="0DA01FA3"/>
    <w:rsid w:val="0DF156E2"/>
    <w:rsid w:val="0E055DB2"/>
    <w:rsid w:val="0EFFF50A"/>
    <w:rsid w:val="0F5F0994"/>
    <w:rsid w:val="0F9D41E8"/>
    <w:rsid w:val="108E453B"/>
    <w:rsid w:val="10980F56"/>
    <w:rsid w:val="111E747F"/>
    <w:rsid w:val="11C12659"/>
    <w:rsid w:val="11CC15E8"/>
    <w:rsid w:val="11E64D00"/>
    <w:rsid w:val="12A62649"/>
    <w:rsid w:val="131A2B5C"/>
    <w:rsid w:val="1328698F"/>
    <w:rsid w:val="137F3A1D"/>
    <w:rsid w:val="13B3480E"/>
    <w:rsid w:val="13E021A1"/>
    <w:rsid w:val="1410477D"/>
    <w:rsid w:val="14227D18"/>
    <w:rsid w:val="143516C6"/>
    <w:rsid w:val="146836C4"/>
    <w:rsid w:val="14C8253B"/>
    <w:rsid w:val="14DC0F23"/>
    <w:rsid w:val="15550146"/>
    <w:rsid w:val="156A35F2"/>
    <w:rsid w:val="15B50D87"/>
    <w:rsid w:val="15C50828"/>
    <w:rsid w:val="16A2661D"/>
    <w:rsid w:val="16E396D5"/>
    <w:rsid w:val="16EF9E8C"/>
    <w:rsid w:val="16F90D55"/>
    <w:rsid w:val="16FE2244"/>
    <w:rsid w:val="17721D02"/>
    <w:rsid w:val="177FCABB"/>
    <w:rsid w:val="177FFD2A"/>
    <w:rsid w:val="17B827B2"/>
    <w:rsid w:val="17CE5B7A"/>
    <w:rsid w:val="17DE2BB5"/>
    <w:rsid w:val="17FD80DE"/>
    <w:rsid w:val="180C273E"/>
    <w:rsid w:val="188744BB"/>
    <w:rsid w:val="1938661F"/>
    <w:rsid w:val="19E7BD96"/>
    <w:rsid w:val="19EDB70D"/>
    <w:rsid w:val="1A6BA8EB"/>
    <w:rsid w:val="1B4B7A22"/>
    <w:rsid w:val="1B574033"/>
    <w:rsid w:val="1BBC26CD"/>
    <w:rsid w:val="1BBF6337"/>
    <w:rsid w:val="1BD9F8E3"/>
    <w:rsid w:val="1BFD1E7D"/>
    <w:rsid w:val="1C7374C8"/>
    <w:rsid w:val="1CEC0D90"/>
    <w:rsid w:val="1D0F481B"/>
    <w:rsid w:val="1D2E5635"/>
    <w:rsid w:val="1D44297A"/>
    <w:rsid w:val="1D993F8E"/>
    <w:rsid w:val="1DBECA2F"/>
    <w:rsid w:val="1EBDF6B9"/>
    <w:rsid w:val="1EE9E260"/>
    <w:rsid w:val="1F5F78EA"/>
    <w:rsid w:val="1F8F5628"/>
    <w:rsid w:val="1FBD804A"/>
    <w:rsid w:val="1FDC333E"/>
    <w:rsid w:val="1FEF8B30"/>
    <w:rsid w:val="1FF711C7"/>
    <w:rsid w:val="1FFD6117"/>
    <w:rsid w:val="1FFF3FF2"/>
    <w:rsid w:val="20803CB0"/>
    <w:rsid w:val="21222FD3"/>
    <w:rsid w:val="21246FC4"/>
    <w:rsid w:val="214B2529"/>
    <w:rsid w:val="21850E52"/>
    <w:rsid w:val="21DD6EFA"/>
    <w:rsid w:val="21EBF8FE"/>
    <w:rsid w:val="220F3557"/>
    <w:rsid w:val="22CE51C0"/>
    <w:rsid w:val="22FC2122"/>
    <w:rsid w:val="22FF319D"/>
    <w:rsid w:val="233B65CE"/>
    <w:rsid w:val="236D2C2B"/>
    <w:rsid w:val="23B32608"/>
    <w:rsid w:val="23E51E22"/>
    <w:rsid w:val="23E708EC"/>
    <w:rsid w:val="24961D0D"/>
    <w:rsid w:val="2556149D"/>
    <w:rsid w:val="25A20B86"/>
    <w:rsid w:val="25E53D3B"/>
    <w:rsid w:val="260A47E6"/>
    <w:rsid w:val="269F0C21"/>
    <w:rsid w:val="26FA22E5"/>
    <w:rsid w:val="271D652A"/>
    <w:rsid w:val="277FC5F2"/>
    <w:rsid w:val="278F207D"/>
    <w:rsid w:val="27A7A262"/>
    <w:rsid w:val="27B1755F"/>
    <w:rsid w:val="27BFCA01"/>
    <w:rsid w:val="27CE64FC"/>
    <w:rsid w:val="27FE54AA"/>
    <w:rsid w:val="29695C42"/>
    <w:rsid w:val="297A20FD"/>
    <w:rsid w:val="2A4F02D3"/>
    <w:rsid w:val="2ABFADF8"/>
    <w:rsid w:val="2AD912A0"/>
    <w:rsid w:val="2ADC41F2"/>
    <w:rsid w:val="2B807273"/>
    <w:rsid w:val="2BE7CC90"/>
    <w:rsid w:val="2BFFCE54"/>
    <w:rsid w:val="2C8B5ED0"/>
    <w:rsid w:val="2CA86A82"/>
    <w:rsid w:val="2CC455FF"/>
    <w:rsid w:val="2D767C0E"/>
    <w:rsid w:val="2D984D48"/>
    <w:rsid w:val="2D9AC448"/>
    <w:rsid w:val="2DBB0344"/>
    <w:rsid w:val="2DC35FA9"/>
    <w:rsid w:val="2DE7271A"/>
    <w:rsid w:val="2E291E44"/>
    <w:rsid w:val="2E46D39F"/>
    <w:rsid w:val="2EBEF306"/>
    <w:rsid w:val="2F1601E3"/>
    <w:rsid w:val="2F399961"/>
    <w:rsid w:val="2F7E0467"/>
    <w:rsid w:val="2F9EE58A"/>
    <w:rsid w:val="2FBE2C70"/>
    <w:rsid w:val="2FBF87A8"/>
    <w:rsid w:val="30DFB105"/>
    <w:rsid w:val="31904E51"/>
    <w:rsid w:val="31A538CA"/>
    <w:rsid w:val="31B7C18C"/>
    <w:rsid w:val="31C87062"/>
    <w:rsid w:val="325B00F2"/>
    <w:rsid w:val="327875F1"/>
    <w:rsid w:val="32901226"/>
    <w:rsid w:val="32FF6235"/>
    <w:rsid w:val="3329E28E"/>
    <w:rsid w:val="335C13DD"/>
    <w:rsid w:val="337E7EAA"/>
    <w:rsid w:val="33AB50A9"/>
    <w:rsid w:val="33D4063A"/>
    <w:rsid w:val="33DF797F"/>
    <w:rsid w:val="33FB400C"/>
    <w:rsid w:val="34C76066"/>
    <w:rsid w:val="34D787A5"/>
    <w:rsid w:val="35F6301F"/>
    <w:rsid w:val="36B712DB"/>
    <w:rsid w:val="36CC7950"/>
    <w:rsid w:val="36D23EAC"/>
    <w:rsid w:val="36E7464B"/>
    <w:rsid w:val="36EA7997"/>
    <w:rsid w:val="36FF96DE"/>
    <w:rsid w:val="372B6074"/>
    <w:rsid w:val="37322601"/>
    <w:rsid w:val="3756B5A4"/>
    <w:rsid w:val="3767CBDC"/>
    <w:rsid w:val="377B2067"/>
    <w:rsid w:val="379DE7A8"/>
    <w:rsid w:val="37BF89EA"/>
    <w:rsid w:val="37BFED1B"/>
    <w:rsid w:val="37DBB51C"/>
    <w:rsid w:val="37DD95B4"/>
    <w:rsid w:val="37EA38A9"/>
    <w:rsid w:val="37EF6AFF"/>
    <w:rsid w:val="37FB5745"/>
    <w:rsid w:val="37FEAA79"/>
    <w:rsid w:val="37FF6383"/>
    <w:rsid w:val="37FF6F3C"/>
    <w:rsid w:val="37FFEF3A"/>
    <w:rsid w:val="393F590B"/>
    <w:rsid w:val="395F7D5A"/>
    <w:rsid w:val="39C92FFE"/>
    <w:rsid w:val="3A086DB2"/>
    <w:rsid w:val="3A370FB0"/>
    <w:rsid w:val="3A685ED0"/>
    <w:rsid w:val="3A7F6FCF"/>
    <w:rsid w:val="3B7FEDBF"/>
    <w:rsid w:val="3B80344C"/>
    <w:rsid w:val="3B9F8550"/>
    <w:rsid w:val="3BDEE64E"/>
    <w:rsid w:val="3BFEC9D2"/>
    <w:rsid w:val="3BFF84C2"/>
    <w:rsid w:val="3C773ABD"/>
    <w:rsid w:val="3C7F14D6"/>
    <w:rsid w:val="3C9E1C4F"/>
    <w:rsid w:val="3C9F7672"/>
    <w:rsid w:val="3CDF1E7C"/>
    <w:rsid w:val="3CE23496"/>
    <w:rsid w:val="3CF9D671"/>
    <w:rsid w:val="3D2FB817"/>
    <w:rsid w:val="3DACB0BA"/>
    <w:rsid w:val="3DDD0555"/>
    <w:rsid w:val="3DDE7958"/>
    <w:rsid w:val="3DE43C39"/>
    <w:rsid w:val="3DE51AA5"/>
    <w:rsid w:val="3DE5C081"/>
    <w:rsid w:val="3DF7143D"/>
    <w:rsid w:val="3DFFCF06"/>
    <w:rsid w:val="3E0E070F"/>
    <w:rsid w:val="3E3A7756"/>
    <w:rsid w:val="3E6C1E5D"/>
    <w:rsid w:val="3E6DA2B2"/>
    <w:rsid w:val="3E6E65BD"/>
    <w:rsid w:val="3E7D8F11"/>
    <w:rsid w:val="3EBB227B"/>
    <w:rsid w:val="3EBC63BD"/>
    <w:rsid w:val="3EBF9A94"/>
    <w:rsid w:val="3EE69504"/>
    <w:rsid w:val="3EF7210C"/>
    <w:rsid w:val="3EF97CB1"/>
    <w:rsid w:val="3EFDF064"/>
    <w:rsid w:val="3F29417B"/>
    <w:rsid w:val="3F3704BB"/>
    <w:rsid w:val="3F3FBA1C"/>
    <w:rsid w:val="3F4F6E51"/>
    <w:rsid w:val="3F5EF7FF"/>
    <w:rsid w:val="3F670617"/>
    <w:rsid w:val="3F77C61B"/>
    <w:rsid w:val="3F7BE167"/>
    <w:rsid w:val="3F7D096A"/>
    <w:rsid w:val="3F7DAC42"/>
    <w:rsid w:val="3F9BE1A4"/>
    <w:rsid w:val="3FAE349D"/>
    <w:rsid w:val="3FAF8A9F"/>
    <w:rsid w:val="3FBA456C"/>
    <w:rsid w:val="3FDC3C0D"/>
    <w:rsid w:val="3FDF8EEB"/>
    <w:rsid w:val="3FF318BE"/>
    <w:rsid w:val="3FF70ABB"/>
    <w:rsid w:val="3FF77392"/>
    <w:rsid w:val="3FFD6B5A"/>
    <w:rsid w:val="3FFF3E7A"/>
    <w:rsid w:val="3FFFD9FA"/>
    <w:rsid w:val="3FFFDDE0"/>
    <w:rsid w:val="40BC66D4"/>
    <w:rsid w:val="426B59F3"/>
    <w:rsid w:val="43016A94"/>
    <w:rsid w:val="43100EDC"/>
    <w:rsid w:val="43521DD3"/>
    <w:rsid w:val="43611999"/>
    <w:rsid w:val="43C73BDB"/>
    <w:rsid w:val="458B6E24"/>
    <w:rsid w:val="462E1F99"/>
    <w:rsid w:val="46761547"/>
    <w:rsid w:val="46BD6DCD"/>
    <w:rsid w:val="46C3849B"/>
    <w:rsid w:val="46CF5C10"/>
    <w:rsid w:val="46EE3F55"/>
    <w:rsid w:val="47205533"/>
    <w:rsid w:val="47FE6547"/>
    <w:rsid w:val="48C7608A"/>
    <w:rsid w:val="49066BB2"/>
    <w:rsid w:val="498E6450"/>
    <w:rsid w:val="4A0A4480"/>
    <w:rsid w:val="4A1A47AD"/>
    <w:rsid w:val="4B9960BF"/>
    <w:rsid w:val="4BA6FD2C"/>
    <w:rsid w:val="4BCF0658"/>
    <w:rsid w:val="4BD92F69"/>
    <w:rsid w:val="4C535328"/>
    <w:rsid w:val="4CA627C6"/>
    <w:rsid w:val="4CFBBAF4"/>
    <w:rsid w:val="4D7762D0"/>
    <w:rsid w:val="4DB8CA83"/>
    <w:rsid w:val="4DDD0F85"/>
    <w:rsid w:val="4DDFC0AF"/>
    <w:rsid w:val="4DF6D6CE"/>
    <w:rsid w:val="4E4765A5"/>
    <w:rsid w:val="4E6F0211"/>
    <w:rsid w:val="4E73E3FB"/>
    <w:rsid w:val="4E7B169F"/>
    <w:rsid w:val="4EBF98D1"/>
    <w:rsid w:val="4ED8447D"/>
    <w:rsid w:val="4EEE3858"/>
    <w:rsid w:val="4EEF5C12"/>
    <w:rsid w:val="4F2D2F95"/>
    <w:rsid w:val="4F975658"/>
    <w:rsid w:val="4FBFFCB5"/>
    <w:rsid w:val="4FCB46B2"/>
    <w:rsid w:val="4FD71394"/>
    <w:rsid w:val="4FDB1900"/>
    <w:rsid w:val="4FEF5B60"/>
    <w:rsid w:val="4FF74CBA"/>
    <w:rsid w:val="4FFF19D9"/>
    <w:rsid w:val="5030145A"/>
    <w:rsid w:val="505C22B2"/>
    <w:rsid w:val="507A4403"/>
    <w:rsid w:val="50FBDCBF"/>
    <w:rsid w:val="513DD22D"/>
    <w:rsid w:val="51622DF4"/>
    <w:rsid w:val="51AC308C"/>
    <w:rsid w:val="51AECBD3"/>
    <w:rsid w:val="52673FD8"/>
    <w:rsid w:val="532C36B9"/>
    <w:rsid w:val="53E97A02"/>
    <w:rsid w:val="53FA6DDC"/>
    <w:rsid w:val="53FF06CF"/>
    <w:rsid w:val="53FF6AD1"/>
    <w:rsid w:val="53FF6F1F"/>
    <w:rsid w:val="54655058"/>
    <w:rsid w:val="54DF6509"/>
    <w:rsid w:val="54FE2E33"/>
    <w:rsid w:val="55A712E7"/>
    <w:rsid w:val="55AB1A37"/>
    <w:rsid w:val="55BF8AF3"/>
    <w:rsid w:val="55DF282A"/>
    <w:rsid w:val="55EEFC27"/>
    <w:rsid w:val="55FF7591"/>
    <w:rsid w:val="56492578"/>
    <w:rsid w:val="5671696C"/>
    <w:rsid w:val="567B97A9"/>
    <w:rsid w:val="570BE767"/>
    <w:rsid w:val="57122BC6"/>
    <w:rsid w:val="571FD4BD"/>
    <w:rsid w:val="57560228"/>
    <w:rsid w:val="575719B9"/>
    <w:rsid w:val="57B66742"/>
    <w:rsid w:val="57BF847F"/>
    <w:rsid w:val="57D53463"/>
    <w:rsid w:val="57F6F642"/>
    <w:rsid w:val="57F76ECF"/>
    <w:rsid w:val="57FFA54B"/>
    <w:rsid w:val="58A837E2"/>
    <w:rsid w:val="58DC0B1D"/>
    <w:rsid w:val="5987349A"/>
    <w:rsid w:val="59FBD378"/>
    <w:rsid w:val="59FF952F"/>
    <w:rsid w:val="5A9FF5F0"/>
    <w:rsid w:val="5AB432FA"/>
    <w:rsid w:val="5ABF92E0"/>
    <w:rsid w:val="5AEFD391"/>
    <w:rsid w:val="5AF6269F"/>
    <w:rsid w:val="5AFD6213"/>
    <w:rsid w:val="5B2F59BB"/>
    <w:rsid w:val="5B7B1234"/>
    <w:rsid w:val="5B7D70F5"/>
    <w:rsid w:val="5B863B83"/>
    <w:rsid w:val="5B976F17"/>
    <w:rsid w:val="5B9A34B9"/>
    <w:rsid w:val="5BAEFAF8"/>
    <w:rsid w:val="5BC6A244"/>
    <w:rsid w:val="5BF5D76C"/>
    <w:rsid w:val="5BFF7D3F"/>
    <w:rsid w:val="5BFFA5EA"/>
    <w:rsid w:val="5C766E2E"/>
    <w:rsid w:val="5CB72C9A"/>
    <w:rsid w:val="5CBC2513"/>
    <w:rsid w:val="5CD76006"/>
    <w:rsid w:val="5CFB6F66"/>
    <w:rsid w:val="5CFF0677"/>
    <w:rsid w:val="5CFFA7B3"/>
    <w:rsid w:val="5D3A53B3"/>
    <w:rsid w:val="5D572172"/>
    <w:rsid w:val="5D7B0920"/>
    <w:rsid w:val="5D7F3AAC"/>
    <w:rsid w:val="5DB744F6"/>
    <w:rsid w:val="5DCC2B69"/>
    <w:rsid w:val="5DDE2EDB"/>
    <w:rsid w:val="5DEFC3B2"/>
    <w:rsid w:val="5DFB1EB4"/>
    <w:rsid w:val="5DFDF06E"/>
    <w:rsid w:val="5DFF5792"/>
    <w:rsid w:val="5EA6655C"/>
    <w:rsid w:val="5EBBE635"/>
    <w:rsid w:val="5ECD5371"/>
    <w:rsid w:val="5EDBC05B"/>
    <w:rsid w:val="5EEF7470"/>
    <w:rsid w:val="5EF37781"/>
    <w:rsid w:val="5EFF7B36"/>
    <w:rsid w:val="5F0B2C79"/>
    <w:rsid w:val="5F1F8002"/>
    <w:rsid w:val="5F337B7D"/>
    <w:rsid w:val="5F374C15"/>
    <w:rsid w:val="5F3C1128"/>
    <w:rsid w:val="5F5F815C"/>
    <w:rsid w:val="5F6F6CB7"/>
    <w:rsid w:val="5F73589F"/>
    <w:rsid w:val="5F7BDA81"/>
    <w:rsid w:val="5F914C08"/>
    <w:rsid w:val="5F972E2C"/>
    <w:rsid w:val="5FAF2EB1"/>
    <w:rsid w:val="5FAF9FC7"/>
    <w:rsid w:val="5FBF7285"/>
    <w:rsid w:val="5FCECFB5"/>
    <w:rsid w:val="5FD7ADB1"/>
    <w:rsid w:val="5FF1DAC5"/>
    <w:rsid w:val="5FF2E702"/>
    <w:rsid w:val="5FF7337D"/>
    <w:rsid w:val="5FFAFABE"/>
    <w:rsid w:val="5FFBA171"/>
    <w:rsid w:val="5FFC58B3"/>
    <w:rsid w:val="5FFF18FF"/>
    <w:rsid w:val="5FFF2D37"/>
    <w:rsid w:val="5FFF4BE7"/>
    <w:rsid w:val="5FFFB3DB"/>
    <w:rsid w:val="60AC5E39"/>
    <w:rsid w:val="60CC028A"/>
    <w:rsid w:val="61530F53"/>
    <w:rsid w:val="61F78A06"/>
    <w:rsid w:val="621719D8"/>
    <w:rsid w:val="623460E6"/>
    <w:rsid w:val="62EE29B1"/>
    <w:rsid w:val="632B3C1C"/>
    <w:rsid w:val="633B34A5"/>
    <w:rsid w:val="63827EE8"/>
    <w:rsid w:val="63EFCF38"/>
    <w:rsid w:val="63FAD675"/>
    <w:rsid w:val="644C1488"/>
    <w:rsid w:val="64F6E175"/>
    <w:rsid w:val="655ABD03"/>
    <w:rsid w:val="65AF0D77"/>
    <w:rsid w:val="65BFD5F6"/>
    <w:rsid w:val="65DBBF12"/>
    <w:rsid w:val="65EF8A22"/>
    <w:rsid w:val="65F25FBB"/>
    <w:rsid w:val="66485EA1"/>
    <w:rsid w:val="66844196"/>
    <w:rsid w:val="66BF5B9C"/>
    <w:rsid w:val="66FB5425"/>
    <w:rsid w:val="674F7488"/>
    <w:rsid w:val="67DFD95C"/>
    <w:rsid w:val="67E614AC"/>
    <w:rsid w:val="67E83A3C"/>
    <w:rsid w:val="67EDA38D"/>
    <w:rsid w:val="67EEB9BF"/>
    <w:rsid w:val="67FCE201"/>
    <w:rsid w:val="67FF466E"/>
    <w:rsid w:val="67FF8C60"/>
    <w:rsid w:val="67FFF983"/>
    <w:rsid w:val="6874232E"/>
    <w:rsid w:val="687F5F61"/>
    <w:rsid w:val="688902D8"/>
    <w:rsid w:val="68D301C4"/>
    <w:rsid w:val="68EF11A2"/>
    <w:rsid w:val="695E45CF"/>
    <w:rsid w:val="69BEB159"/>
    <w:rsid w:val="69BF8CEE"/>
    <w:rsid w:val="69F5E811"/>
    <w:rsid w:val="6A8F3DDD"/>
    <w:rsid w:val="6AAB53B4"/>
    <w:rsid w:val="6AB7DCA2"/>
    <w:rsid w:val="6ACD0E86"/>
    <w:rsid w:val="6AD71B05"/>
    <w:rsid w:val="6AFF2913"/>
    <w:rsid w:val="6B8678A5"/>
    <w:rsid w:val="6BAFB485"/>
    <w:rsid w:val="6BCE4EB6"/>
    <w:rsid w:val="6BD811FC"/>
    <w:rsid w:val="6BDD787C"/>
    <w:rsid w:val="6BF232AE"/>
    <w:rsid w:val="6BFB8292"/>
    <w:rsid w:val="6BFFB068"/>
    <w:rsid w:val="6BFFC30D"/>
    <w:rsid w:val="6C3869EA"/>
    <w:rsid w:val="6CD38BB5"/>
    <w:rsid w:val="6CE865F7"/>
    <w:rsid w:val="6CF260DF"/>
    <w:rsid w:val="6D2DD65C"/>
    <w:rsid w:val="6D705F4A"/>
    <w:rsid w:val="6D719F5A"/>
    <w:rsid w:val="6D73C9F0"/>
    <w:rsid w:val="6D8871E3"/>
    <w:rsid w:val="6D952A16"/>
    <w:rsid w:val="6D987CA8"/>
    <w:rsid w:val="6DF58AB2"/>
    <w:rsid w:val="6DFA145C"/>
    <w:rsid w:val="6DFBF452"/>
    <w:rsid w:val="6DFF4A4A"/>
    <w:rsid w:val="6DFFCCC1"/>
    <w:rsid w:val="6E4E0530"/>
    <w:rsid w:val="6E5F039D"/>
    <w:rsid w:val="6E6C8E4B"/>
    <w:rsid w:val="6E6D56BE"/>
    <w:rsid w:val="6E921943"/>
    <w:rsid w:val="6ED0363B"/>
    <w:rsid w:val="6EFCA894"/>
    <w:rsid w:val="6EFFD949"/>
    <w:rsid w:val="6F370768"/>
    <w:rsid w:val="6F5DAB41"/>
    <w:rsid w:val="6F7A4EAC"/>
    <w:rsid w:val="6F7BF643"/>
    <w:rsid w:val="6F7F6757"/>
    <w:rsid w:val="6F9FA693"/>
    <w:rsid w:val="6F9FDA1A"/>
    <w:rsid w:val="6FBA3BFA"/>
    <w:rsid w:val="6FCBADBB"/>
    <w:rsid w:val="6FCD7256"/>
    <w:rsid w:val="6FCE74F1"/>
    <w:rsid w:val="6FDB170E"/>
    <w:rsid w:val="6FEBAD71"/>
    <w:rsid w:val="6FEFC4FC"/>
    <w:rsid w:val="6FFAA33C"/>
    <w:rsid w:val="6FFAFC96"/>
    <w:rsid w:val="6FFE3CCD"/>
    <w:rsid w:val="6FFF440C"/>
    <w:rsid w:val="6FFF5B53"/>
    <w:rsid w:val="6FFF7B7E"/>
    <w:rsid w:val="6FFFB420"/>
    <w:rsid w:val="6FFFC965"/>
    <w:rsid w:val="70047276"/>
    <w:rsid w:val="71240578"/>
    <w:rsid w:val="713F3528"/>
    <w:rsid w:val="71704FED"/>
    <w:rsid w:val="717A16AD"/>
    <w:rsid w:val="718E12FC"/>
    <w:rsid w:val="71A51A75"/>
    <w:rsid w:val="71A95001"/>
    <w:rsid w:val="723C6B2E"/>
    <w:rsid w:val="7261521D"/>
    <w:rsid w:val="726B25FD"/>
    <w:rsid w:val="72732248"/>
    <w:rsid w:val="733FD41B"/>
    <w:rsid w:val="737BFB98"/>
    <w:rsid w:val="73A504C8"/>
    <w:rsid w:val="73DBEECD"/>
    <w:rsid w:val="73EBECB7"/>
    <w:rsid w:val="73F3B023"/>
    <w:rsid w:val="73F7B6DD"/>
    <w:rsid w:val="73F9FB00"/>
    <w:rsid w:val="73FB4689"/>
    <w:rsid w:val="73FC8113"/>
    <w:rsid w:val="73FD2664"/>
    <w:rsid w:val="73FD35DE"/>
    <w:rsid w:val="73FF6821"/>
    <w:rsid w:val="742C229E"/>
    <w:rsid w:val="747C00B7"/>
    <w:rsid w:val="74C958C3"/>
    <w:rsid w:val="74EB2C91"/>
    <w:rsid w:val="74F7C202"/>
    <w:rsid w:val="74FB16FD"/>
    <w:rsid w:val="74FBDE7D"/>
    <w:rsid w:val="74FE562D"/>
    <w:rsid w:val="753FB031"/>
    <w:rsid w:val="75B016AC"/>
    <w:rsid w:val="75E38EF3"/>
    <w:rsid w:val="75E74135"/>
    <w:rsid w:val="75EF133E"/>
    <w:rsid w:val="76B75F54"/>
    <w:rsid w:val="76B7BA19"/>
    <w:rsid w:val="76BC69F3"/>
    <w:rsid w:val="76BDD331"/>
    <w:rsid w:val="76D9BB77"/>
    <w:rsid w:val="76EF91E7"/>
    <w:rsid w:val="76FFD1AB"/>
    <w:rsid w:val="76FFE837"/>
    <w:rsid w:val="77373D8F"/>
    <w:rsid w:val="773972C4"/>
    <w:rsid w:val="77419776"/>
    <w:rsid w:val="777EB56C"/>
    <w:rsid w:val="779FF720"/>
    <w:rsid w:val="77BD4628"/>
    <w:rsid w:val="77BF34A2"/>
    <w:rsid w:val="77BF6283"/>
    <w:rsid w:val="77BFDDA8"/>
    <w:rsid w:val="77C555E5"/>
    <w:rsid w:val="77D56D1F"/>
    <w:rsid w:val="77D5AA65"/>
    <w:rsid w:val="77DC3615"/>
    <w:rsid w:val="77DF17A6"/>
    <w:rsid w:val="77DF1D8B"/>
    <w:rsid w:val="77EFD8D2"/>
    <w:rsid w:val="77F941B7"/>
    <w:rsid w:val="77FBB8B3"/>
    <w:rsid w:val="77FE540E"/>
    <w:rsid w:val="77FE8F0B"/>
    <w:rsid w:val="77FEF4AB"/>
    <w:rsid w:val="77FF189F"/>
    <w:rsid w:val="77FFFC63"/>
    <w:rsid w:val="781400F4"/>
    <w:rsid w:val="78271CF7"/>
    <w:rsid w:val="78913D64"/>
    <w:rsid w:val="78A30A77"/>
    <w:rsid w:val="78C4D15B"/>
    <w:rsid w:val="78D65562"/>
    <w:rsid w:val="78F56F0E"/>
    <w:rsid w:val="78FDD974"/>
    <w:rsid w:val="7931C875"/>
    <w:rsid w:val="793B2616"/>
    <w:rsid w:val="79521988"/>
    <w:rsid w:val="7997A6B2"/>
    <w:rsid w:val="79BF41A7"/>
    <w:rsid w:val="79CE2409"/>
    <w:rsid w:val="79E33499"/>
    <w:rsid w:val="79E8B3CD"/>
    <w:rsid w:val="79EE6B36"/>
    <w:rsid w:val="79EF9DC9"/>
    <w:rsid w:val="79FAF469"/>
    <w:rsid w:val="79FDD700"/>
    <w:rsid w:val="79FF1413"/>
    <w:rsid w:val="7A6FDF3E"/>
    <w:rsid w:val="7A7511ED"/>
    <w:rsid w:val="7A77165E"/>
    <w:rsid w:val="7A94376E"/>
    <w:rsid w:val="7ABEF574"/>
    <w:rsid w:val="7ABF4F78"/>
    <w:rsid w:val="7ACC6FED"/>
    <w:rsid w:val="7ADB6190"/>
    <w:rsid w:val="7AF2D664"/>
    <w:rsid w:val="7AFA605C"/>
    <w:rsid w:val="7AFFBE7E"/>
    <w:rsid w:val="7B272BF1"/>
    <w:rsid w:val="7B2F7361"/>
    <w:rsid w:val="7B4F4423"/>
    <w:rsid w:val="7B66AF37"/>
    <w:rsid w:val="7B6A3C45"/>
    <w:rsid w:val="7B7B73D6"/>
    <w:rsid w:val="7B7BB966"/>
    <w:rsid w:val="7B7F3964"/>
    <w:rsid w:val="7B7FA603"/>
    <w:rsid w:val="7B8B6C7C"/>
    <w:rsid w:val="7B98728E"/>
    <w:rsid w:val="7BAB0D70"/>
    <w:rsid w:val="7BB7E26A"/>
    <w:rsid w:val="7BBCB67B"/>
    <w:rsid w:val="7BBE109F"/>
    <w:rsid w:val="7BBF6B07"/>
    <w:rsid w:val="7BC78D0B"/>
    <w:rsid w:val="7BCBE045"/>
    <w:rsid w:val="7BCD74AB"/>
    <w:rsid w:val="7BD5A64F"/>
    <w:rsid w:val="7BDFBBD2"/>
    <w:rsid w:val="7BEEB720"/>
    <w:rsid w:val="7BEEB98E"/>
    <w:rsid w:val="7BEFE17E"/>
    <w:rsid w:val="7BF340AD"/>
    <w:rsid w:val="7BF47670"/>
    <w:rsid w:val="7BF7575C"/>
    <w:rsid w:val="7BF7F9A1"/>
    <w:rsid w:val="7BF8E91F"/>
    <w:rsid w:val="7BFB79D3"/>
    <w:rsid w:val="7BFC3187"/>
    <w:rsid w:val="7BFDFBA5"/>
    <w:rsid w:val="7BFFB78B"/>
    <w:rsid w:val="7C3C40BE"/>
    <w:rsid w:val="7C6D8E58"/>
    <w:rsid w:val="7C7F22B5"/>
    <w:rsid w:val="7C8F8B3D"/>
    <w:rsid w:val="7CA72772"/>
    <w:rsid w:val="7CB1685A"/>
    <w:rsid w:val="7CDB6739"/>
    <w:rsid w:val="7CF78F31"/>
    <w:rsid w:val="7CFF1385"/>
    <w:rsid w:val="7CFF5431"/>
    <w:rsid w:val="7D6CA128"/>
    <w:rsid w:val="7D6F5394"/>
    <w:rsid w:val="7D782ED3"/>
    <w:rsid w:val="7D7DEF9C"/>
    <w:rsid w:val="7D9FB515"/>
    <w:rsid w:val="7DA5F83C"/>
    <w:rsid w:val="7DAE0AC6"/>
    <w:rsid w:val="7DB41B77"/>
    <w:rsid w:val="7DBB5623"/>
    <w:rsid w:val="7DBE740C"/>
    <w:rsid w:val="7DBED49F"/>
    <w:rsid w:val="7DDF7153"/>
    <w:rsid w:val="7DDF9CF3"/>
    <w:rsid w:val="7DE3FA5C"/>
    <w:rsid w:val="7DE715DB"/>
    <w:rsid w:val="7DE9877B"/>
    <w:rsid w:val="7DECC6DD"/>
    <w:rsid w:val="7DFB4C30"/>
    <w:rsid w:val="7DFD298C"/>
    <w:rsid w:val="7DFF9DD5"/>
    <w:rsid w:val="7DFFAC02"/>
    <w:rsid w:val="7E1D4D65"/>
    <w:rsid w:val="7E3879EF"/>
    <w:rsid w:val="7E3EC8DD"/>
    <w:rsid w:val="7E572981"/>
    <w:rsid w:val="7E5F9B3F"/>
    <w:rsid w:val="7E6F38B6"/>
    <w:rsid w:val="7E7D423C"/>
    <w:rsid w:val="7E7EB345"/>
    <w:rsid w:val="7E8F7CB9"/>
    <w:rsid w:val="7E9DA08A"/>
    <w:rsid w:val="7E9F1D77"/>
    <w:rsid w:val="7EBB4189"/>
    <w:rsid w:val="7EBEFB46"/>
    <w:rsid w:val="7ECB3B21"/>
    <w:rsid w:val="7ECF8EF1"/>
    <w:rsid w:val="7ED48719"/>
    <w:rsid w:val="7ED62DEC"/>
    <w:rsid w:val="7EDCFEB1"/>
    <w:rsid w:val="7EDF0DD3"/>
    <w:rsid w:val="7EDFC4FA"/>
    <w:rsid w:val="7EDFC71B"/>
    <w:rsid w:val="7EE15CBC"/>
    <w:rsid w:val="7EF77A99"/>
    <w:rsid w:val="7EF7AA4C"/>
    <w:rsid w:val="7EFCDDF7"/>
    <w:rsid w:val="7EFDA250"/>
    <w:rsid w:val="7EFDEDD1"/>
    <w:rsid w:val="7EFE12B9"/>
    <w:rsid w:val="7EFE9A40"/>
    <w:rsid w:val="7EFF44F5"/>
    <w:rsid w:val="7EFF454F"/>
    <w:rsid w:val="7EFF92AD"/>
    <w:rsid w:val="7F363ADE"/>
    <w:rsid w:val="7F3D48E4"/>
    <w:rsid w:val="7F3FA317"/>
    <w:rsid w:val="7F458C46"/>
    <w:rsid w:val="7F470A56"/>
    <w:rsid w:val="7F528D79"/>
    <w:rsid w:val="7F5C9ADD"/>
    <w:rsid w:val="7F5F11CA"/>
    <w:rsid w:val="7F5F4629"/>
    <w:rsid w:val="7F5F84C4"/>
    <w:rsid w:val="7F6DD89D"/>
    <w:rsid w:val="7F6F17F7"/>
    <w:rsid w:val="7F772B9D"/>
    <w:rsid w:val="7F77FA61"/>
    <w:rsid w:val="7F7BA7FE"/>
    <w:rsid w:val="7F7E8FDD"/>
    <w:rsid w:val="7F7FD3C2"/>
    <w:rsid w:val="7F9B5BF7"/>
    <w:rsid w:val="7F9BE585"/>
    <w:rsid w:val="7F9E4D06"/>
    <w:rsid w:val="7FAAA9DE"/>
    <w:rsid w:val="7FAEEF24"/>
    <w:rsid w:val="7FAFCA7A"/>
    <w:rsid w:val="7FBB09FF"/>
    <w:rsid w:val="7FBB835D"/>
    <w:rsid w:val="7FBD244B"/>
    <w:rsid w:val="7FBDB402"/>
    <w:rsid w:val="7FBE7D94"/>
    <w:rsid w:val="7FBF33FF"/>
    <w:rsid w:val="7FBF724F"/>
    <w:rsid w:val="7FBF7EB8"/>
    <w:rsid w:val="7FBFF6BC"/>
    <w:rsid w:val="7FD5E88B"/>
    <w:rsid w:val="7FDB09AE"/>
    <w:rsid w:val="7FDB0A36"/>
    <w:rsid w:val="7FDBA796"/>
    <w:rsid w:val="7FDBD921"/>
    <w:rsid w:val="7FDBEB83"/>
    <w:rsid w:val="7FDBF418"/>
    <w:rsid w:val="7FDD0ED6"/>
    <w:rsid w:val="7FDE8F9C"/>
    <w:rsid w:val="7FDECF50"/>
    <w:rsid w:val="7FDEEDF9"/>
    <w:rsid w:val="7FDF09EB"/>
    <w:rsid w:val="7FDF99CD"/>
    <w:rsid w:val="7FE311C1"/>
    <w:rsid w:val="7FE6DF56"/>
    <w:rsid w:val="7FEB0678"/>
    <w:rsid w:val="7FEEA275"/>
    <w:rsid w:val="7FEFA354"/>
    <w:rsid w:val="7FEFB6F4"/>
    <w:rsid w:val="7FF3C4DA"/>
    <w:rsid w:val="7FF55AF9"/>
    <w:rsid w:val="7FF719EC"/>
    <w:rsid w:val="7FF7519D"/>
    <w:rsid w:val="7FF95104"/>
    <w:rsid w:val="7FFA6D76"/>
    <w:rsid w:val="7FFB5773"/>
    <w:rsid w:val="7FFB5994"/>
    <w:rsid w:val="7FFBCD85"/>
    <w:rsid w:val="7FFC285B"/>
    <w:rsid w:val="7FFD17BA"/>
    <w:rsid w:val="7FFD1CE3"/>
    <w:rsid w:val="7FFD84CB"/>
    <w:rsid w:val="7FFDDE02"/>
    <w:rsid w:val="7FFE83B7"/>
    <w:rsid w:val="7FFEB170"/>
    <w:rsid w:val="7FFEB749"/>
    <w:rsid w:val="7FFEDE8F"/>
    <w:rsid w:val="7FFEFC82"/>
    <w:rsid w:val="7FFF6914"/>
    <w:rsid w:val="7FFF7B25"/>
    <w:rsid w:val="7FFF8616"/>
    <w:rsid w:val="7FFFFCA6"/>
    <w:rsid w:val="81FB7262"/>
    <w:rsid w:val="857F8520"/>
    <w:rsid w:val="86BB2021"/>
    <w:rsid w:val="873F0FC4"/>
    <w:rsid w:val="87EC1F94"/>
    <w:rsid w:val="88BB424F"/>
    <w:rsid w:val="8BBD7596"/>
    <w:rsid w:val="8DABE2EC"/>
    <w:rsid w:val="8EFF11B0"/>
    <w:rsid w:val="92CDA712"/>
    <w:rsid w:val="92FF5FF5"/>
    <w:rsid w:val="95C7300D"/>
    <w:rsid w:val="96AB564F"/>
    <w:rsid w:val="975FAC55"/>
    <w:rsid w:val="979F1C02"/>
    <w:rsid w:val="97B5244C"/>
    <w:rsid w:val="97BF3A2E"/>
    <w:rsid w:val="97DD4E89"/>
    <w:rsid w:val="97FFA86C"/>
    <w:rsid w:val="9BBB7644"/>
    <w:rsid w:val="9BF6EC2B"/>
    <w:rsid w:val="9C76A6D7"/>
    <w:rsid w:val="9CF6FE10"/>
    <w:rsid w:val="9D5B4543"/>
    <w:rsid w:val="9DFC8E13"/>
    <w:rsid w:val="9DFD7AB0"/>
    <w:rsid w:val="9F71BB81"/>
    <w:rsid w:val="9FCFBC23"/>
    <w:rsid w:val="9FD77369"/>
    <w:rsid w:val="9FDFA3D8"/>
    <w:rsid w:val="9FE7472E"/>
    <w:rsid w:val="A5BFD603"/>
    <w:rsid w:val="A5EF5CB1"/>
    <w:rsid w:val="A62E46C1"/>
    <w:rsid w:val="A7F523CB"/>
    <w:rsid w:val="A7F6524E"/>
    <w:rsid w:val="A7FF95ED"/>
    <w:rsid w:val="A8BBFCEC"/>
    <w:rsid w:val="A9FF653A"/>
    <w:rsid w:val="AB64D9F9"/>
    <w:rsid w:val="ACF6CBBA"/>
    <w:rsid w:val="ADBFA0B5"/>
    <w:rsid w:val="AEBD5E2B"/>
    <w:rsid w:val="AF7E1938"/>
    <w:rsid w:val="AF9DA179"/>
    <w:rsid w:val="AFA9BD8E"/>
    <w:rsid w:val="AFB30C08"/>
    <w:rsid w:val="AFBC7ECC"/>
    <w:rsid w:val="AFBDB9DD"/>
    <w:rsid w:val="AFDE96CF"/>
    <w:rsid w:val="AFFB1489"/>
    <w:rsid w:val="B06D7D4A"/>
    <w:rsid w:val="B07932B9"/>
    <w:rsid w:val="B17E653F"/>
    <w:rsid w:val="B35754C1"/>
    <w:rsid w:val="B3EE1A46"/>
    <w:rsid w:val="B3FBA081"/>
    <w:rsid w:val="B3FF7D4F"/>
    <w:rsid w:val="B3FFA160"/>
    <w:rsid w:val="B4BFB8E1"/>
    <w:rsid w:val="B4CF5D0A"/>
    <w:rsid w:val="B6EFAA40"/>
    <w:rsid w:val="B6FF06B8"/>
    <w:rsid w:val="B71DCE4B"/>
    <w:rsid w:val="B73F10DE"/>
    <w:rsid w:val="B7BC3CF7"/>
    <w:rsid w:val="B7BDF217"/>
    <w:rsid w:val="B7BE5217"/>
    <w:rsid w:val="B7DEEFD8"/>
    <w:rsid w:val="B7F389C0"/>
    <w:rsid w:val="B7FE677D"/>
    <w:rsid w:val="B9199C2A"/>
    <w:rsid w:val="B95B66FA"/>
    <w:rsid w:val="B9DFC295"/>
    <w:rsid w:val="B9F956D8"/>
    <w:rsid w:val="BA3FDECF"/>
    <w:rsid w:val="BA542638"/>
    <w:rsid w:val="BADDB8F5"/>
    <w:rsid w:val="BAFBC0F0"/>
    <w:rsid w:val="BB3D6C4C"/>
    <w:rsid w:val="BB7305EE"/>
    <w:rsid w:val="BB7FA09C"/>
    <w:rsid w:val="BBBB8864"/>
    <w:rsid w:val="BBBEFEE9"/>
    <w:rsid w:val="BBBF2070"/>
    <w:rsid w:val="BBD34FFA"/>
    <w:rsid w:val="BBF2FFDC"/>
    <w:rsid w:val="BBFF87FF"/>
    <w:rsid w:val="BC4F9662"/>
    <w:rsid w:val="BCBF4327"/>
    <w:rsid w:val="BCE8697E"/>
    <w:rsid w:val="BCFD1CCC"/>
    <w:rsid w:val="BCFEB04A"/>
    <w:rsid w:val="BCFF666B"/>
    <w:rsid w:val="BD573097"/>
    <w:rsid w:val="BD7F7C48"/>
    <w:rsid w:val="BDB6208E"/>
    <w:rsid w:val="BDBF2F9C"/>
    <w:rsid w:val="BDDC86BF"/>
    <w:rsid w:val="BDEF8950"/>
    <w:rsid w:val="BDFE5582"/>
    <w:rsid w:val="BE2F389F"/>
    <w:rsid w:val="BE720684"/>
    <w:rsid w:val="BEB2AB3C"/>
    <w:rsid w:val="BEBA061E"/>
    <w:rsid w:val="BEDF7623"/>
    <w:rsid w:val="BEFB218E"/>
    <w:rsid w:val="BEFF9445"/>
    <w:rsid w:val="BF26C2F7"/>
    <w:rsid w:val="BF2F9EAA"/>
    <w:rsid w:val="BF49AA75"/>
    <w:rsid w:val="BF5E3283"/>
    <w:rsid w:val="BF5F4373"/>
    <w:rsid w:val="BF73D1D2"/>
    <w:rsid w:val="BFA32E50"/>
    <w:rsid w:val="BFA70935"/>
    <w:rsid w:val="BFA7C1C1"/>
    <w:rsid w:val="BFBF0A1E"/>
    <w:rsid w:val="BFCD9A12"/>
    <w:rsid w:val="BFCEF500"/>
    <w:rsid w:val="BFCFAEC4"/>
    <w:rsid w:val="BFDF9234"/>
    <w:rsid w:val="BFEFDB39"/>
    <w:rsid w:val="BFEFFF31"/>
    <w:rsid w:val="BFF70DA2"/>
    <w:rsid w:val="BFF7AAA3"/>
    <w:rsid w:val="BFFB34E6"/>
    <w:rsid w:val="BFFCD8C6"/>
    <w:rsid w:val="BFFD9E75"/>
    <w:rsid w:val="C2B3AA90"/>
    <w:rsid w:val="C6D80FDA"/>
    <w:rsid w:val="C777A013"/>
    <w:rsid w:val="C7EF7AC2"/>
    <w:rsid w:val="C7EFD2DA"/>
    <w:rsid w:val="C7FE3C12"/>
    <w:rsid w:val="C7FF90EC"/>
    <w:rsid w:val="C83F2A2C"/>
    <w:rsid w:val="C9F799D3"/>
    <w:rsid w:val="CB7B54DB"/>
    <w:rsid w:val="CB7F1E88"/>
    <w:rsid w:val="CBE7E30F"/>
    <w:rsid w:val="CC7FBA9D"/>
    <w:rsid w:val="CD7F518B"/>
    <w:rsid w:val="CDBB0A43"/>
    <w:rsid w:val="CDBB563F"/>
    <w:rsid w:val="CDBF8A4C"/>
    <w:rsid w:val="CDDBDC43"/>
    <w:rsid w:val="CDE39437"/>
    <w:rsid w:val="CDF95DA1"/>
    <w:rsid w:val="CDFDBA4C"/>
    <w:rsid w:val="CE4F9897"/>
    <w:rsid w:val="CEEED3F4"/>
    <w:rsid w:val="CF3BB85C"/>
    <w:rsid w:val="CF3F0FF9"/>
    <w:rsid w:val="CF67B435"/>
    <w:rsid w:val="CF7201D8"/>
    <w:rsid w:val="CF7B3CD0"/>
    <w:rsid w:val="CF948F3A"/>
    <w:rsid w:val="CFD74CBC"/>
    <w:rsid w:val="D0F63900"/>
    <w:rsid w:val="D37F0A78"/>
    <w:rsid w:val="D3FD1101"/>
    <w:rsid w:val="D67F4285"/>
    <w:rsid w:val="D6F7F89A"/>
    <w:rsid w:val="D74E2157"/>
    <w:rsid w:val="D7736401"/>
    <w:rsid w:val="D78FC5BD"/>
    <w:rsid w:val="D793991E"/>
    <w:rsid w:val="D7967813"/>
    <w:rsid w:val="D7FB1321"/>
    <w:rsid w:val="D95355DC"/>
    <w:rsid w:val="D9563576"/>
    <w:rsid w:val="D9B94CFB"/>
    <w:rsid w:val="D9D9D78D"/>
    <w:rsid w:val="DAFD0B28"/>
    <w:rsid w:val="DAFF4273"/>
    <w:rsid w:val="DB3F14B1"/>
    <w:rsid w:val="DB3F70BB"/>
    <w:rsid w:val="DB6EE402"/>
    <w:rsid w:val="DB7F39C8"/>
    <w:rsid w:val="DB7F5D76"/>
    <w:rsid w:val="DB7FF777"/>
    <w:rsid w:val="DBCFE682"/>
    <w:rsid w:val="DBD7F733"/>
    <w:rsid w:val="DBE301DC"/>
    <w:rsid w:val="DBEDE729"/>
    <w:rsid w:val="DBEEA031"/>
    <w:rsid w:val="DBEF71C3"/>
    <w:rsid w:val="DC1E991C"/>
    <w:rsid w:val="DC5B7041"/>
    <w:rsid w:val="DC7FF158"/>
    <w:rsid w:val="DD12B043"/>
    <w:rsid w:val="DD666A4E"/>
    <w:rsid w:val="DD7171DA"/>
    <w:rsid w:val="DDBBFBD6"/>
    <w:rsid w:val="DDCFFA89"/>
    <w:rsid w:val="DDD34BDA"/>
    <w:rsid w:val="DDDC8493"/>
    <w:rsid w:val="DDED20C6"/>
    <w:rsid w:val="DDF687C8"/>
    <w:rsid w:val="DDFB0648"/>
    <w:rsid w:val="DDFE3842"/>
    <w:rsid w:val="DE2E7055"/>
    <w:rsid w:val="DE6FDB54"/>
    <w:rsid w:val="DE797FAE"/>
    <w:rsid w:val="DE9882E9"/>
    <w:rsid w:val="DEDFC19B"/>
    <w:rsid w:val="DEED7C16"/>
    <w:rsid w:val="DEF5DFB4"/>
    <w:rsid w:val="DEF69AEB"/>
    <w:rsid w:val="DEF70319"/>
    <w:rsid w:val="DEFEAE05"/>
    <w:rsid w:val="DF1EB014"/>
    <w:rsid w:val="DF5BCED3"/>
    <w:rsid w:val="DF67164E"/>
    <w:rsid w:val="DF6BB574"/>
    <w:rsid w:val="DF7DA0E3"/>
    <w:rsid w:val="DF7E8C26"/>
    <w:rsid w:val="DF9B3F12"/>
    <w:rsid w:val="DFAE8482"/>
    <w:rsid w:val="DFB36F8A"/>
    <w:rsid w:val="DFBF6249"/>
    <w:rsid w:val="DFBFF660"/>
    <w:rsid w:val="DFC706E9"/>
    <w:rsid w:val="DFD70EBC"/>
    <w:rsid w:val="DFDC8CCD"/>
    <w:rsid w:val="DFE7DCCB"/>
    <w:rsid w:val="DFE9ACF6"/>
    <w:rsid w:val="DFF73D16"/>
    <w:rsid w:val="DFF7A4EB"/>
    <w:rsid w:val="DFFE4A54"/>
    <w:rsid w:val="DFFF31A9"/>
    <w:rsid w:val="DFFFC4FF"/>
    <w:rsid w:val="DFFFCF97"/>
    <w:rsid w:val="E4FEEE5C"/>
    <w:rsid w:val="E531528B"/>
    <w:rsid w:val="E5AF8698"/>
    <w:rsid w:val="E5FE6E71"/>
    <w:rsid w:val="E6DC1D3E"/>
    <w:rsid w:val="E6FBAB88"/>
    <w:rsid w:val="E72C3D34"/>
    <w:rsid w:val="E73BE257"/>
    <w:rsid w:val="E73EB3C3"/>
    <w:rsid w:val="E7B5DBEA"/>
    <w:rsid w:val="E7BFECFE"/>
    <w:rsid w:val="E7CF5F56"/>
    <w:rsid w:val="E7CF6A85"/>
    <w:rsid w:val="E7D2BE4D"/>
    <w:rsid w:val="E7FB1162"/>
    <w:rsid w:val="E7FD797A"/>
    <w:rsid w:val="E96F72B0"/>
    <w:rsid w:val="E9FF04A2"/>
    <w:rsid w:val="EA7ED10B"/>
    <w:rsid w:val="EADDD2C4"/>
    <w:rsid w:val="EAFBFB45"/>
    <w:rsid w:val="EB0FAA44"/>
    <w:rsid w:val="EB7EB115"/>
    <w:rsid w:val="EB7FF6DD"/>
    <w:rsid w:val="EBBF1EEF"/>
    <w:rsid w:val="EBDD9EB1"/>
    <w:rsid w:val="EBE76C64"/>
    <w:rsid w:val="EBFBA462"/>
    <w:rsid w:val="EBFDDDE0"/>
    <w:rsid w:val="EBFEA20D"/>
    <w:rsid w:val="EBFF26F5"/>
    <w:rsid w:val="EBFF3414"/>
    <w:rsid w:val="ED655D98"/>
    <w:rsid w:val="ED7F1742"/>
    <w:rsid w:val="ED9E34CE"/>
    <w:rsid w:val="EDB7B65E"/>
    <w:rsid w:val="EDBF5FB5"/>
    <w:rsid w:val="EDBFE2F5"/>
    <w:rsid w:val="EDDA06E0"/>
    <w:rsid w:val="EDEFB51E"/>
    <w:rsid w:val="EDEFC104"/>
    <w:rsid w:val="EDF170B9"/>
    <w:rsid w:val="EDFC5749"/>
    <w:rsid w:val="EE5C8DDC"/>
    <w:rsid w:val="EE6F7B2F"/>
    <w:rsid w:val="EE777800"/>
    <w:rsid w:val="EEB509B6"/>
    <w:rsid w:val="EEBB6DCB"/>
    <w:rsid w:val="EEF48347"/>
    <w:rsid w:val="EEF7B0F5"/>
    <w:rsid w:val="EEFA8613"/>
    <w:rsid w:val="EEFB2A56"/>
    <w:rsid w:val="EEFECFF9"/>
    <w:rsid w:val="EF3A1CD8"/>
    <w:rsid w:val="EF5FF436"/>
    <w:rsid w:val="EF675AFD"/>
    <w:rsid w:val="EF6D4B9D"/>
    <w:rsid w:val="EF6E7AD3"/>
    <w:rsid w:val="EF6FD1FC"/>
    <w:rsid w:val="EF7A100D"/>
    <w:rsid w:val="EF7C9E82"/>
    <w:rsid w:val="EF7F544A"/>
    <w:rsid w:val="EF7FF1F3"/>
    <w:rsid w:val="EFABC7B1"/>
    <w:rsid w:val="EFB70EAA"/>
    <w:rsid w:val="EFBF8E35"/>
    <w:rsid w:val="EFDF91CA"/>
    <w:rsid w:val="EFDFC62F"/>
    <w:rsid w:val="EFDFF5C5"/>
    <w:rsid w:val="EFE7B7E8"/>
    <w:rsid w:val="EFEC466B"/>
    <w:rsid w:val="EFED70F0"/>
    <w:rsid w:val="EFEE18FD"/>
    <w:rsid w:val="EFEF3CCE"/>
    <w:rsid w:val="EFF618D4"/>
    <w:rsid w:val="EFF62FB3"/>
    <w:rsid w:val="EFFB1760"/>
    <w:rsid w:val="EFFCAF14"/>
    <w:rsid w:val="EFFEF1E6"/>
    <w:rsid w:val="EFFF3B4D"/>
    <w:rsid w:val="EFFF993D"/>
    <w:rsid w:val="EFFFD829"/>
    <w:rsid w:val="EFFFD90D"/>
    <w:rsid w:val="EFFFFBDF"/>
    <w:rsid w:val="F09F97C6"/>
    <w:rsid w:val="F0EF4240"/>
    <w:rsid w:val="F1BF610E"/>
    <w:rsid w:val="F1EB88E7"/>
    <w:rsid w:val="F23FDC75"/>
    <w:rsid w:val="F2FAF78A"/>
    <w:rsid w:val="F2FB35C3"/>
    <w:rsid w:val="F2FF91BA"/>
    <w:rsid w:val="F36C277C"/>
    <w:rsid w:val="F36DC242"/>
    <w:rsid w:val="F3D77D82"/>
    <w:rsid w:val="F3DD5C11"/>
    <w:rsid w:val="F3DFE596"/>
    <w:rsid w:val="F3DFEC93"/>
    <w:rsid w:val="F3FD3B8E"/>
    <w:rsid w:val="F3FFE0D8"/>
    <w:rsid w:val="F46DAE28"/>
    <w:rsid w:val="F547799B"/>
    <w:rsid w:val="F566A8C3"/>
    <w:rsid w:val="F5BBB3B1"/>
    <w:rsid w:val="F5D7D1F8"/>
    <w:rsid w:val="F5DA2830"/>
    <w:rsid w:val="F5DB4229"/>
    <w:rsid w:val="F5DE9EE1"/>
    <w:rsid w:val="F5DF11BC"/>
    <w:rsid w:val="F5E334D4"/>
    <w:rsid w:val="F5E5661E"/>
    <w:rsid w:val="F5EE9D00"/>
    <w:rsid w:val="F5FE1E50"/>
    <w:rsid w:val="F5FE5D1E"/>
    <w:rsid w:val="F67F6A56"/>
    <w:rsid w:val="F6DB00C5"/>
    <w:rsid w:val="F6DE60A1"/>
    <w:rsid w:val="F6FE9C98"/>
    <w:rsid w:val="F6FF6B3C"/>
    <w:rsid w:val="F745779D"/>
    <w:rsid w:val="F747BEB0"/>
    <w:rsid w:val="F77FEFAF"/>
    <w:rsid w:val="F79D722C"/>
    <w:rsid w:val="F7A0D0F2"/>
    <w:rsid w:val="F7AF6013"/>
    <w:rsid w:val="F7BF64F4"/>
    <w:rsid w:val="F7BF6FF4"/>
    <w:rsid w:val="F7C3FA95"/>
    <w:rsid w:val="F7DDCC6E"/>
    <w:rsid w:val="F7EBE19E"/>
    <w:rsid w:val="F7EEC047"/>
    <w:rsid w:val="F7F71987"/>
    <w:rsid w:val="F7F7F577"/>
    <w:rsid w:val="F7FEAF68"/>
    <w:rsid w:val="F7FFF467"/>
    <w:rsid w:val="F86F1C3C"/>
    <w:rsid w:val="F8F70840"/>
    <w:rsid w:val="F8F7B3AD"/>
    <w:rsid w:val="F8FB9A90"/>
    <w:rsid w:val="F8FDC39A"/>
    <w:rsid w:val="F92D6231"/>
    <w:rsid w:val="F93FD6F6"/>
    <w:rsid w:val="F95A4B59"/>
    <w:rsid w:val="F9B380BD"/>
    <w:rsid w:val="F9BF9D8A"/>
    <w:rsid w:val="F9ED2433"/>
    <w:rsid w:val="F9FD0C55"/>
    <w:rsid w:val="F9FF0CB6"/>
    <w:rsid w:val="FA3AE46C"/>
    <w:rsid w:val="FA5E5294"/>
    <w:rsid w:val="FA8F3A42"/>
    <w:rsid w:val="FA9F86F1"/>
    <w:rsid w:val="FADFD23D"/>
    <w:rsid w:val="FAF5316C"/>
    <w:rsid w:val="FAF6D93B"/>
    <w:rsid w:val="FB3851D7"/>
    <w:rsid w:val="FB39809E"/>
    <w:rsid w:val="FB528A0A"/>
    <w:rsid w:val="FB5E502A"/>
    <w:rsid w:val="FB7D69CF"/>
    <w:rsid w:val="FB7E20A8"/>
    <w:rsid w:val="FB8F88F4"/>
    <w:rsid w:val="FB991FD7"/>
    <w:rsid w:val="FB9D343D"/>
    <w:rsid w:val="FBBC11D4"/>
    <w:rsid w:val="FBBD8ADF"/>
    <w:rsid w:val="FBBE3603"/>
    <w:rsid w:val="FBBE40DA"/>
    <w:rsid w:val="FBBF8323"/>
    <w:rsid w:val="FBCBFB3D"/>
    <w:rsid w:val="FBCF567C"/>
    <w:rsid w:val="FBD6E237"/>
    <w:rsid w:val="FBD78A87"/>
    <w:rsid w:val="FBD83E5F"/>
    <w:rsid w:val="FBEE18EA"/>
    <w:rsid w:val="FBEE6A6A"/>
    <w:rsid w:val="FBF5524A"/>
    <w:rsid w:val="FBF5B6BD"/>
    <w:rsid w:val="FBF7DF96"/>
    <w:rsid w:val="FBFB1FF0"/>
    <w:rsid w:val="FBFDEC93"/>
    <w:rsid w:val="FBFF84B2"/>
    <w:rsid w:val="FC6B2EB4"/>
    <w:rsid w:val="FC7C531A"/>
    <w:rsid w:val="FCCF5C58"/>
    <w:rsid w:val="FCEDADD4"/>
    <w:rsid w:val="FCEEBBEC"/>
    <w:rsid w:val="FCF6523C"/>
    <w:rsid w:val="FCF75422"/>
    <w:rsid w:val="FCFEEAB1"/>
    <w:rsid w:val="FD1F5045"/>
    <w:rsid w:val="FD373DD1"/>
    <w:rsid w:val="FD3F1077"/>
    <w:rsid w:val="FD5F3F4E"/>
    <w:rsid w:val="FD6F7D1E"/>
    <w:rsid w:val="FD7F134B"/>
    <w:rsid w:val="FD7F62AE"/>
    <w:rsid w:val="FD97CA2B"/>
    <w:rsid w:val="FDB19002"/>
    <w:rsid w:val="FDB7AE09"/>
    <w:rsid w:val="FDBEF64A"/>
    <w:rsid w:val="FDBFF595"/>
    <w:rsid w:val="FDD792D4"/>
    <w:rsid w:val="FDE383AB"/>
    <w:rsid w:val="FDE5C826"/>
    <w:rsid w:val="FDEB763D"/>
    <w:rsid w:val="FDEC5567"/>
    <w:rsid w:val="FDF10D50"/>
    <w:rsid w:val="FDF2FE68"/>
    <w:rsid w:val="FDFB2D1F"/>
    <w:rsid w:val="FDFB7B4E"/>
    <w:rsid w:val="FDFCD0B2"/>
    <w:rsid w:val="FDFE2414"/>
    <w:rsid w:val="FDFE6185"/>
    <w:rsid w:val="FDFEAAD4"/>
    <w:rsid w:val="FE3F4C07"/>
    <w:rsid w:val="FE5BB765"/>
    <w:rsid w:val="FE76D556"/>
    <w:rsid w:val="FE7E3F49"/>
    <w:rsid w:val="FE7EB4FD"/>
    <w:rsid w:val="FE7F2460"/>
    <w:rsid w:val="FE7F2785"/>
    <w:rsid w:val="FE7F288C"/>
    <w:rsid w:val="FE866C77"/>
    <w:rsid w:val="FEB939DF"/>
    <w:rsid w:val="FED7FF38"/>
    <w:rsid w:val="FEDBE90F"/>
    <w:rsid w:val="FEDE952E"/>
    <w:rsid w:val="FEDEF137"/>
    <w:rsid w:val="FEE7927F"/>
    <w:rsid w:val="FEEC3C29"/>
    <w:rsid w:val="FEEF1739"/>
    <w:rsid w:val="FEEFA3D6"/>
    <w:rsid w:val="FEF52D03"/>
    <w:rsid w:val="FEFB5A6E"/>
    <w:rsid w:val="FEFF7253"/>
    <w:rsid w:val="FEFFA50D"/>
    <w:rsid w:val="FF03160D"/>
    <w:rsid w:val="FF09AA4B"/>
    <w:rsid w:val="FF3B16FC"/>
    <w:rsid w:val="FF3E1FF3"/>
    <w:rsid w:val="FF3F8FA6"/>
    <w:rsid w:val="FF4F0E2C"/>
    <w:rsid w:val="FF5748AF"/>
    <w:rsid w:val="FF5D1BFC"/>
    <w:rsid w:val="FF6BA1D5"/>
    <w:rsid w:val="FF714ED0"/>
    <w:rsid w:val="FF771FEF"/>
    <w:rsid w:val="FF791533"/>
    <w:rsid w:val="FF7B632D"/>
    <w:rsid w:val="FF7CB986"/>
    <w:rsid w:val="FF7E9200"/>
    <w:rsid w:val="FF7F7AE4"/>
    <w:rsid w:val="FF7FC06C"/>
    <w:rsid w:val="FF7FC7A5"/>
    <w:rsid w:val="FF854597"/>
    <w:rsid w:val="FF87B19E"/>
    <w:rsid w:val="FF8D31A4"/>
    <w:rsid w:val="FFA19105"/>
    <w:rsid w:val="FFADE3BD"/>
    <w:rsid w:val="FFAF9A00"/>
    <w:rsid w:val="FFAFF611"/>
    <w:rsid w:val="FFB62F9A"/>
    <w:rsid w:val="FFB95E66"/>
    <w:rsid w:val="FFBBC6C0"/>
    <w:rsid w:val="FFBD79F9"/>
    <w:rsid w:val="FFBEB4F0"/>
    <w:rsid w:val="FFBF66CF"/>
    <w:rsid w:val="FFBFD8D6"/>
    <w:rsid w:val="FFCD3FA3"/>
    <w:rsid w:val="FFCFAD4C"/>
    <w:rsid w:val="FFD38CEF"/>
    <w:rsid w:val="FFD7DF9B"/>
    <w:rsid w:val="FFDD1C9A"/>
    <w:rsid w:val="FFDEA10D"/>
    <w:rsid w:val="FFDFA14D"/>
    <w:rsid w:val="FFDFD60B"/>
    <w:rsid w:val="FFF204A5"/>
    <w:rsid w:val="FFF497E8"/>
    <w:rsid w:val="FFF54562"/>
    <w:rsid w:val="FFF78857"/>
    <w:rsid w:val="FFF7C43A"/>
    <w:rsid w:val="FFF8C974"/>
    <w:rsid w:val="FFF99E68"/>
    <w:rsid w:val="FFF9A55F"/>
    <w:rsid w:val="FFFA1A32"/>
    <w:rsid w:val="FFFB2160"/>
    <w:rsid w:val="FFFB2B4E"/>
    <w:rsid w:val="FFFBE772"/>
    <w:rsid w:val="FFFCA189"/>
    <w:rsid w:val="FFFD2DCE"/>
    <w:rsid w:val="FFFD3209"/>
    <w:rsid w:val="FFFDC55C"/>
    <w:rsid w:val="FFFE1F9B"/>
    <w:rsid w:val="FFFE3710"/>
    <w:rsid w:val="FFFEA44B"/>
    <w:rsid w:val="FFFF1A25"/>
    <w:rsid w:val="FFFF1CC8"/>
    <w:rsid w:val="FFFF21A4"/>
    <w:rsid w:val="FFFF3956"/>
    <w:rsid w:val="FFFF44F3"/>
    <w:rsid w:val="FFFF55DC"/>
    <w:rsid w:val="FFFF7130"/>
    <w:rsid w:val="FFFF8999"/>
    <w:rsid w:val="FFFF8FFE"/>
    <w:rsid w:val="FFFFC12B"/>
    <w:rsid w:val="FFFFC208"/>
    <w:rsid w:val="FFFFE3B7"/>
    <w:rsid w:val="FFFFEB24"/>
    <w:rsid w:val="FFFFF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style>
  <w:style w:type="paragraph" w:styleId="3">
    <w:name w:val="Body Text 2"/>
    <w:basedOn w:val="1"/>
    <w:qFormat/>
    <w:uiPriority w:val="0"/>
    <w:pPr>
      <w:spacing w:after="120" w:line="480" w:lineRule="auto"/>
    </w:pPr>
  </w:style>
  <w:style w:type="paragraph" w:styleId="4">
    <w:name w:val="table of authorities"/>
    <w:basedOn w:val="1"/>
    <w:next w:val="1"/>
    <w:qFormat/>
    <w:uiPriority w:val="0"/>
    <w:pPr>
      <w:ind w:left="420" w:leftChars="200"/>
    </w:pPr>
    <w:rPr>
      <w:rFonts w:ascii="Times New Roman" w:hAnsi="Times New Roman" w:cs="Times New Roman"/>
      <w:szCs w:val="21"/>
    </w:rPr>
  </w:style>
  <w:style w:type="paragraph" w:styleId="5">
    <w:name w:val="Normal Indent"/>
    <w:basedOn w:val="1"/>
    <w:qFormat/>
    <w:uiPriority w:val="0"/>
    <w:pPr>
      <w:ind w:firstLine="420"/>
    </w:pPr>
    <w:rPr>
      <w:szCs w:val="20"/>
    </w:rPr>
  </w:style>
  <w:style w:type="paragraph" w:styleId="6">
    <w:name w:val="annotation text"/>
    <w:basedOn w:val="1"/>
    <w:unhideWhenUsed/>
    <w:qFormat/>
    <w:uiPriority w:val="0"/>
    <w:pPr>
      <w:jc w:val="left"/>
    </w:pPr>
  </w:style>
  <w:style w:type="paragraph" w:styleId="7">
    <w:name w:val="Body Text Indent"/>
    <w:basedOn w:val="1"/>
    <w:next w:val="8"/>
    <w:qFormat/>
    <w:uiPriority w:val="0"/>
    <w:pPr>
      <w:spacing w:after="120" w:afterLines="0"/>
      <w:ind w:left="420" w:leftChars="200"/>
    </w:pPr>
  </w:style>
  <w:style w:type="paragraph" w:styleId="8">
    <w:name w:val="envelope return"/>
    <w:basedOn w:val="1"/>
    <w:qFormat/>
    <w:uiPriority w:val="0"/>
    <w:pPr>
      <w:snapToGrid w:val="0"/>
    </w:pPr>
    <w:rPr>
      <w:rFonts w:ascii="Arial" w:hAnsi="Arial" w:cs="Arial"/>
    </w:rPr>
  </w:style>
  <w:style w:type="paragraph" w:styleId="9">
    <w:name w:val="Plain Text"/>
    <w:basedOn w:val="1"/>
    <w:qFormat/>
    <w:uiPriority w:val="0"/>
    <w:rPr>
      <w:rFonts w:ascii="宋体" w:hAnsi="Courier New"/>
      <w:kern w:val="0"/>
      <w:sz w:val="20"/>
      <w:szCs w:val="21"/>
    </w:rPr>
  </w:style>
  <w:style w:type="paragraph" w:styleId="10">
    <w:name w:val="footer"/>
    <w:basedOn w:val="1"/>
    <w:qFormat/>
    <w:uiPriority w:val="0"/>
    <w:pPr>
      <w:tabs>
        <w:tab w:val="center" w:pos="4153"/>
        <w:tab w:val="right" w:pos="8306"/>
      </w:tabs>
      <w:snapToGrid w:val="0"/>
      <w:jc w:val="left"/>
    </w:pPr>
    <w:rPr>
      <w:sz w:val="18"/>
    </w:rPr>
  </w:style>
  <w:style w:type="paragraph" w:styleId="11">
    <w:name w:val="Normal (Web)"/>
    <w:basedOn w:val="1"/>
    <w:next w:val="1"/>
    <w:qFormat/>
    <w:uiPriority w:val="0"/>
    <w:pPr>
      <w:spacing w:before="100" w:beforeLines="0" w:beforeAutospacing="1" w:after="100" w:afterLines="0" w:afterAutospacing="1"/>
      <w:jc w:val="left"/>
    </w:pPr>
    <w:rPr>
      <w:rFonts w:ascii="Calibri" w:hAnsi="Calibri"/>
      <w:kern w:val="0"/>
      <w:sz w:val="24"/>
    </w:rPr>
  </w:style>
  <w:style w:type="paragraph" w:styleId="12">
    <w:name w:val="Title"/>
    <w:basedOn w:val="1"/>
    <w:next w:val="1"/>
    <w:qFormat/>
    <w:uiPriority w:val="99"/>
    <w:pPr>
      <w:spacing w:line="560" w:lineRule="exact"/>
      <w:jc w:val="center"/>
      <w:outlineLvl w:val="0"/>
    </w:pPr>
    <w:rPr>
      <w:rFonts w:ascii="方正小标宋简体" w:hAnsi="方正小标宋简体" w:eastAsia="方正小标宋简体"/>
      <w:sz w:val="44"/>
    </w:rPr>
  </w:style>
  <w:style w:type="paragraph" w:styleId="13">
    <w:name w:val="Body Text First Indent"/>
    <w:basedOn w:val="2"/>
    <w:qFormat/>
    <w:uiPriority w:val="0"/>
    <w:pPr>
      <w:ind w:firstLine="420" w:firstLineChars="100"/>
    </w:pPr>
  </w:style>
  <w:style w:type="paragraph" w:styleId="14">
    <w:name w:val="Body Text First Indent 2"/>
    <w:basedOn w:val="7"/>
    <w:next w:val="1"/>
    <w:qFormat/>
    <w:uiPriority w:val="0"/>
    <w:pPr>
      <w:spacing w:line="560" w:lineRule="exact"/>
      <w:ind w:firstLine="420" w:firstLineChars="200"/>
    </w:pPr>
    <w:rPr>
      <w:rFonts w:ascii="Times New Roman" w:eastAsia="宋体"/>
      <w:szCs w:val="20"/>
    </w:rPr>
  </w:style>
  <w:style w:type="table" w:styleId="16">
    <w:name w:val="Table Grid"/>
    <w:basedOn w:val="1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8">
    <w:name w:val="Strong"/>
    <w:basedOn w:val="17"/>
    <w:qFormat/>
    <w:uiPriority w:val="0"/>
    <w:rPr>
      <w:b/>
    </w:rPr>
  </w:style>
  <w:style w:type="character" w:styleId="19">
    <w:name w:val="FollowedHyperlink"/>
    <w:basedOn w:val="17"/>
    <w:qFormat/>
    <w:uiPriority w:val="0"/>
    <w:rPr>
      <w:color w:val="231816"/>
      <w:u w:val="none"/>
    </w:rPr>
  </w:style>
  <w:style w:type="character" w:styleId="20">
    <w:name w:val="Emphasis"/>
    <w:basedOn w:val="17"/>
    <w:qFormat/>
    <w:uiPriority w:val="0"/>
  </w:style>
  <w:style w:type="character" w:styleId="21">
    <w:name w:val="Hyperlink"/>
    <w:basedOn w:val="17"/>
    <w:qFormat/>
    <w:uiPriority w:val="0"/>
    <w:rPr>
      <w:rFonts w:ascii="微软雅黑" w:hAnsi="微软雅黑" w:eastAsia="微软雅黑" w:cs="微软雅黑"/>
      <w:color w:val="3E3E3E"/>
      <w:sz w:val="21"/>
      <w:szCs w:val="21"/>
      <w:u w:val="none"/>
    </w:rPr>
  </w:style>
  <w:style w:type="paragraph" w:customStyle="1" w:styleId="22">
    <w:name w:val="Default"/>
    <w:unhideWhenUsed/>
    <w:qFormat/>
    <w:uiPriority w:val="99"/>
    <w:pPr>
      <w:widowControl w:val="0"/>
      <w:autoSpaceDE w:val="0"/>
      <w:autoSpaceDN w:val="0"/>
      <w:spacing w:beforeLines="0" w:afterLines="0"/>
    </w:pPr>
    <w:rPr>
      <w:rFonts w:hint="eastAsia" w:ascii="宋体" w:hAnsi="宋体" w:eastAsia="宋体" w:cs="Times New Roman"/>
      <w:color w:val="000000"/>
      <w:sz w:val="24"/>
      <w:szCs w:val="22"/>
      <w:lang w:val="en-US" w:eastAsia="zh-CN" w:bidi="ar-SA"/>
    </w:rPr>
  </w:style>
  <w:style w:type="paragraph" w:customStyle="1" w:styleId="23">
    <w:name w:val="正文首行缩进 21"/>
    <w:basedOn w:val="24"/>
    <w:next w:val="11"/>
    <w:qFormat/>
    <w:uiPriority w:val="0"/>
    <w:pPr>
      <w:ind w:left="200" w:leftChars="200"/>
    </w:pPr>
    <w:rPr>
      <w:rFonts w:eastAsia="仿宋_GB2312"/>
      <w:sz w:val="32"/>
      <w:szCs w:val="32"/>
    </w:rPr>
  </w:style>
  <w:style w:type="paragraph" w:customStyle="1" w:styleId="24">
    <w:name w:val="正文文本缩进1"/>
    <w:basedOn w:val="1"/>
    <w:qFormat/>
    <w:uiPriority w:val="0"/>
    <w:pPr>
      <w:ind w:left="200" w:leftChars="200"/>
    </w:pPr>
  </w:style>
  <w:style w:type="character" w:customStyle="1" w:styleId="25">
    <w:name w:val="before"/>
    <w:basedOn w:val="17"/>
    <w:qFormat/>
    <w:uiPriority w:val="0"/>
  </w:style>
  <w:style w:type="character" w:customStyle="1" w:styleId="26">
    <w:name w:val="before1"/>
    <w:basedOn w:val="17"/>
    <w:qFormat/>
    <w:uiPriority w:val="0"/>
  </w:style>
  <w:style w:type="character" w:customStyle="1" w:styleId="27">
    <w:name w:val="before2"/>
    <w:basedOn w:val="17"/>
    <w:qFormat/>
    <w:uiPriority w:val="0"/>
  </w:style>
  <w:style w:type="character" w:customStyle="1" w:styleId="28">
    <w:name w:val="active6"/>
    <w:basedOn w:val="17"/>
    <w:qFormat/>
    <w:uiPriority w:val="0"/>
    <w:rPr>
      <w:color w:val="FFFFFF"/>
    </w:rPr>
  </w:style>
  <w:style w:type="character" w:customStyle="1" w:styleId="29">
    <w:name w:val="active"/>
    <w:basedOn w:val="17"/>
    <w:qFormat/>
    <w:uiPriority w:val="0"/>
    <w:rPr>
      <w:color w:val="FFFFFF"/>
    </w:rPr>
  </w:style>
  <w:style w:type="character" w:customStyle="1" w:styleId="30">
    <w:name w:val="active5"/>
    <w:basedOn w:val="17"/>
    <w:qFormat/>
    <w:uiPriority w:val="0"/>
    <w:rPr>
      <w:color w:val="FFFFFF"/>
    </w:rPr>
  </w:style>
  <w:style w:type="character" w:customStyle="1" w:styleId="31">
    <w:name w:val="active4"/>
    <w:basedOn w:val="17"/>
    <w:qFormat/>
    <w:uiPriority w:val="0"/>
    <w:rPr>
      <w:color w:val="FFFFFF"/>
    </w:rPr>
  </w:style>
  <w:style w:type="character" w:customStyle="1" w:styleId="32">
    <w:name w:val="layui-layer-tabnow"/>
    <w:basedOn w:val="17"/>
    <w:qFormat/>
    <w:uiPriority w:val="0"/>
    <w:rPr>
      <w:bdr w:val="single" w:color="CCCCCC" w:sz="6" w:space="0"/>
      <w:shd w:val="clear" w:fill="FFFFFF"/>
    </w:rPr>
  </w:style>
  <w:style w:type="character" w:customStyle="1" w:styleId="33">
    <w:name w:val="first-child6"/>
    <w:basedOn w:val="17"/>
    <w:qFormat/>
    <w:uiPriority w:val="0"/>
  </w:style>
  <w:style w:type="paragraph" w:customStyle="1" w:styleId="34">
    <w:name w:val="表"/>
    <w:basedOn w:val="1"/>
    <w:next w:val="1"/>
    <w:qFormat/>
    <w:uiPriority w:val="7"/>
    <w:pPr>
      <w:spacing w:line="240" w:lineRule="auto"/>
      <w:ind w:firstLine="0" w:firstLineChars="0"/>
      <w:jc w:val="center"/>
    </w:pPr>
    <w:rPr>
      <w:rFonts w:ascii="Times New Roman" w:hAnsi="Times New Roman" w:eastAsia="宋体"/>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a59a69de-a056-4e22-b46b-b1a02e81a9d3</errorID>
      <errorWord>&lt;</errorWord>
      <group>L1_Format</group>
      <groupName>格式问题</groupName>
      <ability>L2_HalfPunc_CN</ability>
      <abilityName>全半角检查</abilityName>
      <candidateList>
        <item>〈</item>
      </candidateList>
      <explain>文本全半角错误。</explain>
      <paraID>1775C3CB</paraID>
      <start>11</start>
      <end>12</end>
      <status>modified</status>
      <modifiedWord>〈</modifiedWord>
      <trackRevisions>false</trackRevisions>
    </reviewItem>
    <reviewItem>
      <errorID>22d50959-bb4b-4b58-a094-7f5ea03fced8</errorID>
      <errorWord>&gt;</errorWord>
      <group>L1_Format</group>
      <groupName>格式问题</groupName>
      <ability>L2_HalfPunc_CN</ability>
      <abilityName>全半角检查</abilityName>
      <candidateList>
        <item>〉</item>
      </candidateList>
      <explain>文本全半角错误。</explain>
      <paraID>1775C3CB</paraID>
      <start>31</start>
      <end>32</end>
      <status>modified</status>
      <modifiedWord>〉</modifiedWord>
      <trackRevisions>false</trackRevisions>
    </reviewItem>
    <reviewItem>
      <errorID>13e7d8dd-3ac8-4ffc-99d9-8010e1c17b6b</errorID>
      <errorWord>,</errorWord>
      <group>L1_Format</group>
      <groupName>格式问题</groupName>
      <ability>L2_HalfPunc_CN</ability>
      <abilityName>全半角检查</abilityName>
      <candidateList>
        <item>，</item>
      </candidateList>
      <explain>文本全半角错误。</explain>
      <paraID>3054E7B8</paraID>
      <start>355</start>
      <end>356</end>
      <status>modified</status>
      <modifiedWord>，</modifiedWord>
      <trackRevisions>false</trackRevisions>
    </reviewItem>
    <reviewItem>
      <errorID>a0429bfc-e2c7-435a-a739-d8554d76d3e7</errorID>
      <errorWord>《关于印发山西省基本建设用地考古前置管理规定的通知》</errorWord>
      <group>L1_Official</group>
      <groupName>公文格式问题</groupName>
      <ability>L2_Official</ability>
      <abilityName>公文要素检查</abilityName>
      <candidateList/>
      <explain>公文文件引用格式不规范</explain>
      <paraID>3414625E</paraID>
      <start>14</start>
      <end>40</end>
      <status>ignored</status>
      <modifiedWord/>
      <trackRevisions>false</trackRevisions>
    </reviewItem>
    <reviewItem>
      <errorID>ab122852-dc0f-4348-92ff-3b1bace67963</errorID>
      <errorWord>《关于进一步加强文物保护管理工作的实施意见》</errorWord>
      <group>L1_Official</group>
      <groupName>公文格式问题</groupName>
      <ability>L2_Official</ability>
      <abilityName>公文要素检查</abilityName>
      <candidateList/>
      <explain>公文文件引用格式不规范</explain>
      <paraID>3414625E</paraID>
      <start>50</start>
      <end>72</end>
      <status>ignored</status>
      <modifiedWord/>
      <trackRevisions>false</trackRevisions>
    </reviewItem>
  </reviewItems>
  <config/>
</contractReview>
</file>

<file path=customXml/itemProps1.xml><?xml version="1.0" encoding="utf-8"?>
<ds:datastoreItem xmlns:ds="http://schemas.openxmlformats.org/officeDocument/2006/customXml" ds:itemID="{5fd8ab30-2e91-460c-abe3-35adb892e7a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1422</Words>
  <Characters>1523</Characters>
  <Lines>1</Lines>
  <Paragraphs>1</Paragraphs>
  <TotalTime>7</TotalTime>
  <ScaleCrop>false</ScaleCrop>
  <LinksUpToDate>false</LinksUpToDate>
  <CharactersWithSpaces>1665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2014-12-02T04:08:00Z</dcterms:created>
  <dc:creator>Administrator</dc:creator>
  <cp:lastModifiedBy>WPS_1601539374</cp:lastModifiedBy>
  <cp:lastPrinted>2026-09-21T09:26:00Z</cp:lastPrinted>
  <dcterms:modified xsi:type="dcterms:W3CDTF">2026-09-24T09:50:39Z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A8E6F8F24F29EAC7B56295685434E471_43</vt:lpwstr>
  </property>
  <property fmtid="{D5CDD505-2E9C-101B-9397-08002B2CF9AE}" pid="4" name="KSOTemplateDocerSaveRecord">
    <vt:lpwstr>eyJoZGlkIjoiYjVlYmU4NDgxN2M5NDc1ZTY1ZGEwM2M5ZDhhNDRhMDUiLCJ1c2VySWQiOiIxMTI2NDI5OTgwIn0=</vt:lpwstr>
  </property>
</Properties>
</file>