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46752">
      <w:pPr>
        <w:jc w:val="center"/>
        <w:rPr>
          <w:rFonts w:ascii="华文中宋" w:hAnsi="华文中宋" w:eastAsia="华文中宋"/>
          <w:bCs/>
          <w:sz w:val="36"/>
        </w:rPr>
      </w:pPr>
      <w:r>
        <w:rPr>
          <w:rFonts w:hint="eastAsia" w:ascii="华文中宋" w:hAnsi="华文中宋" w:eastAsia="华文中宋"/>
          <w:bCs/>
          <w:sz w:val="36"/>
          <w:lang w:eastAsia="zh-CN"/>
        </w:rPr>
        <w:t>盂县</w:t>
      </w:r>
      <w:r>
        <w:rPr>
          <w:rFonts w:hint="eastAsia" w:ascii="华文中宋" w:hAnsi="华文中宋" w:eastAsia="华文中宋"/>
          <w:bCs/>
          <w:sz w:val="36"/>
        </w:rPr>
        <w:t>建设项目招标方案和不招标申请核准表</w:t>
      </w:r>
    </w:p>
    <w:p w14:paraId="7628BF44">
      <w:pPr>
        <w:jc w:val="left"/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/>
        </w:rPr>
        <w:t xml:space="preserve">                                                         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核准号：2026-013</w:t>
      </w:r>
    </w:p>
    <w:tbl>
      <w:tblPr>
        <w:tblStyle w:val="5"/>
        <w:tblW w:w="9315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312"/>
        <w:gridCol w:w="1065"/>
        <w:gridCol w:w="263"/>
        <w:gridCol w:w="960"/>
        <w:gridCol w:w="1087"/>
        <w:gridCol w:w="1155"/>
        <w:gridCol w:w="1125"/>
        <w:gridCol w:w="1065"/>
      </w:tblGrid>
      <w:tr w14:paraId="23C2D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283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7733DF38">
            <w:pPr>
              <w:spacing w:line="340" w:lineRule="exact"/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项目名称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62A32BC4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盂县县城周边国省县道交通安全设施完善项目</w:t>
            </w:r>
          </w:p>
        </w:tc>
        <w:tc>
          <w:tcPr>
            <w:tcW w:w="1087" w:type="dxa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1880E7A4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建设单位</w:t>
            </w:r>
          </w:p>
        </w:tc>
        <w:tc>
          <w:tcPr>
            <w:tcW w:w="3345" w:type="dxa"/>
            <w:gridSpan w:val="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3B21D86">
            <w:pPr>
              <w:spacing w:line="340" w:lineRule="exact"/>
              <w:ind w:firstLine="420" w:firstLineChars="200"/>
              <w:jc w:val="both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盂县公安局交通管理大队</w:t>
            </w:r>
          </w:p>
        </w:tc>
      </w:tr>
      <w:tr w14:paraId="77841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283" w:type="dxa"/>
            <w:vMerge w:val="restart"/>
            <w:tcBorders>
              <w:top w:val="single" w:color="auto" w:sz="8" w:space="0"/>
              <w:left w:val="single" w:color="auto" w:sz="12" w:space="0"/>
            </w:tcBorders>
            <w:noWrap w:val="0"/>
            <w:vAlign w:val="center"/>
          </w:tcPr>
          <w:p w14:paraId="78FFA570">
            <w:pPr>
              <w:spacing w:line="340" w:lineRule="exact"/>
              <w:jc w:val="center"/>
              <w:rPr>
                <w:rFonts w:ascii="仿宋_GB2312"/>
              </w:rPr>
            </w:pPr>
          </w:p>
        </w:tc>
        <w:tc>
          <w:tcPr>
            <w:tcW w:w="2377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31191CEC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招标范围</w:t>
            </w:r>
          </w:p>
        </w:tc>
        <w:tc>
          <w:tcPr>
            <w:tcW w:w="2310" w:type="dxa"/>
            <w:gridSpan w:val="3"/>
            <w:tcBorders>
              <w:top w:val="single" w:color="auto" w:sz="8" w:space="0"/>
            </w:tcBorders>
            <w:noWrap w:val="0"/>
            <w:vAlign w:val="center"/>
          </w:tcPr>
          <w:p w14:paraId="5D1A24AF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招标组织形式</w:t>
            </w:r>
          </w:p>
        </w:tc>
        <w:tc>
          <w:tcPr>
            <w:tcW w:w="2280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3C493996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招标方式</w:t>
            </w:r>
          </w:p>
        </w:tc>
        <w:tc>
          <w:tcPr>
            <w:tcW w:w="1065" w:type="dxa"/>
            <w:tcBorders>
              <w:top w:val="single" w:color="auto" w:sz="8" w:space="0"/>
              <w:right w:val="single" w:color="auto" w:sz="12" w:space="0"/>
            </w:tcBorders>
            <w:noWrap w:val="0"/>
            <w:vAlign w:val="center"/>
          </w:tcPr>
          <w:p w14:paraId="3B68B327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不采用</w:t>
            </w:r>
          </w:p>
          <w:p w14:paraId="1382C8BA">
            <w:pPr>
              <w:widowControl/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招标方式</w:t>
            </w:r>
          </w:p>
        </w:tc>
      </w:tr>
      <w:tr w14:paraId="74A7B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283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13B99076">
            <w:pPr>
              <w:spacing w:line="340" w:lineRule="exact"/>
              <w:jc w:val="center"/>
              <w:rPr>
                <w:rFonts w:ascii="仿宋_GB2312"/>
              </w:rPr>
            </w:pPr>
          </w:p>
        </w:tc>
        <w:tc>
          <w:tcPr>
            <w:tcW w:w="1312" w:type="dxa"/>
            <w:noWrap w:val="0"/>
            <w:vAlign w:val="center"/>
          </w:tcPr>
          <w:p w14:paraId="1CB0D8A4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全部招标</w:t>
            </w:r>
          </w:p>
        </w:tc>
        <w:tc>
          <w:tcPr>
            <w:tcW w:w="1065" w:type="dxa"/>
            <w:noWrap w:val="0"/>
            <w:vAlign w:val="center"/>
          </w:tcPr>
          <w:p w14:paraId="46D44EC3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部分招标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 w14:paraId="30AF71D5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委托招标</w:t>
            </w:r>
          </w:p>
        </w:tc>
        <w:tc>
          <w:tcPr>
            <w:tcW w:w="1087" w:type="dxa"/>
            <w:noWrap w:val="0"/>
            <w:vAlign w:val="center"/>
          </w:tcPr>
          <w:p w14:paraId="65199179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自行招标</w:t>
            </w:r>
          </w:p>
        </w:tc>
        <w:tc>
          <w:tcPr>
            <w:tcW w:w="1155" w:type="dxa"/>
            <w:noWrap w:val="0"/>
            <w:vAlign w:val="center"/>
          </w:tcPr>
          <w:p w14:paraId="1A25649A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公开招标</w:t>
            </w:r>
          </w:p>
        </w:tc>
        <w:tc>
          <w:tcPr>
            <w:tcW w:w="1125" w:type="dxa"/>
            <w:noWrap w:val="0"/>
            <w:vAlign w:val="center"/>
          </w:tcPr>
          <w:p w14:paraId="4758C4F9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邀请招标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14815652">
            <w:pPr>
              <w:spacing w:line="340" w:lineRule="exact"/>
              <w:jc w:val="center"/>
              <w:rPr>
                <w:rFonts w:ascii="仿宋_GB2312"/>
              </w:rPr>
            </w:pPr>
          </w:p>
        </w:tc>
      </w:tr>
      <w:tr w14:paraId="0D70E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1958D0BC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勘察设计</w:t>
            </w:r>
          </w:p>
        </w:tc>
        <w:tc>
          <w:tcPr>
            <w:tcW w:w="1312" w:type="dxa"/>
            <w:noWrap w:val="0"/>
            <w:vAlign w:val="center"/>
          </w:tcPr>
          <w:p w14:paraId="0B24BE60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671CDEB6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EB2041F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0B270D33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3174CC01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066D44CC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75BCE052">
            <w:pPr>
              <w:jc w:val="center"/>
              <w:rPr>
                <w:rFonts w:hint="eastAsia" w:ascii="仿宋_GB2312" w:eastAsia="宋体"/>
                <w:lang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</w:tr>
      <w:tr w14:paraId="2C572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0F1E4A09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建安工程</w:t>
            </w:r>
          </w:p>
        </w:tc>
        <w:tc>
          <w:tcPr>
            <w:tcW w:w="1312" w:type="dxa"/>
            <w:noWrap w:val="0"/>
            <w:vAlign w:val="center"/>
          </w:tcPr>
          <w:p w14:paraId="216D9577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5941B38C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6122297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  <w:tc>
          <w:tcPr>
            <w:tcW w:w="1087" w:type="dxa"/>
            <w:noWrap w:val="0"/>
            <w:vAlign w:val="center"/>
          </w:tcPr>
          <w:p w14:paraId="10B9733F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00BD277D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  <w:tc>
          <w:tcPr>
            <w:tcW w:w="1125" w:type="dxa"/>
            <w:noWrap w:val="0"/>
            <w:vAlign w:val="center"/>
          </w:tcPr>
          <w:p w14:paraId="6DC03369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5212DD5F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</w:tr>
      <w:tr w14:paraId="5F2D7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04DDBB3C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监理</w:t>
            </w:r>
          </w:p>
        </w:tc>
        <w:tc>
          <w:tcPr>
            <w:tcW w:w="1312" w:type="dxa"/>
            <w:noWrap w:val="0"/>
            <w:vAlign w:val="center"/>
          </w:tcPr>
          <w:p w14:paraId="3781338F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603FF561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8CABC2A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26A9166A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488B33B1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0CB665FF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0C737B6F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</w:tr>
      <w:tr w14:paraId="5C9C1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52DC5AA4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设备</w:t>
            </w:r>
          </w:p>
        </w:tc>
        <w:tc>
          <w:tcPr>
            <w:tcW w:w="1312" w:type="dxa"/>
            <w:noWrap w:val="0"/>
            <w:vAlign w:val="center"/>
          </w:tcPr>
          <w:p w14:paraId="59325235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10CF5BED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F48E875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761DABED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0EDF2FA9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1DF3CD2B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6EBAE510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</w:tr>
      <w:tr w14:paraId="4F5C5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4F80277A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重要材料</w:t>
            </w:r>
          </w:p>
        </w:tc>
        <w:tc>
          <w:tcPr>
            <w:tcW w:w="1312" w:type="dxa"/>
            <w:noWrap w:val="0"/>
            <w:vAlign w:val="center"/>
          </w:tcPr>
          <w:p w14:paraId="27ECF9BC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0BF0B4A3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54B633A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080F6A77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4975E4C6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5155C4FF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6647F2C1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</w:tr>
      <w:tr w14:paraId="467B7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3923" w:type="dxa"/>
            <w:gridSpan w:val="4"/>
            <w:tcBorders>
              <w:top w:val="nil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5E502FA1">
            <w:pPr>
              <w:spacing w:line="340" w:lineRule="exact"/>
              <w:jc w:val="center"/>
              <w:rPr>
                <w:rFonts w:ascii="仿宋_GB2312"/>
                <w:bCs/>
              </w:rPr>
            </w:pPr>
            <w:r>
              <w:rPr>
                <w:rFonts w:hint="eastAsia" w:ascii="仿宋_GB2312"/>
                <w:bCs/>
              </w:rPr>
              <w:t>招标公告</w:t>
            </w:r>
            <w:r>
              <w:rPr>
                <w:rFonts w:hint="eastAsia" w:ascii="仿宋_GB2312"/>
                <w:bCs/>
                <w:lang w:val="en-US" w:eastAsia="zh-CN"/>
              </w:rPr>
              <w:t>以及公示信息发布媒介</w:t>
            </w:r>
          </w:p>
        </w:tc>
        <w:tc>
          <w:tcPr>
            <w:tcW w:w="539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6C605D4">
            <w:pPr>
              <w:spacing w:line="340" w:lineRule="exact"/>
              <w:jc w:val="center"/>
            </w:pPr>
            <w:r>
              <w:rPr>
                <w:rFonts w:hint="eastAsia"/>
              </w:rPr>
              <w:t>山西省招标投标公共服务平台</w:t>
            </w:r>
            <w:r>
              <w:rPr>
                <w:rFonts w:hint="eastAsia" w:ascii="华文仿宋" w:hAnsi="华文仿宋" w:eastAsia="华文仿宋" w:cs="华文仿宋"/>
                <w:lang w:eastAsia="zh-CN"/>
              </w:rPr>
              <w:t>（</w:t>
            </w: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www.sxbid.com.cn</w:t>
            </w:r>
            <w:r>
              <w:rPr>
                <w:rFonts w:hint="eastAsia" w:ascii="华文仿宋" w:hAnsi="华文仿宋" w:eastAsia="华文仿宋" w:cs="华文仿宋"/>
                <w:lang w:eastAsia="zh-CN"/>
              </w:rPr>
              <w:t>）</w:t>
            </w:r>
          </w:p>
        </w:tc>
      </w:tr>
      <w:tr w14:paraId="00680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3" w:hRule="atLeast"/>
        </w:trPr>
        <w:tc>
          <w:tcPr>
            <w:tcW w:w="9315" w:type="dxa"/>
            <w:gridSpan w:val="9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47ACA6C6"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 </w:t>
            </w:r>
          </w:p>
          <w:p w14:paraId="354BC676">
            <w:pPr>
              <w:tabs>
                <w:tab w:val="left" w:pos="3135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核准意见：</w:t>
            </w:r>
          </w:p>
          <w:p w14:paraId="4ED12DCC">
            <w:pPr>
              <w:numPr>
                <w:ilvl w:val="0"/>
                <w:numId w:val="0"/>
              </w:numPr>
              <w:tabs>
                <w:tab w:val="left" w:pos="3135"/>
              </w:tabs>
              <w:ind w:firstLine="630" w:firstLineChars="3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一、该项目属于使用国有资金投资的项目，根据有关规定，达到强制招标规模标准的建设内容均应进行招标。</w:t>
            </w:r>
          </w:p>
          <w:p w14:paraId="65376529">
            <w:pPr>
              <w:pStyle w:val="2"/>
              <w:numPr>
                <w:ilvl w:val="0"/>
                <w:numId w:val="0"/>
              </w:numPr>
              <w:ind w:left="420" w:leftChars="0" w:firstLine="210" w:firstLineChars="1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二、同意建设单位提出的建安工程委托招标代理机构公开招标的申请。 </w:t>
            </w:r>
          </w:p>
          <w:p w14:paraId="47D90C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1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30" w:firstLineChars="300"/>
              <w:jc w:val="left"/>
              <w:textAlignment w:val="auto"/>
              <w:rPr>
                <w:rFonts w:hint="default"/>
                <w:lang w:val="en" w:eastAsia="zh-CN"/>
              </w:rPr>
            </w:pPr>
            <w:r>
              <w:rPr>
                <w:rFonts w:hint="eastAsia"/>
                <w:lang w:val="en-US" w:eastAsia="zh-CN"/>
              </w:rPr>
              <w:t>三、该项目的勘察设计、监理，单项合同估算价未达到强制招标的规模标准，根据《必须招标的工程项目规定》，同意其不采用招标方式。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default"/>
                <w:lang w:val="en" w:eastAsia="zh-CN"/>
              </w:rPr>
              <w:t xml:space="preserve">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" w:eastAsia="zh-CN"/>
              </w:rPr>
              <w:t xml:space="preserve"> </w:t>
            </w:r>
            <w:r>
              <w:rPr>
                <w:rFonts w:hint="eastAsia"/>
                <w:lang w:val="en" w:eastAsia="zh-CN"/>
              </w:rPr>
              <w:t>四、招标人应按照《招标人主体履行指引》（发改法规〔</w:t>
            </w:r>
            <w:r>
              <w:rPr>
                <w:rFonts w:hint="eastAsia"/>
                <w:lang w:val="en-US" w:eastAsia="zh-CN"/>
              </w:rPr>
              <w:t>2025</w:t>
            </w:r>
            <w:r>
              <w:rPr>
                <w:rFonts w:hint="eastAsia"/>
                <w:lang w:val="en" w:eastAsia="zh-CN"/>
              </w:rPr>
              <w:t>〕</w:t>
            </w:r>
            <w:r>
              <w:rPr>
                <w:rFonts w:hint="eastAsia"/>
                <w:lang w:val="en-US" w:eastAsia="zh-CN"/>
              </w:rPr>
              <w:t>1358号</w:t>
            </w:r>
            <w:r>
              <w:rPr>
                <w:rFonts w:hint="eastAsia"/>
                <w:lang w:val="en" w:eastAsia="zh-CN"/>
              </w:rPr>
              <w:t>）切实履行招标人主体责任。</w:t>
            </w:r>
          </w:p>
          <w:p w14:paraId="2F32E7C7">
            <w:pPr>
              <w:pStyle w:val="2"/>
              <w:numPr>
                <w:ilvl w:val="0"/>
                <w:numId w:val="0"/>
              </w:numPr>
              <w:ind w:firstLine="630" w:firstLineChars="3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五、项目建设单位（招标人）在项目的首个招标公告发布30日前公开发布项目的招标计划。工程建设项目如有调整，应当及时变更招标计划，招标计划变更时间不得晚于招标公告发布前5日。</w:t>
            </w:r>
          </w:p>
          <w:p w14:paraId="522B4CD9"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六、该项目的招标公告和公示信息应在山西省招标投标公共服务平台（www.sxbid.com.cn）上发布。</w:t>
            </w:r>
          </w:p>
          <w:p w14:paraId="3434A75F">
            <w:pPr>
              <w:pStyle w:val="2"/>
              <w:ind w:firstLine="420" w:firstLineChars="2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七、该项目应在山西省评标专家库抽取评标专家。    </w:t>
            </w:r>
          </w:p>
          <w:p w14:paraId="366D7E92">
            <w:pPr>
              <w:tabs>
                <w:tab w:val="left" w:pos="3135"/>
              </w:tabs>
              <w:jc w:val="left"/>
              <w:rPr>
                <w:rFonts w:hint="eastAsia"/>
                <w:lang w:val="en-US" w:eastAsia="zh-CN"/>
              </w:rPr>
            </w:pPr>
          </w:p>
          <w:p w14:paraId="661689DD">
            <w:pPr>
              <w:pStyle w:val="2"/>
              <w:rPr>
                <w:rFonts w:hint="eastAsia"/>
                <w:lang w:val="en-US" w:eastAsia="zh-CN"/>
              </w:rPr>
            </w:pPr>
          </w:p>
          <w:p w14:paraId="21EB7B94">
            <w:pPr>
              <w:tabs>
                <w:tab w:val="left" w:pos="3135"/>
              </w:tabs>
              <w:jc w:val="left"/>
              <w:rPr>
                <w:rFonts w:hint="eastAsia"/>
                <w:lang w:val="en-US" w:eastAsia="zh-CN"/>
              </w:rPr>
            </w:pPr>
          </w:p>
          <w:p w14:paraId="505C540F">
            <w:pPr>
              <w:tabs>
                <w:tab w:val="left" w:pos="3135"/>
              </w:tabs>
              <w:ind w:firstLine="4935" w:firstLineChars="235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盂县发展和改革局</w:t>
            </w:r>
          </w:p>
          <w:p w14:paraId="6D81A7B7">
            <w:pPr>
              <w:pStyle w:val="2"/>
              <w:rPr>
                <w:rFonts w:hint="eastAsia"/>
                <w:lang w:val="en-US" w:eastAsia="zh-CN"/>
              </w:rPr>
            </w:pPr>
          </w:p>
          <w:p w14:paraId="6C8DB70D">
            <w:pPr>
              <w:pStyle w:val="7"/>
              <w:rPr>
                <w:rFonts w:hint="eastAsia"/>
                <w:lang w:val="en-US" w:eastAsia="zh-CN"/>
              </w:rPr>
            </w:pPr>
          </w:p>
          <w:p w14:paraId="14E77528">
            <w:pPr>
              <w:pStyle w:val="7"/>
              <w:rPr>
                <w:rFonts w:hint="eastAsia"/>
                <w:lang w:val="en-US" w:eastAsia="zh-CN"/>
              </w:rPr>
            </w:pPr>
          </w:p>
        </w:tc>
      </w:tr>
    </w:tbl>
    <w:p w14:paraId="7655AA5A">
      <w:pPr>
        <w:pStyle w:val="4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5CD3EA7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51233"/>
    <w:rsid w:val="77B5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Default"/>
    <w:unhideWhenUsed/>
    <w:qFormat/>
    <w:uiPriority w:val="99"/>
    <w:pPr>
      <w:widowControl w:val="0"/>
      <w:autoSpaceDE w:val="0"/>
      <w:autoSpaceDN w:val="0"/>
      <w:spacing w:beforeLines="0" w:afterLines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2026-09-24T02:57:00Z</dcterms:created>
  <dc:creator>WPS_1601539374</dc:creator>
  <cp:lastModifiedBy>WPS_1601539374</cp:lastModifiedBy>
  <dcterms:modified xsi:type="dcterms:W3CDTF">2026-09-24T02:57:55Z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9A14C32EAC9E48569B6FC74B979EAEC5_11</vt:lpwstr>
  </property>
  <property fmtid="{D5CDD505-2E9C-101B-9397-08002B2CF9AE}" pid="4" name="KSOTemplateDocerSaveRecord">
    <vt:lpwstr>eyJoZGlkIjoiYjVlYmU4NDgxN2M5NDc1ZTY1ZGEwM2M5ZDhhNDRhMDUiLCJ1c2VySWQiOiIxMTI2NDI5OTgwIn0=</vt:lpwstr>
  </property>
</Properties>
</file>