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81327E">
      <w:pPr>
        <w:ind w:firstLine="2720" w:firstLineChars="850"/>
        <w:rPr>
          <w:rFonts w:hint="eastAsia" w:ascii="宋体" w:hAnsi="宋体"/>
          <w:sz w:val="32"/>
        </w:rPr>
      </w:pPr>
    </w:p>
    <w:p w14:paraId="10354F82">
      <w:pPr>
        <w:ind w:firstLine="2720" w:firstLineChars="850"/>
        <w:rPr>
          <w:rFonts w:hint="eastAsia" w:ascii="宋体" w:hAnsi="宋体"/>
          <w:sz w:val="32"/>
        </w:rPr>
      </w:pPr>
    </w:p>
    <w:p w14:paraId="38C33571">
      <w:pPr>
        <w:ind w:firstLine="2720" w:firstLineChars="850"/>
        <w:rPr>
          <w:rFonts w:hint="eastAsia" w:ascii="宋体" w:hAnsi="宋体"/>
          <w:sz w:val="32"/>
        </w:rPr>
      </w:pPr>
    </w:p>
    <w:p w14:paraId="75F00F49">
      <w:pPr>
        <w:ind w:firstLine="2720" w:firstLineChars="850"/>
        <w:rPr>
          <w:rFonts w:hint="eastAsia" w:ascii="宋体" w:hAnsi="宋体"/>
          <w:sz w:val="32"/>
        </w:rPr>
      </w:pPr>
    </w:p>
    <w:p w14:paraId="443A05F5">
      <w:pPr>
        <w:keepNext w:val="0"/>
        <w:keepLines w:val="0"/>
        <w:pageBreakBefore w:val="0"/>
        <w:widowControl w:val="0"/>
        <w:kinsoku/>
        <w:wordWrap/>
        <w:overflowPunct/>
        <w:topLinePunct w:val="0"/>
        <w:autoSpaceDE/>
        <w:autoSpaceDN/>
        <w:bidi w:val="0"/>
        <w:adjustRightInd/>
        <w:snapToGrid/>
        <w:spacing w:line="560" w:lineRule="exact"/>
        <w:ind w:right="0" w:rightChars="0"/>
        <w:textAlignment w:val="auto"/>
        <w:outlineLvl w:val="9"/>
        <w:rPr>
          <w:rFonts w:hint="eastAsia" w:ascii="宋体" w:hAnsi="宋体"/>
          <w:sz w:val="32"/>
        </w:rPr>
      </w:pPr>
    </w:p>
    <w:p w14:paraId="0D8BE5F9">
      <w:pPr>
        <w:pStyle w:val="23"/>
        <w:rPr>
          <w:rFonts w:hint="eastAsia"/>
          <w:sz w:val="10"/>
          <w:szCs w:val="10"/>
        </w:rPr>
      </w:pPr>
    </w:p>
    <w:p w14:paraId="37859D7A">
      <w:pPr>
        <w:pStyle w:val="23"/>
        <w:rPr>
          <w:rFonts w:hint="eastAsia"/>
          <w:sz w:val="10"/>
          <w:szCs w:val="10"/>
        </w:rPr>
      </w:pPr>
    </w:p>
    <w:p w14:paraId="2DCD22A8">
      <w:pPr>
        <w:pStyle w:val="23"/>
        <w:rPr>
          <w:rFonts w:hint="eastAsia"/>
          <w:sz w:val="10"/>
          <w:szCs w:val="10"/>
        </w:rPr>
      </w:pPr>
    </w:p>
    <w:p w14:paraId="3451761E">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both"/>
        <w:textAlignment w:val="auto"/>
        <w:outlineLvl w:val="9"/>
        <w:rPr>
          <w:rFonts w:hint="eastAsia"/>
          <w:lang w:val="en-US" w:eastAsia="zh-CN"/>
        </w:rPr>
      </w:pPr>
      <w:r>
        <w:rPr>
          <w:rFonts w:hint="eastAsia" w:ascii="宋体" w:hAnsi="宋体"/>
          <w:sz w:val="32"/>
          <w:lang w:val="en-US" w:eastAsia="zh-CN"/>
        </w:rPr>
        <w:t xml:space="preserve">               </w:t>
      </w:r>
    </w:p>
    <w:p w14:paraId="2D6E5E60">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0" w:firstLineChars="0"/>
        <w:jc w:val="center"/>
        <w:textAlignment w:val="auto"/>
        <w:outlineLvl w:val="9"/>
        <w:rPr>
          <w:rFonts w:hint="eastAsia" w:ascii="仿宋_GB2312" w:hAnsi="仿宋_GB2312" w:eastAsia="仿宋_GB2312" w:cs="仿宋_GB2312"/>
          <w:sz w:val="32"/>
          <w:szCs w:val="32"/>
          <w:lang w:eastAsia="zh-CN"/>
        </w:rPr>
      </w:pPr>
      <w:r>
        <w:rPr>
          <w:rFonts w:hint="eastAsia" w:ascii="华文仿宋" w:hAnsi="华文仿宋" w:eastAsia="华文仿宋" w:cs="华文仿宋"/>
          <w:sz w:val="32"/>
          <w:szCs w:val="32"/>
        </w:rPr>
        <w:t>盂发改发</w:t>
      </w:r>
      <w:r>
        <w:rPr>
          <w:rFonts w:hint="eastAsia" w:ascii="华文仿宋" w:hAnsi="华文仿宋" w:eastAsia="华文仿宋" w:cs="华文仿宋"/>
          <w:sz w:val="32"/>
        </w:rPr>
        <w:t>〔20</w:t>
      </w:r>
      <w:r>
        <w:rPr>
          <w:rFonts w:hint="eastAsia" w:ascii="华文仿宋" w:hAnsi="华文仿宋" w:eastAsia="华文仿宋" w:cs="华文仿宋"/>
          <w:sz w:val="32"/>
          <w:lang w:val="en-US" w:eastAsia="zh-CN"/>
        </w:rPr>
        <w:t>26</w:t>
      </w:r>
      <w:r>
        <w:rPr>
          <w:rFonts w:hint="eastAsia" w:ascii="华文仿宋" w:hAnsi="华文仿宋" w:eastAsia="华文仿宋" w:cs="华文仿宋"/>
          <w:sz w:val="32"/>
        </w:rPr>
        <w:t>〕</w:t>
      </w:r>
      <w:r>
        <w:rPr>
          <w:rFonts w:hint="eastAsia" w:ascii="华文仿宋" w:hAnsi="华文仿宋" w:eastAsia="华文仿宋" w:cs="华文仿宋"/>
          <w:sz w:val="32"/>
          <w:lang w:val="en-US" w:eastAsia="zh-CN"/>
        </w:rPr>
        <w:t>55</w:t>
      </w:r>
      <w:r>
        <w:rPr>
          <w:rFonts w:hint="eastAsia" w:ascii="华文仿宋" w:hAnsi="华文仿宋" w:eastAsia="华文仿宋" w:cs="华文仿宋"/>
          <w:sz w:val="32"/>
          <w:szCs w:val="32"/>
        </w:rPr>
        <w:t>号</w:t>
      </w:r>
    </w:p>
    <w:p w14:paraId="3ECA9535">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firstLine="0" w:firstLineChars="0"/>
        <w:jc w:val="center"/>
        <w:textAlignment w:val="auto"/>
        <w:outlineLvl w:val="9"/>
        <w:rPr>
          <w:rFonts w:hint="eastAsia" w:ascii="仿宋_GB2312" w:hAnsi="仿宋_GB2312" w:eastAsia="仿宋_GB2312" w:cs="仿宋_GB2312"/>
          <w:b/>
          <w:sz w:val="32"/>
          <w:szCs w:val="32"/>
        </w:rPr>
      </w:pPr>
    </w:p>
    <w:p w14:paraId="12B333D6">
      <w:pPr>
        <w:keepNext w:val="0"/>
        <w:keepLines w:val="0"/>
        <w:pageBreakBefore w:val="0"/>
        <w:widowControl w:val="0"/>
        <w:kinsoku/>
        <w:wordWrap/>
        <w:overflowPunct/>
        <w:topLinePunct w:val="0"/>
        <w:autoSpaceDE/>
        <w:autoSpaceDN/>
        <w:bidi w:val="0"/>
        <w:adjustRightInd/>
        <w:snapToGrid/>
        <w:spacing w:line="500" w:lineRule="exact"/>
        <w:ind w:left="0" w:leftChars="0" w:right="0" w:rightChars="0"/>
        <w:jc w:val="center"/>
        <w:textAlignment w:val="auto"/>
        <w:outlineLvl w:val="9"/>
        <w:rPr>
          <w:rFonts w:hint="eastAsia" w:ascii="宋体" w:hAnsi="宋体"/>
          <w:b/>
          <w:sz w:val="44"/>
        </w:rPr>
      </w:pPr>
    </w:p>
    <w:p w14:paraId="0432C076">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_GBK" w:hAnsi="方正小标宋_GBK" w:eastAsia="方正小标宋_GBK" w:cs="方正小标宋_GBK"/>
          <w:b w:val="0"/>
          <w:bCs/>
          <w:spacing w:val="11"/>
          <w:sz w:val="44"/>
          <w:lang w:eastAsia="zh-CN"/>
        </w:rPr>
      </w:pPr>
      <w:bookmarkStart w:id="0" w:name="_GoBack"/>
      <w:r>
        <w:rPr>
          <w:rFonts w:hint="eastAsia" w:ascii="方正小标宋_GBK" w:hAnsi="方正小标宋_GBK" w:eastAsia="方正小标宋_GBK" w:cs="方正小标宋_GBK"/>
          <w:b w:val="0"/>
          <w:bCs/>
          <w:spacing w:val="11"/>
          <w:sz w:val="44"/>
          <w:lang w:eastAsia="zh-CN"/>
        </w:rPr>
        <w:t>盂县发展和改革局</w:t>
      </w:r>
    </w:p>
    <w:p w14:paraId="6F476392">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_GBK" w:hAnsi="方正小标宋_GBK" w:eastAsia="方正小标宋_GBK" w:cs="方正小标宋_GBK"/>
          <w:b w:val="0"/>
          <w:bCs/>
          <w:spacing w:val="0"/>
          <w:sz w:val="44"/>
          <w:lang w:val="en-US" w:eastAsia="zh-CN"/>
        </w:rPr>
      </w:pPr>
      <w:r>
        <w:rPr>
          <w:rFonts w:hint="eastAsia" w:ascii="方正小标宋_GBK" w:hAnsi="方正小标宋_GBK" w:eastAsia="方正小标宋_GBK" w:cs="方正小标宋_GBK"/>
          <w:b w:val="0"/>
          <w:bCs/>
          <w:spacing w:val="0"/>
          <w:sz w:val="44"/>
        </w:rPr>
        <w:t>关于对《</w:t>
      </w:r>
      <w:r>
        <w:rPr>
          <w:rFonts w:hint="eastAsia" w:ascii="方正小标宋_GBK" w:hAnsi="方正小标宋_GBK" w:eastAsia="方正小标宋_GBK" w:cs="方正小标宋_GBK"/>
          <w:b w:val="0"/>
          <w:bCs/>
          <w:spacing w:val="0"/>
          <w:sz w:val="44"/>
          <w:lang w:val="en-US" w:eastAsia="zh-CN"/>
        </w:rPr>
        <w:t>盂县铝产业链一体化配套道路基础</w:t>
      </w:r>
    </w:p>
    <w:p w14:paraId="4701D16E">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_GBK" w:hAnsi="方正小标宋_GBK" w:eastAsia="方正小标宋_GBK" w:cs="方正小标宋_GBK"/>
          <w:b w:val="0"/>
          <w:bCs/>
          <w:spacing w:val="-11"/>
          <w:sz w:val="44"/>
        </w:rPr>
      </w:pPr>
      <w:r>
        <w:rPr>
          <w:rFonts w:hint="eastAsia" w:ascii="方正小标宋_GBK" w:hAnsi="方正小标宋_GBK" w:eastAsia="方正小标宋_GBK" w:cs="方正小标宋_GBK"/>
          <w:b w:val="0"/>
          <w:bCs/>
          <w:spacing w:val="0"/>
          <w:sz w:val="44"/>
          <w:lang w:val="en-US" w:eastAsia="zh-CN"/>
        </w:rPr>
        <w:t>设施建设工程</w:t>
      </w:r>
      <w:r>
        <w:rPr>
          <w:rFonts w:hint="eastAsia" w:ascii="方正小标宋_GBK" w:hAnsi="方正小标宋_GBK" w:eastAsia="方正小标宋_GBK" w:cs="方正小标宋_GBK"/>
          <w:b w:val="0"/>
          <w:bCs/>
          <w:spacing w:val="-11"/>
          <w:sz w:val="44"/>
          <w:lang w:val="en-US" w:eastAsia="zh-CN"/>
        </w:rPr>
        <w:t>可行性研究报告</w:t>
      </w:r>
      <w:r>
        <w:rPr>
          <w:rFonts w:hint="eastAsia" w:ascii="方正小标宋_GBK" w:hAnsi="方正小标宋_GBK" w:eastAsia="方正小标宋_GBK" w:cs="方正小标宋_GBK"/>
          <w:b w:val="0"/>
          <w:bCs/>
          <w:spacing w:val="-11"/>
          <w:sz w:val="44"/>
        </w:rPr>
        <w:t>（代项目</w:t>
      </w:r>
    </w:p>
    <w:p w14:paraId="53C70EAF">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宋体" w:hAnsi="宋体"/>
          <w:b/>
          <w:spacing w:val="0"/>
          <w:sz w:val="44"/>
        </w:rPr>
      </w:pPr>
      <w:r>
        <w:rPr>
          <w:rFonts w:hint="eastAsia" w:ascii="方正小标宋_GBK" w:hAnsi="方正小标宋_GBK" w:eastAsia="方正小标宋_GBK" w:cs="方正小标宋_GBK"/>
          <w:b w:val="0"/>
          <w:bCs/>
          <w:spacing w:val="-11"/>
          <w:sz w:val="44"/>
        </w:rPr>
        <w:t>建议书）</w:t>
      </w:r>
      <w:r>
        <w:rPr>
          <w:rFonts w:hint="eastAsia" w:ascii="方正小标宋_GBK" w:hAnsi="方正小标宋_GBK" w:eastAsia="方正小标宋_GBK" w:cs="方正小标宋_GBK"/>
          <w:b w:val="0"/>
          <w:bCs/>
          <w:spacing w:val="-11"/>
          <w:sz w:val="44"/>
          <w:lang w:eastAsia="zh-CN"/>
        </w:rPr>
        <w:t>》</w:t>
      </w:r>
      <w:r>
        <w:rPr>
          <w:rFonts w:hint="eastAsia" w:ascii="方正小标宋_GBK" w:hAnsi="方正小标宋_GBK" w:eastAsia="方正小标宋_GBK" w:cs="方正小标宋_GBK"/>
          <w:b w:val="0"/>
          <w:bCs/>
          <w:spacing w:val="0"/>
          <w:sz w:val="44"/>
        </w:rPr>
        <w:t>的批复</w:t>
      </w:r>
    </w:p>
    <w:bookmarkEnd w:id="0"/>
    <w:p w14:paraId="4F9BE335">
      <w:pPr>
        <w:keepNext w:val="0"/>
        <w:keepLines w:val="0"/>
        <w:pageBreakBefore w:val="0"/>
        <w:widowControl w:val="0"/>
        <w:kinsoku/>
        <w:wordWrap/>
        <w:overflowPunct/>
        <w:topLinePunct w:val="0"/>
        <w:autoSpaceDE/>
        <w:autoSpaceDN/>
        <w:bidi w:val="0"/>
        <w:adjustRightInd/>
        <w:snapToGrid/>
        <w:spacing w:line="320" w:lineRule="exact"/>
        <w:ind w:left="0" w:leftChars="0" w:right="0" w:rightChars="0"/>
        <w:jc w:val="center"/>
        <w:textAlignment w:val="auto"/>
        <w:outlineLvl w:val="9"/>
        <w:rPr>
          <w:rFonts w:hint="eastAsia" w:ascii="宋体" w:hAnsi="宋体"/>
          <w:b/>
          <w:sz w:val="44"/>
        </w:rPr>
      </w:pPr>
    </w:p>
    <w:p w14:paraId="0EFC3EBC">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right="0" w:rightChars="0" w:firstLine="3600" w:firstLineChars="1500"/>
        <w:jc w:val="both"/>
        <w:textAlignment w:val="auto"/>
        <w:outlineLvl w:val="9"/>
        <w:rPr>
          <w:rFonts w:hint="default" w:ascii="华文仿宋" w:hAnsi="华文仿宋" w:eastAsia="华文仿宋" w:cs="华文仿宋"/>
          <w:sz w:val="24"/>
          <w:szCs w:val="24"/>
          <w:lang w:val="en-US" w:eastAsia="zh-CN"/>
        </w:rPr>
      </w:pPr>
      <w:r>
        <w:rPr>
          <w:rFonts w:hint="eastAsia" w:ascii="华文仿宋" w:hAnsi="华文仿宋" w:eastAsia="华文仿宋" w:cs="华文仿宋"/>
          <w:sz w:val="24"/>
          <w:szCs w:val="24"/>
          <w:lang w:val="en-US" w:eastAsia="zh-CN"/>
        </w:rPr>
        <w:t>项目编码：2603-140322-89-01-134812</w:t>
      </w:r>
    </w:p>
    <w:p w14:paraId="687C40DC">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0" w:firstLineChars="0"/>
        <w:textAlignment w:val="auto"/>
        <w:rPr>
          <w:rFonts w:hint="eastAsia"/>
        </w:rPr>
      </w:pPr>
    </w:p>
    <w:p w14:paraId="6A27E66A">
      <w:pPr>
        <w:pStyle w:val="9"/>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b w:val="0"/>
          <w:bCs w:val="0"/>
          <w:i w:val="0"/>
          <w:caps w:val="0"/>
          <w:color w:val="000000"/>
          <w:spacing w:val="0"/>
          <w:sz w:val="32"/>
          <w:szCs w:val="32"/>
          <w:lang w:val="en-US" w:eastAsia="zh-CN"/>
        </w:rPr>
        <w:t>盂县经济技术开发区管理委员会</w:t>
      </w:r>
      <w:r>
        <w:rPr>
          <w:rFonts w:hint="eastAsia" w:ascii="华文仿宋" w:hAnsi="华文仿宋" w:eastAsia="华文仿宋" w:cs="华文仿宋"/>
          <w:sz w:val="32"/>
          <w:szCs w:val="32"/>
          <w:lang w:eastAsia="zh-CN"/>
        </w:rPr>
        <w:t>：</w:t>
      </w:r>
    </w:p>
    <w:p w14:paraId="3E73BF24">
      <w:pPr>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val="en-US" w:eastAsia="zh-CN"/>
        </w:rPr>
        <w:t>你单位呈报的《关于盂县铝产业链一体化配套道路基础设施建设工程可行性研究报告批复的申请》（盂开管函〔2026〕15</w:t>
      </w:r>
      <w:r>
        <w:rPr>
          <w:rFonts w:hint="eastAsia" w:ascii="华文仿宋" w:hAnsi="华文仿宋" w:eastAsia="华文仿宋" w:cs="华文仿宋"/>
          <w:b w:val="0"/>
          <w:bCs w:val="0"/>
          <w:i w:val="0"/>
          <w:caps w:val="0"/>
          <w:color w:val="000000"/>
          <w:spacing w:val="0"/>
          <w:sz w:val="32"/>
          <w:szCs w:val="32"/>
          <w:lang w:val="en-US" w:eastAsia="zh-CN"/>
        </w:rPr>
        <w:t>号</w:t>
      </w:r>
      <w:r>
        <w:rPr>
          <w:rFonts w:hint="eastAsia" w:ascii="华文仿宋" w:hAnsi="华文仿宋" w:eastAsia="华文仿宋" w:cs="华文仿宋"/>
          <w:sz w:val="32"/>
          <w:szCs w:val="32"/>
          <w:lang w:val="en-US" w:eastAsia="zh-CN"/>
        </w:rPr>
        <w:t>）及相关材料已收悉</w:t>
      </w:r>
      <w:r>
        <w:rPr>
          <w:rFonts w:hint="eastAsia" w:ascii="华文仿宋" w:hAnsi="华文仿宋" w:eastAsia="华文仿宋" w:cs="华文仿宋"/>
          <w:sz w:val="32"/>
          <w:szCs w:val="32"/>
          <w:highlight w:val="none"/>
          <w:lang w:val="en-US" w:eastAsia="zh-CN"/>
        </w:rPr>
        <w:t>，为完善盂县西烟循环经济产业园道路基础设施建设，推动铝产业链一体化发展，切实提升园区综合承载能力</w:t>
      </w:r>
      <w:r>
        <w:rPr>
          <w:rFonts w:hint="eastAsia" w:ascii="华文仿宋" w:hAnsi="华文仿宋" w:eastAsia="华文仿宋" w:cs="华文仿宋"/>
          <w:b w:val="0"/>
          <w:bCs w:val="0"/>
          <w:color w:val="000000"/>
          <w:kern w:val="2"/>
          <w:sz w:val="32"/>
          <w:szCs w:val="32"/>
          <w:lang w:val="en-US" w:eastAsia="zh-CN" w:bidi="ar-SA"/>
        </w:rPr>
        <w:t>。</w:t>
      </w:r>
      <w:r>
        <w:rPr>
          <w:rFonts w:hint="eastAsia" w:ascii="华文仿宋" w:hAnsi="华文仿宋" w:eastAsia="华文仿宋" w:cs="华文仿宋"/>
          <w:sz w:val="32"/>
          <w:szCs w:val="32"/>
          <w:highlight w:val="none"/>
          <w:lang w:val="en-US" w:eastAsia="zh-CN"/>
        </w:rPr>
        <w:t>根据</w:t>
      </w:r>
      <w:r>
        <w:rPr>
          <w:rFonts w:hint="eastAsia" w:ascii="华文仿宋" w:hAnsi="华文仿宋" w:eastAsia="华文仿宋" w:cs="华文仿宋"/>
          <w:sz w:val="32"/>
          <w:szCs w:val="32"/>
          <w:lang w:val="en-US" w:eastAsia="zh-CN"/>
        </w:rPr>
        <w:t>盂县人民政府第95次常务会议要求</w:t>
      </w:r>
      <w:r>
        <w:rPr>
          <w:rFonts w:hint="eastAsia" w:ascii="华文仿宋" w:hAnsi="华文仿宋" w:eastAsia="华文仿宋" w:cs="华文仿宋"/>
          <w:color w:val="auto"/>
          <w:sz w:val="32"/>
          <w:szCs w:val="32"/>
          <w:lang w:val="en-US" w:eastAsia="zh-CN"/>
        </w:rPr>
        <w:t>，</w:t>
      </w:r>
      <w:r>
        <w:rPr>
          <w:rFonts w:hint="eastAsia" w:ascii="华文仿宋" w:hAnsi="华文仿宋" w:eastAsia="华文仿宋" w:cs="华文仿宋"/>
          <w:spacing w:val="0"/>
          <w:position w:val="0"/>
          <w:sz w:val="32"/>
          <w:szCs w:val="32"/>
          <w:lang w:val="en-US" w:eastAsia="zh-CN"/>
        </w:rPr>
        <w:t>经我局</w:t>
      </w:r>
      <w:r>
        <w:rPr>
          <w:rFonts w:hint="eastAsia" w:ascii="华文仿宋" w:hAnsi="华文仿宋" w:eastAsia="华文仿宋" w:cs="华文仿宋"/>
          <w:sz w:val="32"/>
          <w:szCs w:val="32"/>
          <w:lang w:val="en-US" w:eastAsia="zh-CN"/>
        </w:rPr>
        <w:t>审查并结合专家评审意见，经研究，</w:t>
      </w:r>
      <w:r>
        <w:rPr>
          <w:rFonts w:hint="eastAsia" w:ascii="华文仿宋" w:hAnsi="华文仿宋" w:eastAsia="华文仿宋" w:cs="华文仿宋"/>
          <w:color w:val="auto"/>
          <w:sz w:val="32"/>
          <w:szCs w:val="32"/>
          <w:lang w:val="en-US" w:eastAsia="zh-CN"/>
        </w:rPr>
        <w:t xml:space="preserve">原则同意该项目建设。现将该项目可行性研究报告（代项目建议书）批复如下：  </w:t>
      </w:r>
    </w:p>
    <w:p w14:paraId="14A635A5">
      <w:pPr>
        <w:keepNext w:val="0"/>
        <w:keepLines w:val="0"/>
        <w:pageBreakBefore w:val="0"/>
        <w:widowControl w:val="0"/>
        <w:numPr>
          <w:ilvl w:val="0"/>
          <w:numId w:val="1"/>
        </w:numPr>
        <w:kinsoku/>
        <w:wordWrap/>
        <w:overflowPunct/>
        <w:topLinePunct w:val="0"/>
        <w:autoSpaceDE/>
        <w:autoSpaceDN/>
        <w:bidi w:val="0"/>
        <w:adjustRightInd/>
        <w:snapToGrid/>
        <w:spacing w:line="54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eastAsia="zh-CN"/>
        </w:rPr>
        <w:t>项目名称：盂县铝产业链一体化配套道路基础设施建设工程</w:t>
      </w:r>
    </w:p>
    <w:p w14:paraId="4FAE5AA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华文仿宋" w:hAnsi="华文仿宋" w:eastAsia="华文仿宋" w:cs="华文仿宋"/>
          <w:spacing w:val="0"/>
          <w:position w:val="0"/>
          <w:sz w:val="32"/>
          <w:szCs w:val="32"/>
          <w:lang w:val="en-US" w:eastAsia="zh-CN"/>
        </w:rPr>
      </w:pPr>
      <w:r>
        <w:rPr>
          <w:rFonts w:hint="eastAsia" w:ascii="华文仿宋" w:hAnsi="华文仿宋" w:eastAsia="华文仿宋" w:cs="华文仿宋"/>
          <w:sz w:val="32"/>
          <w:szCs w:val="32"/>
          <w:lang w:val="en-US" w:eastAsia="zh-CN"/>
        </w:rPr>
        <w:t>二、建设地址：盂县西烟循环经济产业园</w:t>
      </w:r>
    </w:p>
    <w:p w14:paraId="31192BBD">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both"/>
        <w:textAlignment w:val="auto"/>
        <w:outlineLvl w:val="9"/>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val="en-US" w:eastAsia="zh-CN"/>
        </w:rPr>
        <w:t>三、项目投资及资金来源：</w:t>
      </w:r>
      <w:r>
        <w:rPr>
          <w:rFonts w:hint="eastAsia" w:ascii="华文仿宋" w:hAnsi="华文仿宋" w:eastAsia="华文仿宋" w:cs="华文仿宋"/>
          <w:sz w:val="32"/>
          <w:szCs w:val="32"/>
        </w:rPr>
        <w:t>本项目总投资12630.89万元</w:t>
      </w:r>
      <w:r>
        <w:rPr>
          <w:rFonts w:hint="eastAsia" w:ascii="华文仿宋" w:hAnsi="华文仿宋" w:eastAsia="华文仿宋" w:cs="华文仿宋"/>
          <w:sz w:val="32"/>
          <w:szCs w:val="32"/>
          <w:lang w:eastAsia="zh-CN"/>
        </w:rPr>
        <w:t>，其中：建安工程</w:t>
      </w:r>
      <w:r>
        <w:rPr>
          <w:rFonts w:hint="eastAsia" w:ascii="华文仿宋" w:hAnsi="华文仿宋" w:eastAsia="华文仿宋" w:cs="华文仿宋"/>
          <w:color w:val="000000"/>
          <w:sz w:val="32"/>
          <w:szCs w:val="32"/>
          <w:lang w:val="en-US" w:eastAsia="zh-CN"/>
        </w:rPr>
        <w:t>费10429.70万元，</w:t>
      </w:r>
      <w:r>
        <w:rPr>
          <w:rFonts w:hint="eastAsia" w:ascii="华文仿宋" w:hAnsi="华文仿宋" w:eastAsia="华文仿宋" w:cs="华文仿宋"/>
          <w:sz w:val="32"/>
          <w:szCs w:val="32"/>
          <w:lang w:eastAsia="zh-CN"/>
        </w:rPr>
        <w:t>工程建设其他费1265.57</w:t>
      </w:r>
      <w:r>
        <w:rPr>
          <w:rFonts w:hint="eastAsia" w:ascii="华文仿宋" w:hAnsi="华文仿宋" w:eastAsia="华文仿宋" w:cs="华文仿宋"/>
          <w:sz w:val="32"/>
          <w:szCs w:val="32"/>
          <w:lang w:val="en-US" w:eastAsia="zh-CN"/>
        </w:rPr>
        <w:t>万元，</w:t>
      </w:r>
      <w:r>
        <w:rPr>
          <w:rFonts w:hint="eastAsia" w:ascii="华文仿宋" w:hAnsi="华文仿宋" w:eastAsia="华文仿宋" w:cs="华文仿宋"/>
          <w:sz w:val="32"/>
          <w:szCs w:val="32"/>
          <w:lang w:eastAsia="zh-CN"/>
        </w:rPr>
        <w:t>预备费935.62</w:t>
      </w:r>
      <w:r>
        <w:rPr>
          <w:rFonts w:hint="eastAsia" w:ascii="华文仿宋" w:hAnsi="华文仿宋" w:eastAsia="华文仿宋" w:cs="华文仿宋"/>
          <w:sz w:val="32"/>
          <w:szCs w:val="32"/>
          <w:lang w:val="en-US" w:eastAsia="zh-CN"/>
        </w:rPr>
        <w:t>万元。</w:t>
      </w:r>
      <w:r>
        <w:rPr>
          <w:rFonts w:hint="eastAsia" w:ascii="华文仿宋" w:hAnsi="华文仿宋" w:eastAsia="华文仿宋" w:cs="华文仿宋"/>
          <w:color w:val="000000"/>
          <w:sz w:val="32"/>
          <w:szCs w:val="32"/>
          <w:lang w:val="en-US" w:eastAsia="zh-CN"/>
        </w:rPr>
        <w:t>资金来源为：财政资金、申请上级资金、专项债。</w:t>
      </w:r>
    </w:p>
    <w:p w14:paraId="5325B616">
      <w:pPr>
        <w:pStyle w:val="23"/>
        <w:keepNext w:val="0"/>
        <w:keepLines w:val="0"/>
        <w:pageBreakBefore w:val="0"/>
        <w:widowControl w:val="0"/>
        <w:numPr>
          <w:ilvl w:val="0"/>
          <w:numId w:val="0"/>
        </w:numPr>
        <w:kinsoku/>
        <w:wordWrap/>
        <w:overflowPunct/>
        <w:topLinePunct w:val="0"/>
        <w:bidi w:val="0"/>
        <w:adjustRightInd/>
        <w:snapToGrid/>
        <w:spacing w:line="540" w:lineRule="exact"/>
        <w:ind w:firstLine="640" w:firstLineChars="200"/>
        <w:jc w:val="both"/>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val="en-US" w:eastAsia="zh-CN"/>
        </w:rPr>
        <w:t>四、建设规模及内容</w:t>
      </w:r>
      <w:r>
        <w:rPr>
          <w:rFonts w:hint="eastAsia" w:ascii="华文仿宋" w:hAnsi="华文仿宋" w:eastAsia="华文仿宋" w:cs="华文仿宋"/>
          <w:sz w:val="32"/>
          <w:szCs w:val="32"/>
          <w:lang w:eastAsia="zh-CN"/>
        </w:rPr>
        <w:t>：本项目投资估算包括三条产业园主干道，全长3980米，其中经六路道路设计全长为783米，经八路道路设计全长为727米，纬四路道路设计全长为2470米，道路红线宽度25米。主要建设内容为：</w:t>
      </w:r>
    </w:p>
    <w:p w14:paraId="300A536D">
      <w:pPr>
        <w:pStyle w:val="23"/>
        <w:keepNext w:val="0"/>
        <w:keepLines w:val="0"/>
        <w:pageBreakBefore w:val="0"/>
        <w:widowControl w:val="0"/>
        <w:numPr>
          <w:ilvl w:val="0"/>
          <w:numId w:val="0"/>
        </w:numPr>
        <w:kinsoku/>
        <w:wordWrap/>
        <w:overflowPunct/>
        <w:topLinePunct w:val="0"/>
        <w:bidi w:val="0"/>
        <w:adjustRightInd/>
        <w:snapToGrid/>
        <w:spacing w:line="540" w:lineRule="exact"/>
        <w:ind w:firstLine="640" w:firstLineChars="200"/>
        <w:jc w:val="both"/>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一）经六路：道路及附属工程、照明工程、交通工程、挡墙工程及城市绿化带工程。具体为：道路设计全长为783米；填方700立方米；12000平方米护坡；设置路灯42基，手孔井2座，电力电缆1600米；交通信号灯2套，监控2套；标线工程650平方米，标志标识工程6处；防撞护栏670米；悬臂式挡土墙760米，桩板式挡土墙440米；行道树314株，草坪4600平方米。</w:t>
      </w:r>
    </w:p>
    <w:p w14:paraId="65C7A24A">
      <w:pPr>
        <w:pStyle w:val="23"/>
        <w:keepNext w:val="0"/>
        <w:keepLines w:val="0"/>
        <w:pageBreakBefore w:val="0"/>
        <w:widowControl w:val="0"/>
        <w:numPr>
          <w:ilvl w:val="0"/>
          <w:numId w:val="0"/>
        </w:numPr>
        <w:kinsoku/>
        <w:wordWrap/>
        <w:overflowPunct/>
        <w:topLinePunct w:val="0"/>
        <w:bidi w:val="0"/>
        <w:adjustRightInd/>
        <w:snapToGrid/>
        <w:spacing w:line="540" w:lineRule="exact"/>
        <w:ind w:firstLine="640" w:firstLineChars="200"/>
        <w:jc w:val="both"/>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二）经八路：道路及附属工程，雨水工程、污水工程、照明工程、交通工程、通信工程及城市绿化带工程。具体为：道路设计全长为727米；挖土方25000立方米，填方29000立方米；土基处理8200平方米；护坡1800平方米；DN300雨水连接管260m，DN500雨水管440m，DN600雨水管320m，雨水检查井15座，双篦雨水口32个；DN500污水管720.9m，污水检查井16座；设置路灯40基，手孔井2座，电力电缆1500米；交通信号灯5套，监控5套；标线工程600平方米，标志标识工程3处；敷设8孔排管1454米，手孔井16座；行道树291株，草坪7590平方米。</w:t>
      </w:r>
    </w:p>
    <w:p w14:paraId="4D0DD527">
      <w:pPr>
        <w:pStyle w:val="23"/>
        <w:keepNext w:val="0"/>
        <w:keepLines w:val="0"/>
        <w:pageBreakBefore w:val="0"/>
        <w:widowControl w:val="0"/>
        <w:numPr>
          <w:ilvl w:val="0"/>
          <w:numId w:val="0"/>
        </w:numPr>
        <w:kinsoku/>
        <w:wordWrap/>
        <w:overflowPunct/>
        <w:topLinePunct w:val="0"/>
        <w:bidi w:val="0"/>
        <w:adjustRightInd/>
        <w:snapToGrid/>
        <w:spacing w:line="540" w:lineRule="exact"/>
        <w:ind w:firstLine="640" w:firstLineChars="200"/>
        <w:jc w:val="both"/>
        <w:textAlignment w:val="auto"/>
        <w:rPr>
          <w:rFonts w:hint="eastAsia" w:ascii="华文仿宋" w:hAnsi="华文仿宋" w:eastAsia="华文仿宋" w:cs="华文仿宋"/>
          <w:sz w:val="32"/>
          <w:szCs w:val="32"/>
          <w:lang w:eastAsia="zh-CN"/>
        </w:rPr>
      </w:pPr>
      <w:r>
        <w:rPr>
          <w:rFonts w:hint="eastAsia" w:ascii="华文仿宋" w:hAnsi="华文仿宋" w:eastAsia="华文仿宋" w:cs="华文仿宋"/>
          <w:sz w:val="32"/>
          <w:szCs w:val="32"/>
          <w:lang w:eastAsia="zh-CN"/>
        </w:rPr>
        <w:t>（三）纬四路：道路及附属工程，雨水工程、污水工程、排洪工程、照明工程、交通工程、通信工程、挡墙工程及城市绿化带工程等。具体为：道路设计全长为2470米；挖土方609000立方米，填方14000立方米；土基处理55000平方米；护坡22000平方米；DN300雨水连接管874m，DN500雨水管290m，DN600雨水管300m，DN800雨水管840m，DN1000雨水管350m，DN1500雨水管280m，DN800雨水管620m；混凝土雨水检查井52座，双篦雨水口105个；DN300污水管540m，DN400污水管340m，DN500污水管1560m，污水检查井49座，敷设DN2500球墨铸铁管2640米；设置路灯138基，手孔井7座，电力电缆2800米，50kvA箱式变电站2台；交通信号灯7套，监控7套；标线工程1610平方米，标志标识工程5处；防撞护栏760米；敷设8孔排管4940米，手孔井16座；悬臂式挡土墙400米，桩板式挡土墙60米；行道树988株，草坪22000平方米。</w:t>
      </w:r>
    </w:p>
    <w:p w14:paraId="1AC66294">
      <w:pPr>
        <w:pStyle w:val="23"/>
        <w:keepNext w:val="0"/>
        <w:keepLines w:val="0"/>
        <w:pageBreakBefore w:val="0"/>
        <w:widowControl w:val="0"/>
        <w:numPr>
          <w:ilvl w:val="0"/>
          <w:numId w:val="0"/>
        </w:numPr>
        <w:kinsoku/>
        <w:wordWrap/>
        <w:overflowPunct/>
        <w:topLinePunct w:val="0"/>
        <w:bidi w:val="0"/>
        <w:adjustRightInd/>
        <w:snapToGrid/>
        <w:spacing w:line="540" w:lineRule="exact"/>
        <w:ind w:firstLine="640" w:firstLineChars="200"/>
        <w:jc w:val="both"/>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五、建设期限：24个月</w:t>
      </w:r>
    </w:p>
    <w:p w14:paraId="13CE5D5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right="0" w:rightChars="0" w:firstLine="640" w:firstLineChars="200"/>
        <w:jc w:val="both"/>
        <w:textAlignment w:val="auto"/>
        <w:outlineLvl w:val="9"/>
        <w:rPr>
          <w:rFonts w:hint="eastAsia" w:ascii="华文仿宋" w:hAnsi="华文仿宋" w:eastAsia="华文仿宋" w:cs="华文仿宋"/>
          <w:color w:val="000000" w:themeColor="text1"/>
          <w:sz w:val="32"/>
          <w:szCs w:val="32"/>
          <w:lang w:val="en-US" w:eastAsia="zh-CN"/>
          <w14:textFill>
            <w14:solidFill>
              <w14:schemeClr w14:val="tx1"/>
            </w14:solidFill>
          </w14:textFill>
        </w:rPr>
      </w:pPr>
      <w:r>
        <w:rPr>
          <w:rFonts w:hint="eastAsia" w:ascii="华文仿宋" w:hAnsi="华文仿宋" w:eastAsia="华文仿宋" w:cs="华文仿宋"/>
          <w:color w:val="000000" w:themeColor="text1"/>
          <w:sz w:val="32"/>
          <w:szCs w:val="32"/>
          <w:lang w:val="en-US" w:eastAsia="zh-CN"/>
          <w14:textFill>
            <w14:solidFill>
              <w14:schemeClr w14:val="tx1"/>
            </w14:solidFill>
          </w14:textFill>
        </w:rPr>
        <w:t>六、如需对本工程可行性研究报告（代项目建议书）批复文件所规定的有关内容进行调整，请及时以书面形式向我局报告，并按有关规定办理。</w:t>
      </w:r>
    </w:p>
    <w:p w14:paraId="39972A4D">
      <w:pPr>
        <w:pStyle w:val="23"/>
        <w:keepNext w:val="0"/>
        <w:keepLines w:val="0"/>
        <w:pageBreakBefore w:val="0"/>
        <w:widowControl w:val="0"/>
        <w:kinsoku/>
        <w:wordWrap/>
        <w:overflowPunct/>
        <w:topLinePunct w:val="0"/>
        <w:bidi w:val="0"/>
        <w:adjustRightInd/>
        <w:snapToGrid/>
        <w:spacing w:line="520" w:lineRule="exact"/>
        <w:ind w:firstLine="640"/>
        <w:textAlignment w:val="auto"/>
        <w:rPr>
          <w:rFonts w:hint="eastAsia" w:ascii="华文仿宋" w:hAnsi="华文仿宋" w:eastAsia="华文仿宋" w:cs="华文仿宋"/>
          <w:color w:val="000000" w:themeColor="text1"/>
          <w:sz w:val="32"/>
          <w:szCs w:val="32"/>
          <w:lang w:val="en-US" w:eastAsia="zh-CN"/>
          <w14:textFill>
            <w14:solidFill>
              <w14:schemeClr w14:val="tx1"/>
            </w14:solidFill>
          </w14:textFill>
        </w:rPr>
      </w:pPr>
      <w:r>
        <w:rPr>
          <w:rFonts w:hint="eastAsia" w:ascii="华文仿宋" w:hAnsi="华文仿宋" w:eastAsia="华文仿宋" w:cs="华文仿宋"/>
          <w:color w:val="000000" w:themeColor="text1"/>
          <w:sz w:val="32"/>
          <w:szCs w:val="32"/>
          <w:highlight w:val="none"/>
          <w:lang w:val="en-US" w:eastAsia="zh-CN"/>
          <w14:textFill>
            <w14:solidFill>
              <w14:schemeClr w14:val="tx1"/>
            </w14:solidFill>
          </w14:textFill>
        </w:rPr>
        <w:t>七、请严格按照我局核准的招标方案组织实施。</w:t>
      </w:r>
      <w:r>
        <w:rPr>
          <w:rFonts w:hint="eastAsia" w:ascii="华文仿宋" w:hAnsi="华文仿宋" w:eastAsia="华文仿宋" w:cs="华文仿宋"/>
          <w:sz w:val="32"/>
          <w:szCs w:val="32"/>
          <w:highlight w:val="none"/>
          <w:lang w:val="en-US" w:eastAsia="zh-CN"/>
        </w:rPr>
        <w:t>项目建设单位（招标人）应当通过各级公共资源交易平台或各电子招标投标交易平台（系统）发布招标计划，并同步推送至山西省招标投标公共服务平台和山西省公共资源交易平台。依法必须进行招标的工程建设项目要全部发布招标计划。</w:t>
      </w:r>
      <w:r>
        <w:rPr>
          <w:rFonts w:hint="eastAsia" w:ascii="华文仿宋" w:hAnsi="华文仿宋" w:eastAsia="华文仿宋" w:cs="华文仿宋"/>
          <w:color w:val="000000" w:themeColor="text1"/>
          <w:sz w:val="32"/>
          <w:szCs w:val="32"/>
          <w:lang w:val="en-US" w:eastAsia="zh-CN"/>
          <w14:textFill>
            <w14:solidFill>
              <w14:schemeClr w14:val="tx1"/>
            </w14:solidFill>
          </w14:textFill>
        </w:rPr>
        <w:t xml:space="preserve">   </w:t>
      </w:r>
    </w:p>
    <w:p w14:paraId="7C8EB512">
      <w:pPr>
        <w:pStyle w:val="2"/>
        <w:keepNext w:val="0"/>
        <w:keepLines w:val="0"/>
        <w:pageBreakBefore w:val="0"/>
        <w:widowControl w:val="0"/>
        <w:kinsoku/>
        <w:wordWrap/>
        <w:overflowPunct/>
        <w:topLinePunct w:val="0"/>
        <w:bidi w:val="0"/>
        <w:adjustRightInd/>
        <w:snapToGrid/>
        <w:spacing w:line="520" w:lineRule="exact"/>
        <w:ind w:firstLine="640"/>
        <w:textAlignment w:val="auto"/>
        <w:rPr>
          <w:rFonts w:hint="eastAsia" w:ascii="华文仿宋" w:hAnsi="华文仿宋" w:eastAsia="华文仿宋" w:cs="华文仿宋"/>
          <w:color w:val="000000" w:themeColor="text1"/>
          <w:kern w:val="2"/>
          <w:sz w:val="32"/>
          <w:szCs w:val="32"/>
          <w:lang w:val="en-US" w:eastAsia="zh-CN"/>
          <w14:textFill>
            <w14:solidFill>
              <w14:schemeClr w14:val="tx1"/>
            </w14:solidFill>
          </w14:textFill>
        </w:rPr>
      </w:pPr>
      <w:r>
        <w:rPr>
          <w:rFonts w:hint="eastAsia" w:ascii="华文仿宋" w:hAnsi="华文仿宋" w:eastAsia="华文仿宋" w:cs="华文仿宋"/>
          <w:color w:val="000000" w:themeColor="text1"/>
          <w:sz w:val="32"/>
          <w:szCs w:val="32"/>
          <w:lang w:val="en-US" w:eastAsia="zh-CN"/>
          <w14:textFill>
            <w14:solidFill>
              <w14:schemeClr w14:val="tx1"/>
            </w14:solidFill>
          </w14:textFill>
        </w:rPr>
        <w:t>八</w:t>
      </w:r>
      <w:r>
        <w:rPr>
          <w:rFonts w:hint="eastAsia" w:ascii="华文仿宋" w:hAnsi="华文仿宋" w:eastAsia="华文仿宋" w:cs="华文仿宋"/>
          <w:color w:val="000000" w:themeColor="text1"/>
          <w:kern w:val="2"/>
          <w:sz w:val="32"/>
          <w:szCs w:val="32"/>
          <w:lang w:val="en-US" w:eastAsia="zh-CN"/>
          <w14:textFill>
            <w14:solidFill>
              <w14:schemeClr w14:val="tx1"/>
            </w14:solidFill>
          </w14:textFill>
        </w:rPr>
        <w:t>、你单位应当按照相关节能标准、规范建设，采用节能技术、工艺和设备，加强节能管理，不断提高项目能效水平。项目实施建设和运营期，将严格遵守国家相关节能法律法规政策，自觉配合相关检查、监察。</w:t>
      </w:r>
    </w:p>
    <w:p w14:paraId="1F93DC17">
      <w:pPr>
        <w:pStyle w:val="3"/>
        <w:keepNext w:val="0"/>
        <w:keepLines w:val="0"/>
        <w:pageBreakBefore w:val="0"/>
        <w:widowControl w:val="0"/>
        <w:kinsoku/>
        <w:wordWrap/>
        <w:overflowPunct/>
        <w:topLinePunct w:val="0"/>
        <w:bidi w:val="0"/>
        <w:adjustRightInd/>
        <w:snapToGrid/>
        <w:spacing w:line="520" w:lineRule="exact"/>
        <w:ind w:firstLine="640" w:firstLineChars="200"/>
        <w:textAlignment w:val="auto"/>
        <w:rPr>
          <w:rFonts w:hint="eastAsia" w:ascii="华文仿宋" w:hAnsi="华文仿宋" w:eastAsia="华文仿宋" w:cs="华文仿宋"/>
          <w:lang w:val="en-US" w:eastAsia="zh-CN"/>
        </w:rPr>
      </w:pPr>
      <w:r>
        <w:rPr>
          <w:rFonts w:hint="eastAsia" w:ascii="华文仿宋" w:hAnsi="华文仿宋" w:eastAsia="华文仿宋" w:cs="华文仿宋"/>
          <w:b w:val="0"/>
          <w:bCs w:val="0"/>
          <w:sz w:val="32"/>
          <w:szCs w:val="32"/>
          <w:lang w:val="en-US" w:eastAsia="zh-CN"/>
        </w:rPr>
        <w:t>九、根据山西省人民政府办公厅《关于印发山西省基本建设用地考古前置管理规定的通知》和盂县人民政府办公室《关于进一步加强文物保护管理工作的实施意见》你单位在开工前，必须事先会同文物行政管理部门依法做好文物调查和勘探工作。</w:t>
      </w:r>
    </w:p>
    <w:p w14:paraId="07A65226">
      <w:pPr>
        <w:pStyle w:val="3"/>
        <w:keepNext w:val="0"/>
        <w:keepLines w:val="0"/>
        <w:pageBreakBefore w:val="0"/>
        <w:widowControl w:val="0"/>
        <w:kinsoku/>
        <w:wordWrap/>
        <w:overflowPunct/>
        <w:topLinePunct w:val="0"/>
        <w:bidi w:val="0"/>
        <w:adjustRightInd/>
        <w:snapToGrid/>
        <w:spacing w:line="520" w:lineRule="exact"/>
        <w:ind w:firstLine="640"/>
        <w:textAlignment w:val="auto"/>
        <w:rPr>
          <w:rFonts w:hint="eastAsia" w:ascii="华文仿宋" w:hAnsi="华文仿宋" w:eastAsia="华文仿宋" w:cs="华文仿宋"/>
          <w:lang w:val="en-US" w:eastAsia="zh-CN"/>
        </w:rPr>
      </w:pPr>
      <w:r>
        <w:rPr>
          <w:rFonts w:hint="eastAsia" w:ascii="华文仿宋" w:hAnsi="华文仿宋" w:eastAsia="华文仿宋" w:cs="华文仿宋"/>
          <w:b w:val="0"/>
          <w:bCs w:val="0"/>
          <w:sz w:val="32"/>
          <w:szCs w:val="32"/>
          <w:lang w:val="en-US" w:eastAsia="zh-CN"/>
        </w:rPr>
        <w:t>十、项目开工前，项目单位要依法依规取得相关报批手续，主要包括建设用地批复、环评、文物选址、文评、水保、取水许可、泉域水资源影响评价、社会稳定性评价、招标投标、工程规划、施工许可等与项目性质有关的事项。</w:t>
      </w:r>
    </w:p>
    <w:p w14:paraId="1CA7BE3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jc w:val="both"/>
        <w:textAlignment w:val="auto"/>
        <w:outlineLvl w:val="9"/>
        <w:rPr>
          <w:rFonts w:hint="eastAsia" w:ascii="华文仿宋" w:hAnsi="华文仿宋" w:eastAsia="华文仿宋" w:cs="华文仿宋"/>
          <w:lang w:val="en-US" w:eastAsia="zh-CN"/>
        </w:rPr>
      </w:pPr>
      <w:r>
        <w:rPr>
          <w:rFonts w:hint="eastAsia" w:ascii="华文仿宋" w:hAnsi="华文仿宋" w:eastAsia="华文仿宋" w:cs="华文仿宋"/>
          <w:color w:val="000000" w:themeColor="text1"/>
          <w:sz w:val="32"/>
          <w:szCs w:val="32"/>
          <w:lang w:eastAsia="zh-CN"/>
          <w14:textFill>
            <w14:solidFill>
              <w14:schemeClr w14:val="tx1"/>
            </w14:solidFill>
          </w14:textFill>
        </w:rPr>
        <w:t>十一、按照《政府投资条例》（国务院令第712号）规定，你单位应抓紧编制项目初步设计，并报我局批复。同时，应通过山西省投资项目在线审批监管平台如实报送项目开工建设、建设进度、竣工的基本信息等。</w:t>
      </w:r>
    </w:p>
    <w:p w14:paraId="766D1B90">
      <w:pPr>
        <w:pStyle w:val="23"/>
        <w:keepNext w:val="0"/>
        <w:keepLines w:val="0"/>
        <w:pageBreakBefore w:val="0"/>
        <w:widowControl w:val="0"/>
        <w:kinsoku/>
        <w:wordWrap/>
        <w:overflowPunct/>
        <w:topLinePunct w:val="0"/>
        <w:bidi w:val="0"/>
        <w:adjustRightInd/>
        <w:snapToGrid/>
        <w:spacing w:line="520" w:lineRule="exact"/>
        <w:ind w:firstLine="640" w:firstLineChars="200"/>
        <w:textAlignment w:val="auto"/>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专此批复 </w:t>
      </w:r>
    </w:p>
    <w:p w14:paraId="5A48D4E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textAlignment w:val="auto"/>
        <w:outlineLvl w:val="9"/>
        <w:rPr>
          <w:rFonts w:hint="eastAsia" w:ascii="华文仿宋" w:hAnsi="华文仿宋" w:eastAsia="华文仿宋" w:cs="华文仿宋"/>
          <w:color w:val="000000" w:themeColor="text1"/>
          <w:sz w:val="32"/>
          <w:szCs w:val="32"/>
          <w:lang w:val="en-US" w:eastAsia="zh-CN"/>
          <w14:textFill>
            <w14:solidFill>
              <w14:schemeClr w14:val="tx1"/>
            </w14:solidFill>
          </w14:textFill>
        </w:rPr>
      </w:pPr>
    </w:p>
    <w:p w14:paraId="1FFE754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right="0" w:rightChars="0" w:firstLine="640" w:firstLineChars="200"/>
        <w:textAlignment w:val="auto"/>
        <w:outlineLvl w:val="9"/>
        <w:rPr>
          <w:rFonts w:hint="eastAsia" w:ascii="华文仿宋" w:hAnsi="华文仿宋" w:eastAsia="华文仿宋" w:cs="华文仿宋"/>
          <w:color w:val="000000" w:themeColor="text1"/>
          <w:sz w:val="32"/>
          <w:szCs w:val="32"/>
          <w:lang w:val="en-US" w:eastAsia="zh-CN"/>
          <w14:textFill>
            <w14:solidFill>
              <w14:schemeClr w14:val="tx1"/>
            </w14:solidFill>
          </w14:textFill>
        </w:rPr>
      </w:pPr>
      <w:r>
        <w:rPr>
          <w:rFonts w:hint="eastAsia" w:ascii="华文仿宋" w:hAnsi="华文仿宋" w:eastAsia="华文仿宋" w:cs="华文仿宋"/>
          <w:color w:val="000000" w:themeColor="text1"/>
          <w:sz w:val="32"/>
          <w:szCs w:val="32"/>
          <w:lang w:val="en-US" w:eastAsia="zh-CN"/>
          <w14:textFill>
            <w14:solidFill>
              <w14:schemeClr w14:val="tx1"/>
            </w14:solidFill>
          </w14:textFill>
        </w:rPr>
        <w:t>附件：盂县建设项目招标方案和不招标申请核准表</w:t>
      </w:r>
    </w:p>
    <w:p w14:paraId="2C0805AC">
      <w:pPr>
        <w:keepNext w:val="0"/>
        <w:keepLines w:val="0"/>
        <w:pageBreakBefore w:val="0"/>
        <w:widowControl w:val="0"/>
        <w:kinsoku/>
        <w:wordWrap/>
        <w:overflowPunct/>
        <w:topLinePunct w:val="0"/>
        <w:autoSpaceDE/>
        <w:autoSpaceDN/>
        <w:bidi w:val="0"/>
        <w:adjustRightInd/>
        <w:snapToGrid/>
        <w:spacing w:before="0" w:after="0" w:line="520" w:lineRule="exact"/>
        <w:ind w:right="0" w:rightChars="0" w:firstLine="640" w:firstLineChars="200"/>
        <w:jc w:val="both"/>
        <w:textAlignment w:val="auto"/>
        <w:outlineLvl w:val="9"/>
        <w:rPr>
          <w:rFonts w:hint="eastAsia"/>
          <w:lang w:val="en-US" w:eastAsia="zh-CN"/>
        </w:rPr>
      </w:pPr>
      <w:r>
        <w:rPr>
          <w:rFonts w:hint="eastAsia" w:ascii="华文仿宋" w:hAnsi="华文仿宋" w:eastAsia="华文仿宋" w:cs="华文仿宋"/>
          <w:sz w:val="32"/>
          <w:szCs w:val="32"/>
          <w:lang w:val="en-US" w:eastAsia="zh-CN"/>
        </w:rPr>
        <w:t xml:space="preserve">                  </w:t>
      </w:r>
    </w:p>
    <w:p w14:paraId="345BADF4">
      <w:pPr>
        <w:keepNext w:val="0"/>
        <w:keepLines w:val="0"/>
        <w:pageBreakBefore w:val="0"/>
        <w:widowControl w:val="0"/>
        <w:kinsoku/>
        <w:wordWrap/>
        <w:overflowPunct/>
        <w:topLinePunct w:val="0"/>
        <w:autoSpaceDE/>
        <w:autoSpaceDN/>
        <w:bidi w:val="0"/>
        <w:adjustRightInd/>
        <w:snapToGrid/>
        <w:spacing w:before="0" w:after="0" w:line="520" w:lineRule="exact"/>
        <w:ind w:right="0" w:rightChars="0" w:firstLine="5440" w:firstLineChars="170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盂县发展和改革局</w:t>
      </w:r>
    </w:p>
    <w:p w14:paraId="63CFA10E">
      <w:pPr>
        <w:keepNext w:val="0"/>
        <w:keepLines w:val="0"/>
        <w:pageBreakBefore w:val="0"/>
        <w:widowControl w:val="0"/>
        <w:kinsoku/>
        <w:wordWrap/>
        <w:overflowPunct/>
        <w:topLinePunct w:val="0"/>
        <w:autoSpaceDE/>
        <w:autoSpaceDN/>
        <w:bidi w:val="0"/>
        <w:adjustRightInd/>
        <w:snapToGrid/>
        <w:spacing w:before="0" w:after="0" w:line="520" w:lineRule="exact"/>
        <w:ind w:left="0" w:leftChars="0" w:right="0" w:rightChars="0"/>
        <w:jc w:val="both"/>
        <w:textAlignment w:val="auto"/>
        <w:outlineLvl w:val="9"/>
        <w:rPr>
          <w:rFonts w:hint="eastAsia" w:ascii="华文仿宋" w:hAnsi="华文仿宋" w:eastAsia="华文仿宋" w:cs="华文仿宋"/>
          <w:sz w:val="32"/>
          <w:szCs w:val="32"/>
          <w:lang w:val="en-US" w:eastAsia="zh-CN"/>
        </w:rPr>
      </w:pPr>
      <w:r>
        <w:rPr>
          <w:rFonts w:hint="eastAsia" w:ascii="华文仿宋" w:hAnsi="华文仿宋" w:eastAsia="华文仿宋" w:cs="华文仿宋"/>
          <w:sz w:val="32"/>
          <w:szCs w:val="32"/>
          <w:lang w:val="en-US" w:eastAsia="zh-CN"/>
        </w:rPr>
        <w:t xml:space="preserve">                                   2026年4月14日</w:t>
      </w:r>
    </w:p>
    <w:p w14:paraId="777F8687">
      <w:pPr>
        <w:pStyle w:val="3"/>
        <w:rPr>
          <w:rFonts w:hint="eastAsia"/>
          <w:lang w:val="en-US" w:eastAsia="zh-CN"/>
        </w:rPr>
      </w:pPr>
    </w:p>
    <w:p w14:paraId="248B7005">
      <w:pPr>
        <w:keepNext w:val="0"/>
        <w:keepLines w:val="0"/>
        <w:pageBreakBefore w:val="0"/>
        <w:widowControl w:val="0"/>
        <w:pBdr>
          <w:top w:val="single" w:color="auto" w:sz="4" w:space="0"/>
          <w:bottom w:val="single" w:color="auto" w:sz="4" w:space="0"/>
        </w:pBdr>
        <w:kinsoku/>
        <w:wordWrap/>
        <w:overflowPunct/>
        <w:topLinePunct w:val="0"/>
        <w:autoSpaceDE/>
        <w:autoSpaceDN/>
        <w:bidi w:val="0"/>
        <w:adjustRightInd/>
        <w:snapToGrid/>
        <w:spacing w:line="440" w:lineRule="exact"/>
        <w:ind w:firstLine="320" w:firstLineChars="100"/>
        <w:textAlignment w:val="auto"/>
        <w:rPr>
          <w:rFonts w:hint="eastAsia" w:ascii="华文中宋" w:hAnsi="华文中宋" w:eastAsia="华文中宋"/>
          <w:bCs/>
          <w:sz w:val="36"/>
        </w:rPr>
      </w:pPr>
      <w:r>
        <w:rPr>
          <w:rFonts w:hint="eastAsia" w:ascii="华文仿宋" w:hAnsi="华文仿宋" w:eastAsia="华文仿宋" w:cs="华文仿宋"/>
          <w:b w:val="0"/>
          <w:bCs/>
          <w:sz w:val="32"/>
          <w:szCs w:val="32"/>
          <w:lang w:val="en-US" w:eastAsia="zh-CN"/>
        </w:rPr>
        <w:t>盂县发展和改革局              2026年4月14日印发</w:t>
      </w:r>
    </w:p>
    <w:p w14:paraId="5BE5E693">
      <w:pPr>
        <w:pStyle w:val="10"/>
        <w:rPr>
          <w:rFonts w:hint="eastAsia"/>
          <w:lang w:eastAsia="zh-CN"/>
        </w:rPr>
      </w:pPr>
    </w:p>
    <w:p w14:paraId="05C9EE00">
      <w:pPr>
        <w:pStyle w:val="10"/>
        <w:rPr>
          <w:rFonts w:hint="eastAsia"/>
          <w:lang w:eastAsia="zh-CN"/>
        </w:rPr>
      </w:pPr>
    </w:p>
    <w:p w14:paraId="5ACB7670">
      <w:pPr>
        <w:jc w:val="center"/>
        <w:rPr>
          <w:rFonts w:ascii="华文中宋" w:hAnsi="华文中宋" w:eastAsia="华文中宋"/>
          <w:bCs/>
          <w:sz w:val="36"/>
        </w:rPr>
      </w:pPr>
      <w:r>
        <w:rPr>
          <w:rFonts w:hint="eastAsia" w:ascii="华文中宋" w:hAnsi="华文中宋" w:eastAsia="华文中宋"/>
          <w:bCs/>
          <w:sz w:val="36"/>
          <w:lang w:eastAsia="zh-CN"/>
        </w:rPr>
        <w:t>盂县</w:t>
      </w:r>
      <w:r>
        <w:rPr>
          <w:rFonts w:hint="eastAsia" w:ascii="华文中宋" w:hAnsi="华文中宋" w:eastAsia="华文中宋"/>
          <w:bCs/>
          <w:sz w:val="36"/>
        </w:rPr>
        <w:t>建设项目招标方案和不招标申请核准表</w:t>
      </w:r>
    </w:p>
    <w:p w14:paraId="4E9A4E8A">
      <w:pPr>
        <w:jc w:val="left"/>
        <w:rPr>
          <w:rFonts w:hint="default" w:asciiTheme="minorEastAsia" w:hAnsiTheme="minorEastAsia" w:eastAsiaTheme="minorEastAsia" w:cstheme="minorEastAsia"/>
          <w:lang w:val="en-US" w:eastAsia="zh-CN"/>
        </w:rPr>
      </w:pPr>
      <w:r>
        <w:rPr>
          <w:rFonts w:hint="eastAsia"/>
        </w:rPr>
        <w:t xml:space="preserve">                                                           </w:t>
      </w:r>
      <w:r>
        <w:rPr>
          <w:rFonts w:hint="eastAsia" w:asciiTheme="minorEastAsia" w:hAnsiTheme="minorEastAsia" w:eastAsiaTheme="minorEastAsia" w:cstheme="minorEastAsia"/>
          <w:lang w:val="en-US" w:eastAsia="zh-CN"/>
        </w:rPr>
        <w:t xml:space="preserve">  核准号：2026-009</w:t>
      </w:r>
    </w:p>
    <w:tbl>
      <w:tblPr>
        <w:tblStyle w:val="16"/>
        <w:tblW w:w="9315" w:type="dxa"/>
        <w:tblInd w:w="-2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3"/>
        <w:gridCol w:w="1312"/>
        <w:gridCol w:w="1065"/>
        <w:gridCol w:w="263"/>
        <w:gridCol w:w="960"/>
        <w:gridCol w:w="1087"/>
        <w:gridCol w:w="1155"/>
        <w:gridCol w:w="1125"/>
        <w:gridCol w:w="1065"/>
      </w:tblGrid>
      <w:tr w14:paraId="5310F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 w:hRule="atLeast"/>
        </w:trPr>
        <w:tc>
          <w:tcPr>
            <w:tcW w:w="1283" w:type="dxa"/>
            <w:tcBorders>
              <w:top w:val="single" w:color="auto" w:sz="12" w:space="0"/>
              <w:left w:val="single" w:color="auto" w:sz="12" w:space="0"/>
            </w:tcBorders>
            <w:noWrap w:val="0"/>
            <w:vAlign w:val="center"/>
          </w:tcPr>
          <w:p w14:paraId="578C40E6">
            <w:pPr>
              <w:spacing w:line="340" w:lineRule="exact"/>
              <w:jc w:val="center"/>
              <w:rPr>
                <w:rFonts w:hint="eastAsia" w:ascii="仿宋_GB2312"/>
              </w:rPr>
            </w:pPr>
            <w:r>
              <w:rPr>
                <w:rFonts w:hint="eastAsia" w:ascii="仿宋_GB2312"/>
              </w:rPr>
              <w:t>项目名称</w:t>
            </w:r>
          </w:p>
        </w:tc>
        <w:tc>
          <w:tcPr>
            <w:tcW w:w="3600" w:type="dxa"/>
            <w:gridSpan w:val="4"/>
            <w:tcBorders>
              <w:top w:val="single" w:color="auto" w:sz="12" w:space="0"/>
              <w:right w:val="single" w:color="auto" w:sz="4" w:space="0"/>
            </w:tcBorders>
            <w:noWrap w:val="0"/>
            <w:vAlign w:val="center"/>
          </w:tcPr>
          <w:p w14:paraId="0BA300AB">
            <w:pPr>
              <w:keepNext w:val="0"/>
              <w:keepLines w:val="0"/>
              <w:widowControl/>
              <w:suppressLineNumbers w:val="0"/>
              <w:ind w:firstLine="420" w:firstLineChars="200"/>
              <w:jc w:val="left"/>
              <w:rPr>
                <w:rFonts w:hint="eastAsia" w:ascii="华文仿宋" w:hAnsi="华文仿宋" w:eastAsia="华文仿宋" w:cs="华文仿宋"/>
                <w:lang w:val="en-US" w:eastAsia="zh-CN"/>
              </w:rPr>
            </w:pPr>
            <w:r>
              <w:rPr>
                <w:rFonts w:hint="eastAsia" w:asciiTheme="minorEastAsia" w:hAnsiTheme="minorEastAsia" w:eastAsiaTheme="minorEastAsia" w:cstheme="minorEastAsia"/>
                <w:lang w:val="en-US" w:eastAsia="zh-CN"/>
              </w:rPr>
              <w:t>盂县铝产业链一体化配套道路基础设施建设工程</w:t>
            </w:r>
          </w:p>
        </w:tc>
        <w:tc>
          <w:tcPr>
            <w:tcW w:w="1087" w:type="dxa"/>
            <w:tcBorders>
              <w:top w:val="single" w:color="auto" w:sz="12" w:space="0"/>
              <w:right w:val="single" w:color="auto" w:sz="4" w:space="0"/>
            </w:tcBorders>
            <w:noWrap w:val="0"/>
            <w:vAlign w:val="center"/>
          </w:tcPr>
          <w:p w14:paraId="746C187B">
            <w:pPr>
              <w:spacing w:line="340" w:lineRule="exact"/>
              <w:jc w:val="center"/>
              <w:rPr>
                <w:rFonts w:hint="eastAsia" w:ascii="仿宋_GB2312"/>
                <w:lang w:val="en-US" w:eastAsia="zh-CN"/>
              </w:rPr>
            </w:pPr>
            <w:r>
              <w:rPr>
                <w:rFonts w:hint="eastAsia" w:ascii="仿宋_GB2312"/>
                <w:lang w:val="en-US" w:eastAsia="zh-CN"/>
              </w:rPr>
              <w:t>建设单位</w:t>
            </w:r>
          </w:p>
        </w:tc>
        <w:tc>
          <w:tcPr>
            <w:tcW w:w="3345" w:type="dxa"/>
            <w:gridSpan w:val="3"/>
            <w:tcBorders>
              <w:top w:val="single" w:color="auto" w:sz="12" w:space="0"/>
              <w:right w:val="single" w:color="auto" w:sz="12" w:space="0"/>
            </w:tcBorders>
            <w:noWrap w:val="0"/>
            <w:vAlign w:val="center"/>
          </w:tcPr>
          <w:p w14:paraId="043E31F0">
            <w:pPr>
              <w:spacing w:line="340" w:lineRule="exact"/>
              <w:jc w:val="both"/>
              <w:rPr>
                <w:rFonts w:hint="default" w:ascii="仿宋_GB2312"/>
                <w:lang w:val="en-US" w:eastAsia="zh-CN"/>
              </w:rPr>
            </w:pPr>
            <w:r>
              <w:rPr>
                <w:rFonts w:hint="eastAsia" w:ascii="仿宋_GB2312"/>
                <w:lang w:val="en-US" w:eastAsia="zh-CN"/>
              </w:rPr>
              <w:t>盂县经济技术开发区管理委员会</w:t>
            </w:r>
          </w:p>
        </w:tc>
      </w:tr>
      <w:tr w14:paraId="3DEA5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1283" w:type="dxa"/>
            <w:vMerge w:val="restart"/>
            <w:tcBorders>
              <w:top w:val="single" w:color="auto" w:sz="8" w:space="0"/>
              <w:left w:val="single" w:color="auto" w:sz="12" w:space="0"/>
            </w:tcBorders>
            <w:noWrap w:val="0"/>
            <w:vAlign w:val="center"/>
          </w:tcPr>
          <w:p w14:paraId="132A093B">
            <w:pPr>
              <w:spacing w:line="340" w:lineRule="exact"/>
              <w:jc w:val="center"/>
              <w:rPr>
                <w:rFonts w:ascii="仿宋_GB2312"/>
              </w:rPr>
            </w:pPr>
          </w:p>
        </w:tc>
        <w:tc>
          <w:tcPr>
            <w:tcW w:w="2377" w:type="dxa"/>
            <w:gridSpan w:val="2"/>
            <w:tcBorders>
              <w:top w:val="single" w:color="auto" w:sz="8" w:space="0"/>
            </w:tcBorders>
            <w:noWrap w:val="0"/>
            <w:vAlign w:val="center"/>
          </w:tcPr>
          <w:p w14:paraId="34C82240">
            <w:pPr>
              <w:spacing w:line="340" w:lineRule="exact"/>
              <w:jc w:val="center"/>
              <w:rPr>
                <w:rFonts w:ascii="仿宋_GB2312"/>
              </w:rPr>
            </w:pPr>
            <w:r>
              <w:rPr>
                <w:rFonts w:hint="eastAsia" w:ascii="仿宋_GB2312"/>
              </w:rPr>
              <w:t>招标范围</w:t>
            </w:r>
          </w:p>
        </w:tc>
        <w:tc>
          <w:tcPr>
            <w:tcW w:w="2310" w:type="dxa"/>
            <w:gridSpan w:val="3"/>
            <w:tcBorders>
              <w:top w:val="single" w:color="auto" w:sz="8" w:space="0"/>
            </w:tcBorders>
            <w:noWrap w:val="0"/>
            <w:vAlign w:val="center"/>
          </w:tcPr>
          <w:p w14:paraId="43F90807">
            <w:pPr>
              <w:spacing w:line="340" w:lineRule="exact"/>
              <w:jc w:val="center"/>
              <w:rPr>
                <w:rFonts w:ascii="仿宋_GB2312"/>
              </w:rPr>
            </w:pPr>
            <w:r>
              <w:rPr>
                <w:rFonts w:hint="eastAsia" w:ascii="仿宋_GB2312"/>
              </w:rPr>
              <w:t>招标组织形式</w:t>
            </w:r>
          </w:p>
        </w:tc>
        <w:tc>
          <w:tcPr>
            <w:tcW w:w="2280" w:type="dxa"/>
            <w:gridSpan w:val="2"/>
            <w:tcBorders>
              <w:top w:val="single" w:color="auto" w:sz="8" w:space="0"/>
            </w:tcBorders>
            <w:noWrap w:val="0"/>
            <w:vAlign w:val="center"/>
          </w:tcPr>
          <w:p w14:paraId="4F27A505">
            <w:pPr>
              <w:spacing w:line="340" w:lineRule="exact"/>
              <w:jc w:val="center"/>
              <w:rPr>
                <w:rFonts w:ascii="仿宋_GB2312"/>
              </w:rPr>
            </w:pPr>
            <w:r>
              <w:rPr>
                <w:rFonts w:hint="eastAsia" w:ascii="仿宋_GB2312"/>
              </w:rPr>
              <w:t>招标方式</w:t>
            </w:r>
          </w:p>
        </w:tc>
        <w:tc>
          <w:tcPr>
            <w:tcW w:w="1065" w:type="dxa"/>
            <w:tcBorders>
              <w:top w:val="single" w:color="auto" w:sz="8" w:space="0"/>
              <w:right w:val="single" w:color="auto" w:sz="12" w:space="0"/>
            </w:tcBorders>
            <w:noWrap w:val="0"/>
            <w:vAlign w:val="center"/>
          </w:tcPr>
          <w:p w14:paraId="1CCF8158">
            <w:pPr>
              <w:spacing w:line="340" w:lineRule="exact"/>
              <w:jc w:val="center"/>
              <w:rPr>
                <w:rFonts w:ascii="仿宋_GB2312"/>
              </w:rPr>
            </w:pPr>
            <w:r>
              <w:rPr>
                <w:rFonts w:hint="eastAsia" w:ascii="仿宋_GB2312"/>
              </w:rPr>
              <w:t>不采用</w:t>
            </w:r>
          </w:p>
          <w:p w14:paraId="7C412D68">
            <w:pPr>
              <w:widowControl/>
              <w:spacing w:line="340" w:lineRule="exact"/>
              <w:jc w:val="center"/>
              <w:rPr>
                <w:rFonts w:ascii="仿宋_GB2312"/>
              </w:rPr>
            </w:pPr>
            <w:r>
              <w:rPr>
                <w:rFonts w:hint="eastAsia" w:ascii="仿宋_GB2312"/>
              </w:rPr>
              <w:t>招标方式</w:t>
            </w:r>
          </w:p>
        </w:tc>
      </w:tr>
      <w:tr w14:paraId="75628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0" w:hRule="atLeast"/>
        </w:trPr>
        <w:tc>
          <w:tcPr>
            <w:tcW w:w="1283" w:type="dxa"/>
            <w:vMerge w:val="continue"/>
            <w:tcBorders>
              <w:left w:val="single" w:color="auto" w:sz="12" w:space="0"/>
            </w:tcBorders>
            <w:noWrap w:val="0"/>
            <w:vAlign w:val="center"/>
          </w:tcPr>
          <w:p w14:paraId="23F69D70">
            <w:pPr>
              <w:spacing w:line="340" w:lineRule="exact"/>
              <w:jc w:val="center"/>
              <w:rPr>
                <w:rFonts w:ascii="仿宋_GB2312"/>
              </w:rPr>
            </w:pPr>
          </w:p>
        </w:tc>
        <w:tc>
          <w:tcPr>
            <w:tcW w:w="1312" w:type="dxa"/>
            <w:noWrap w:val="0"/>
            <w:vAlign w:val="center"/>
          </w:tcPr>
          <w:p w14:paraId="66241AF2">
            <w:pPr>
              <w:spacing w:line="340" w:lineRule="exact"/>
              <w:jc w:val="center"/>
              <w:rPr>
                <w:rFonts w:ascii="仿宋_GB2312"/>
              </w:rPr>
            </w:pPr>
            <w:r>
              <w:rPr>
                <w:rFonts w:hint="eastAsia" w:ascii="仿宋_GB2312"/>
              </w:rPr>
              <w:t>全部招标</w:t>
            </w:r>
          </w:p>
        </w:tc>
        <w:tc>
          <w:tcPr>
            <w:tcW w:w="1065" w:type="dxa"/>
            <w:noWrap w:val="0"/>
            <w:vAlign w:val="center"/>
          </w:tcPr>
          <w:p w14:paraId="6C77F35D">
            <w:pPr>
              <w:spacing w:line="340" w:lineRule="exact"/>
              <w:jc w:val="center"/>
              <w:rPr>
                <w:rFonts w:ascii="仿宋_GB2312"/>
              </w:rPr>
            </w:pPr>
            <w:r>
              <w:rPr>
                <w:rFonts w:hint="eastAsia" w:ascii="仿宋_GB2312"/>
              </w:rPr>
              <w:t>部分招标</w:t>
            </w:r>
          </w:p>
        </w:tc>
        <w:tc>
          <w:tcPr>
            <w:tcW w:w="1223" w:type="dxa"/>
            <w:gridSpan w:val="2"/>
            <w:noWrap w:val="0"/>
            <w:vAlign w:val="center"/>
          </w:tcPr>
          <w:p w14:paraId="5CEA5B7F">
            <w:pPr>
              <w:spacing w:line="340" w:lineRule="exact"/>
              <w:jc w:val="center"/>
              <w:rPr>
                <w:rFonts w:ascii="仿宋_GB2312"/>
              </w:rPr>
            </w:pPr>
            <w:r>
              <w:rPr>
                <w:rFonts w:hint="eastAsia" w:ascii="仿宋_GB2312"/>
              </w:rPr>
              <w:t>委托招标</w:t>
            </w:r>
          </w:p>
        </w:tc>
        <w:tc>
          <w:tcPr>
            <w:tcW w:w="1087" w:type="dxa"/>
            <w:noWrap w:val="0"/>
            <w:vAlign w:val="center"/>
          </w:tcPr>
          <w:p w14:paraId="02BC0115">
            <w:pPr>
              <w:spacing w:line="340" w:lineRule="exact"/>
              <w:jc w:val="center"/>
              <w:rPr>
                <w:rFonts w:ascii="仿宋_GB2312"/>
              </w:rPr>
            </w:pPr>
            <w:r>
              <w:rPr>
                <w:rFonts w:hint="eastAsia" w:ascii="仿宋_GB2312"/>
              </w:rPr>
              <w:t>自行招标</w:t>
            </w:r>
          </w:p>
        </w:tc>
        <w:tc>
          <w:tcPr>
            <w:tcW w:w="1155" w:type="dxa"/>
            <w:noWrap w:val="0"/>
            <w:vAlign w:val="center"/>
          </w:tcPr>
          <w:p w14:paraId="07F55B8D">
            <w:pPr>
              <w:spacing w:line="340" w:lineRule="exact"/>
              <w:jc w:val="center"/>
              <w:rPr>
                <w:rFonts w:ascii="仿宋_GB2312"/>
              </w:rPr>
            </w:pPr>
            <w:r>
              <w:rPr>
                <w:rFonts w:hint="eastAsia" w:ascii="仿宋_GB2312"/>
              </w:rPr>
              <w:t>公开招标</w:t>
            </w:r>
          </w:p>
        </w:tc>
        <w:tc>
          <w:tcPr>
            <w:tcW w:w="1125" w:type="dxa"/>
            <w:noWrap w:val="0"/>
            <w:vAlign w:val="center"/>
          </w:tcPr>
          <w:p w14:paraId="4708E6B1">
            <w:pPr>
              <w:spacing w:line="340" w:lineRule="exact"/>
              <w:jc w:val="center"/>
              <w:rPr>
                <w:rFonts w:ascii="仿宋_GB2312"/>
              </w:rPr>
            </w:pPr>
            <w:r>
              <w:rPr>
                <w:rFonts w:hint="eastAsia" w:ascii="仿宋_GB2312"/>
              </w:rPr>
              <w:t>邀请招标</w:t>
            </w:r>
          </w:p>
        </w:tc>
        <w:tc>
          <w:tcPr>
            <w:tcW w:w="1065" w:type="dxa"/>
            <w:tcBorders>
              <w:right w:val="single" w:color="auto" w:sz="12" w:space="0"/>
            </w:tcBorders>
            <w:noWrap w:val="0"/>
            <w:vAlign w:val="center"/>
          </w:tcPr>
          <w:p w14:paraId="74D0AFDF">
            <w:pPr>
              <w:spacing w:line="340" w:lineRule="exact"/>
              <w:jc w:val="center"/>
              <w:rPr>
                <w:rFonts w:ascii="仿宋_GB2312"/>
              </w:rPr>
            </w:pPr>
          </w:p>
        </w:tc>
      </w:tr>
      <w:tr w14:paraId="5B54E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trPr>
        <w:tc>
          <w:tcPr>
            <w:tcW w:w="1283" w:type="dxa"/>
            <w:tcBorders>
              <w:left w:val="single" w:color="auto" w:sz="12" w:space="0"/>
            </w:tcBorders>
            <w:noWrap w:val="0"/>
            <w:vAlign w:val="center"/>
          </w:tcPr>
          <w:p w14:paraId="6B8EE20A">
            <w:pPr>
              <w:spacing w:line="340" w:lineRule="exact"/>
              <w:jc w:val="center"/>
              <w:rPr>
                <w:rFonts w:hint="eastAsia" w:ascii="仿宋_GB2312"/>
                <w:lang w:val="en-US" w:eastAsia="zh-CN"/>
              </w:rPr>
            </w:pPr>
            <w:r>
              <w:rPr>
                <w:rFonts w:hint="eastAsia" w:ascii="仿宋_GB2312"/>
                <w:lang w:val="en-US" w:eastAsia="zh-CN"/>
              </w:rPr>
              <w:t>勘察</w:t>
            </w:r>
          </w:p>
        </w:tc>
        <w:tc>
          <w:tcPr>
            <w:tcW w:w="1312" w:type="dxa"/>
            <w:noWrap w:val="0"/>
            <w:vAlign w:val="center"/>
          </w:tcPr>
          <w:p w14:paraId="76642A3C">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4" w:space="0"/>
            </w:tcBorders>
            <w:noWrap w:val="0"/>
            <w:vAlign w:val="center"/>
          </w:tcPr>
          <w:p w14:paraId="60ECB2F3">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223" w:type="dxa"/>
            <w:gridSpan w:val="2"/>
            <w:tcBorders>
              <w:left w:val="single" w:color="auto" w:sz="4" w:space="0"/>
            </w:tcBorders>
            <w:noWrap w:val="0"/>
            <w:vAlign w:val="center"/>
          </w:tcPr>
          <w:p w14:paraId="6BD13C46">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87" w:type="dxa"/>
            <w:noWrap w:val="0"/>
            <w:vAlign w:val="center"/>
          </w:tcPr>
          <w:p w14:paraId="0BC5CF0D">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55" w:type="dxa"/>
            <w:noWrap w:val="0"/>
            <w:vAlign w:val="center"/>
          </w:tcPr>
          <w:p w14:paraId="0C2FEF77">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25" w:type="dxa"/>
            <w:noWrap w:val="0"/>
            <w:vAlign w:val="center"/>
          </w:tcPr>
          <w:p w14:paraId="63CA07A2">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12" w:space="0"/>
            </w:tcBorders>
            <w:noWrap w:val="0"/>
            <w:vAlign w:val="center"/>
          </w:tcPr>
          <w:p w14:paraId="490F9D3F">
            <w:pPr>
              <w:jc w:val="center"/>
              <w:rPr>
                <w:rFonts w:hint="eastAsia" w:ascii="仿宋_GB2312" w:hAnsi="Calibri" w:eastAsia="宋体" w:cs="Times New Roman"/>
                <w:kern w:val="2"/>
                <w:sz w:val="21"/>
                <w:szCs w:val="22"/>
                <w:lang w:val="en-US" w:eastAsia="zh-CN"/>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r>
      <w:tr w14:paraId="23342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7" w:hRule="atLeast"/>
        </w:trPr>
        <w:tc>
          <w:tcPr>
            <w:tcW w:w="1283" w:type="dxa"/>
            <w:tcBorders>
              <w:left w:val="single" w:color="auto" w:sz="12" w:space="0"/>
            </w:tcBorders>
            <w:noWrap w:val="0"/>
            <w:vAlign w:val="center"/>
          </w:tcPr>
          <w:p w14:paraId="25A1B641">
            <w:pPr>
              <w:spacing w:line="340" w:lineRule="exact"/>
              <w:jc w:val="center"/>
              <w:rPr>
                <w:rFonts w:hint="eastAsia" w:ascii="仿宋_GB2312"/>
                <w:lang w:val="en-US" w:eastAsia="zh-CN"/>
              </w:rPr>
            </w:pPr>
            <w:r>
              <w:rPr>
                <w:rFonts w:hint="eastAsia" w:ascii="仿宋_GB2312"/>
                <w:lang w:val="en-US" w:eastAsia="zh-CN"/>
              </w:rPr>
              <w:t>设计</w:t>
            </w:r>
          </w:p>
        </w:tc>
        <w:tc>
          <w:tcPr>
            <w:tcW w:w="1312" w:type="dxa"/>
            <w:noWrap w:val="0"/>
            <w:vAlign w:val="center"/>
          </w:tcPr>
          <w:p w14:paraId="52610586">
            <w:pPr>
              <w:jc w:val="center"/>
              <w:rPr>
                <w:rFonts w:hint="eastAsia" w:ascii="仿宋_GB2312" w:hAnsi="Calibri" w:eastAsia="宋体" w:cs="Times New Roman"/>
                <w:kern w:val="2"/>
                <w:sz w:val="21"/>
                <w:szCs w:val="22"/>
                <w:lang w:val="en-US" w:eastAsia="zh-CN"/>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065" w:type="dxa"/>
            <w:tcBorders>
              <w:right w:val="single" w:color="auto" w:sz="4" w:space="0"/>
            </w:tcBorders>
            <w:noWrap w:val="0"/>
            <w:vAlign w:val="center"/>
          </w:tcPr>
          <w:p w14:paraId="3F5F2EEE">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223" w:type="dxa"/>
            <w:gridSpan w:val="2"/>
            <w:tcBorders>
              <w:left w:val="single" w:color="auto" w:sz="4" w:space="0"/>
            </w:tcBorders>
            <w:noWrap w:val="0"/>
            <w:vAlign w:val="center"/>
          </w:tcPr>
          <w:p w14:paraId="535EB34E">
            <w:pPr>
              <w:jc w:val="center"/>
              <w:rPr>
                <w:rFonts w:hint="eastAsia" w:ascii="仿宋_GB2312" w:hAnsi="Calibri" w:eastAsia="宋体" w:cs="Times New Roman"/>
                <w:kern w:val="2"/>
                <w:sz w:val="21"/>
                <w:szCs w:val="22"/>
                <w:lang w:val="en-US" w:eastAsia="zh-CN"/>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087" w:type="dxa"/>
            <w:noWrap w:val="0"/>
            <w:vAlign w:val="center"/>
          </w:tcPr>
          <w:p w14:paraId="6C83040D">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55" w:type="dxa"/>
            <w:noWrap w:val="0"/>
            <w:vAlign w:val="center"/>
          </w:tcPr>
          <w:p w14:paraId="394CE85D">
            <w:pPr>
              <w:jc w:val="center"/>
              <w:rPr>
                <w:rFonts w:hint="eastAsia" w:ascii="仿宋_GB2312" w:hAnsi="Calibri" w:eastAsia="宋体" w:cs="Times New Roman"/>
                <w:kern w:val="2"/>
                <w:sz w:val="21"/>
                <w:szCs w:val="22"/>
                <w:lang w:val="en-US" w:eastAsia="zh-CN"/>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125" w:type="dxa"/>
            <w:noWrap w:val="0"/>
            <w:vAlign w:val="center"/>
          </w:tcPr>
          <w:p w14:paraId="0AF101FB">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12" w:space="0"/>
            </w:tcBorders>
            <w:noWrap w:val="0"/>
            <w:vAlign w:val="center"/>
          </w:tcPr>
          <w:p w14:paraId="74064CB6">
            <w:pPr>
              <w:jc w:val="center"/>
              <w:rPr>
                <w:rFonts w:hint="eastAsia" w:ascii="仿宋_GB2312" w:hAnsi="Calibri" w:eastAsia="宋体" w:cs="Times New Roman"/>
                <w:kern w:val="2"/>
                <w:sz w:val="21"/>
                <w:szCs w:val="22"/>
                <w:lang w:val="en-US" w:eastAsia="zh-CN"/>
              </w:rPr>
            </w:pPr>
            <w:r>
              <w:rPr>
                <w:rFonts w:hint="eastAsia" w:ascii="仿宋_GB2312"/>
              </w:rPr>
              <w:t>――</w:t>
            </w:r>
          </w:p>
        </w:tc>
      </w:tr>
      <w:tr w14:paraId="04055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1283" w:type="dxa"/>
            <w:tcBorders>
              <w:left w:val="single" w:color="auto" w:sz="12" w:space="0"/>
            </w:tcBorders>
            <w:noWrap w:val="0"/>
            <w:vAlign w:val="center"/>
          </w:tcPr>
          <w:p w14:paraId="3E9D463E">
            <w:pPr>
              <w:spacing w:line="340" w:lineRule="exact"/>
              <w:jc w:val="center"/>
              <w:rPr>
                <w:rFonts w:hint="eastAsia" w:ascii="仿宋_GB2312"/>
                <w:lang w:val="en-US" w:eastAsia="zh-CN"/>
              </w:rPr>
            </w:pPr>
            <w:r>
              <w:rPr>
                <w:rFonts w:hint="eastAsia" w:ascii="仿宋_GB2312"/>
                <w:lang w:val="en-US" w:eastAsia="zh-CN"/>
              </w:rPr>
              <w:t>建安工程</w:t>
            </w:r>
          </w:p>
        </w:tc>
        <w:tc>
          <w:tcPr>
            <w:tcW w:w="1312" w:type="dxa"/>
            <w:noWrap w:val="0"/>
            <w:vAlign w:val="center"/>
          </w:tcPr>
          <w:p w14:paraId="67B6F5F3">
            <w:pPr>
              <w:jc w:val="center"/>
              <w:rPr>
                <w:rFonts w:hint="eastAsia" w:ascii="仿宋_GB2312"/>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065" w:type="dxa"/>
            <w:tcBorders>
              <w:right w:val="single" w:color="auto" w:sz="4" w:space="0"/>
            </w:tcBorders>
            <w:noWrap w:val="0"/>
            <w:vAlign w:val="center"/>
          </w:tcPr>
          <w:p w14:paraId="71CEEA42">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14A67C9C">
            <w:pPr>
              <w:jc w:val="center"/>
              <w:rPr>
                <w:rFonts w:hint="eastAsia" w:ascii="仿宋_GB2312"/>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087" w:type="dxa"/>
            <w:noWrap w:val="0"/>
            <w:vAlign w:val="center"/>
          </w:tcPr>
          <w:p w14:paraId="51C7A326">
            <w:pPr>
              <w:jc w:val="center"/>
              <w:rPr>
                <w:rFonts w:hint="eastAsia" w:ascii="仿宋_GB2312"/>
              </w:rPr>
            </w:pPr>
            <w:r>
              <w:rPr>
                <w:rFonts w:hint="eastAsia" w:ascii="仿宋_GB2312"/>
              </w:rPr>
              <w:t>――</w:t>
            </w:r>
          </w:p>
        </w:tc>
        <w:tc>
          <w:tcPr>
            <w:tcW w:w="1155" w:type="dxa"/>
            <w:noWrap w:val="0"/>
            <w:vAlign w:val="center"/>
          </w:tcPr>
          <w:p w14:paraId="79B3FA16">
            <w:pPr>
              <w:jc w:val="center"/>
              <w:rPr>
                <w:rFonts w:hint="eastAsia" w:ascii="仿宋_GB2312"/>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125" w:type="dxa"/>
            <w:noWrap w:val="0"/>
            <w:vAlign w:val="center"/>
          </w:tcPr>
          <w:p w14:paraId="1E2B1392">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348BAD42">
            <w:pPr>
              <w:jc w:val="center"/>
              <w:rPr>
                <w:rFonts w:hint="eastAsia" w:ascii="仿宋_GB2312"/>
                <w:lang w:val="en-US" w:eastAsia="zh-CN"/>
              </w:rPr>
            </w:pPr>
            <w:r>
              <w:rPr>
                <w:rFonts w:hint="eastAsia" w:ascii="仿宋_GB2312"/>
              </w:rPr>
              <w:t>――</w:t>
            </w:r>
          </w:p>
        </w:tc>
      </w:tr>
      <w:tr w14:paraId="73C28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trPr>
        <w:tc>
          <w:tcPr>
            <w:tcW w:w="1283" w:type="dxa"/>
            <w:tcBorders>
              <w:left w:val="single" w:color="auto" w:sz="12" w:space="0"/>
            </w:tcBorders>
            <w:noWrap w:val="0"/>
            <w:vAlign w:val="center"/>
          </w:tcPr>
          <w:p w14:paraId="3C550418">
            <w:pPr>
              <w:spacing w:line="340" w:lineRule="exact"/>
              <w:jc w:val="center"/>
              <w:rPr>
                <w:rFonts w:hint="eastAsia" w:ascii="仿宋_GB2312"/>
                <w:lang w:val="en-US" w:eastAsia="zh-CN"/>
              </w:rPr>
            </w:pPr>
            <w:r>
              <w:rPr>
                <w:rFonts w:hint="eastAsia" w:ascii="仿宋_GB2312"/>
                <w:lang w:val="en-US" w:eastAsia="zh-CN"/>
              </w:rPr>
              <w:t>监理</w:t>
            </w:r>
          </w:p>
        </w:tc>
        <w:tc>
          <w:tcPr>
            <w:tcW w:w="1312" w:type="dxa"/>
            <w:noWrap w:val="0"/>
            <w:vAlign w:val="center"/>
          </w:tcPr>
          <w:p w14:paraId="17F83906">
            <w:pPr>
              <w:jc w:val="center"/>
              <w:rPr>
                <w:rFonts w:hint="eastAsia" w:ascii="仿宋_GB2312" w:hAnsi="Calibri" w:eastAsia="宋体" w:cs="Times New Roman"/>
                <w:kern w:val="2"/>
                <w:sz w:val="21"/>
                <w:szCs w:val="22"/>
                <w:lang w:val="en-US" w:eastAsia="zh-CN"/>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065" w:type="dxa"/>
            <w:tcBorders>
              <w:right w:val="single" w:color="auto" w:sz="4" w:space="0"/>
            </w:tcBorders>
            <w:noWrap w:val="0"/>
            <w:vAlign w:val="center"/>
          </w:tcPr>
          <w:p w14:paraId="2E3D8C8B">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223" w:type="dxa"/>
            <w:gridSpan w:val="2"/>
            <w:tcBorders>
              <w:left w:val="single" w:color="auto" w:sz="4" w:space="0"/>
            </w:tcBorders>
            <w:noWrap w:val="0"/>
            <w:vAlign w:val="center"/>
          </w:tcPr>
          <w:p w14:paraId="6C69B722">
            <w:pPr>
              <w:jc w:val="center"/>
              <w:rPr>
                <w:rFonts w:hint="eastAsia" w:ascii="仿宋_GB2312" w:hAnsi="Calibri" w:eastAsia="宋体" w:cs="Times New Roman"/>
                <w:kern w:val="2"/>
                <w:sz w:val="21"/>
                <w:szCs w:val="22"/>
                <w:lang w:val="en-US" w:eastAsia="zh-CN"/>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087" w:type="dxa"/>
            <w:noWrap w:val="0"/>
            <w:vAlign w:val="center"/>
          </w:tcPr>
          <w:p w14:paraId="788A0C59">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155" w:type="dxa"/>
            <w:noWrap w:val="0"/>
            <w:vAlign w:val="center"/>
          </w:tcPr>
          <w:p w14:paraId="14447810">
            <w:pPr>
              <w:jc w:val="center"/>
              <w:rPr>
                <w:rFonts w:hint="eastAsia" w:ascii="仿宋_GB2312" w:hAnsi="Calibri" w:eastAsia="宋体" w:cs="Times New Roman"/>
                <w:kern w:val="2"/>
                <w:sz w:val="21"/>
                <w:szCs w:val="22"/>
                <w:lang w:val="en-US" w:eastAsia="zh-CN"/>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c>
          <w:tcPr>
            <w:tcW w:w="1125" w:type="dxa"/>
            <w:noWrap w:val="0"/>
            <w:vAlign w:val="center"/>
          </w:tcPr>
          <w:p w14:paraId="56CCC368">
            <w:pPr>
              <w:jc w:val="center"/>
              <w:rPr>
                <w:rFonts w:hint="eastAsia" w:ascii="仿宋_GB2312" w:hAnsi="Calibri" w:eastAsia="宋体" w:cs="Times New Roman"/>
                <w:kern w:val="2"/>
                <w:sz w:val="21"/>
                <w:szCs w:val="22"/>
                <w:lang w:val="en-US" w:eastAsia="zh-CN"/>
              </w:rPr>
            </w:pPr>
            <w:r>
              <w:rPr>
                <w:rFonts w:hint="eastAsia" w:ascii="仿宋_GB2312"/>
              </w:rPr>
              <w:t>――</w:t>
            </w:r>
          </w:p>
        </w:tc>
        <w:tc>
          <w:tcPr>
            <w:tcW w:w="1065" w:type="dxa"/>
            <w:tcBorders>
              <w:right w:val="single" w:color="auto" w:sz="12" w:space="0"/>
            </w:tcBorders>
            <w:noWrap w:val="0"/>
            <w:vAlign w:val="center"/>
          </w:tcPr>
          <w:p w14:paraId="34BE4AE1">
            <w:pPr>
              <w:jc w:val="center"/>
              <w:rPr>
                <w:rFonts w:hint="eastAsia" w:ascii="仿宋_GB2312" w:hAnsi="Calibri" w:eastAsia="宋体" w:cs="Times New Roman"/>
                <w:kern w:val="2"/>
                <w:sz w:val="21"/>
                <w:szCs w:val="22"/>
                <w:lang w:val="en-US" w:eastAsia="zh-CN"/>
              </w:rPr>
            </w:pPr>
            <w:r>
              <w:rPr>
                <w:rFonts w:hint="eastAsia" w:ascii="仿宋_GB2312"/>
              </w:rPr>
              <w:t>――</w:t>
            </w:r>
          </w:p>
        </w:tc>
      </w:tr>
      <w:tr w14:paraId="31E0C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5" w:hRule="atLeast"/>
        </w:trPr>
        <w:tc>
          <w:tcPr>
            <w:tcW w:w="1283" w:type="dxa"/>
            <w:tcBorders>
              <w:left w:val="single" w:color="auto" w:sz="12" w:space="0"/>
            </w:tcBorders>
            <w:noWrap w:val="0"/>
            <w:vAlign w:val="center"/>
          </w:tcPr>
          <w:p w14:paraId="2F6A6F02">
            <w:pPr>
              <w:spacing w:line="340" w:lineRule="exact"/>
              <w:jc w:val="center"/>
              <w:rPr>
                <w:rFonts w:hint="eastAsia" w:ascii="仿宋_GB2312"/>
                <w:lang w:val="en-US" w:eastAsia="zh-CN"/>
              </w:rPr>
            </w:pPr>
            <w:r>
              <w:rPr>
                <w:rFonts w:hint="eastAsia" w:ascii="仿宋_GB2312"/>
                <w:lang w:val="en-US" w:eastAsia="zh-CN"/>
              </w:rPr>
              <w:t>设备</w:t>
            </w:r>
          </w:p>
        </w:tc>
        <w:tc>
          <w:tcPr>
            <w:tcW w:w="1312" w:type="dxa"/>
            <w:noWrap w:val="0"/>
            <w:vAlign w:val="center"/>
          </w:tcPr>
          <w:p w14:paraId="7385EF3F">
            <w:pPr>
              <w:jc w:val="center"/>
              <w:rPr>
                <w:rFonts w:hint="eastAsia" w:ascii="仿宋_GB2312" w:eastAsia="宋体"/>
                <w:lang w:eastAsia="zh-CN"/>
              </w:rPr>
            </w:pPr>
            <w:r>
              <w:rPr>
                <w:rFonts w:hint="eastAsia" w:ascii="仿宋_GB2312"/>
              </w:rPr>
              <w:t>――</w:t>
            </w:r>
          </w:p>
        </w:tc>
        <w:tc>
          <w:tcPr>
            <w:tcW w:w="1065" w:type="dxa"/>
            <w:tcBorders>
              <w:right w:val="single" w:color="auto" w:sz="4" w:space="0"/>
            </w:tcBorders>
            <w:noWrap w:val="0"/>
            <w:vAlign w:val="center"/>
          </w:tcPr>
          <w:p w14:paraId="3AC8BAA3">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4CA8478B">
            <w:pPr>
              <w:jc w:val="center"/>
              <w:rPr>
                <w:rFonts w:hint="eastAsia" w:ascii="仿宋_GB2312" w:eastAsia="宋体"/>
                <w:lang w:eastAsia="zh-CN"/>
              </w:rPr>
            </w:pPr>
            <w:r>
              <w:rPr>
                <w:rFonts w:hint="eastAsia" w:ascii="仿宋_GB2312"/>
              </w:rPr>
              <w:t>――</w:t>
            </w:r>
          </w:p>
        </w:tc>
        <w:tc>
          <w:tcPr>
            <w:tcW w:w="1087" w:type="dxa"/>
            <w:noWrap w:val="0"/>
            <w:vAlign w:val="center"/>
          </w:tcPr>
          <w:p w14:paraId="7985E4BF">
            <w:pPr>
              <w:jc w:val="center"/>
              <w:rPr>
                <w:rFonts w:hint="eastAsia" w:ascii="仿宋_GB2312"/>
              </w:rPr>
            </w:pPr>
            <w:r>
              <w:rPr>
                <w:rFonts w:hint="eastAsia" w:ascii="仿宋_GB2312"/>
              </w:rPr>
              <w:t>――</w:t>
            </w:r>
          </w:p>
        </w:tc>
        <w:tc>
          <w:tcPr>
            <w:tcW w:w="1155" w:type="dxa"/>
            <w:noWrap w:val="0"/>
            <w:vAlign w:val="center"/>
          </w:tcPr>
          <w:p w14:paraId="2A43DCB5">
            <w:pPr>
              <w:jc w:val="center"/>
              <w:rPr>
                <w:rFonts w:hint="eastAsia" w:ascii="仿宋_GB2312" w:eastAsia="宋体"/>
                <w:lang w:eastAsia="zh-CN"/>
              </w:rPr>
            </w:pPr>
            <w:r>
              <w:rPr>
                <w:rFonts w:hint="eastAsia" w:ascii="仿宋_GB2312"/>
              </w:rPr>
              <w:t>――</w:t>
            </w:r>
          </w:p>
        </w:tc>
        <w:tc>
          <w:tcPr>
            <w:tcW w:w="1125" w:type="dxa"/>
            <w:noWrap w:val="0"/>
            <w:vAlign w:val="center"/>
          </w:tcPr>
          <w:p w14:paraId="6F2FC1A3">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1B177AE6">
            <w:pPr>
              <w:jc w:val="center"/>
              <w:rPr>
                <w:rFonts w:hint="eastAsia" w:ascii="仿宋_GB2312"/>
              </w:rPr>
            </w:pPr>
            <w:r>
              <w:rPr>
                <w:rFonts w:hint="eastAsia" w:ascii="仿宋_GB2312"/>
                <w:lang w:eastAsia="zh-CN"/>
              </w:rPr>
              <w:t>核</w:t>
            </w:r>
            <w:r>
              <w:rPr>
                <w:rFonts w:hint="eastAsia" w:ascii="仿宋_GB2312"/>
                <w:lang w:val="en-US" w:eastAsia="zh-CN"/>
              </w:rPr>
              <w:t xml:space="preserve"> </w:t>
            </w:r>
            <w:r>
              <w:rPr>
                <w:rFonts w:hint="eastAsia" w:ascii="仿宋_GB2312"/>
                <w:lang w:eastAsia="zh-CN"/>
              </w:rPr>
              <w:t>准</w:t>
            </w:r>
          </w:p>
        </w:tc>
      </w:tr>
      <w:tr w14:paraId="00F6C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1" w:hRule="atLeast"/>
        </w:trPr>
        <w:tc>
          <w:tcPr>
            <w:tcW w:w="1283" w:type="dxa"/>
            <w:tcBorders>
              <w:left w:val="single" w:color="auto" w:sz="12" w:space="0"/>
            </w:tcBorders>
            <w:noWrap w:val="0"/>
            <w:vAlign w:val="center"/>
          </w:tcPr>
          <w:p w14:paraId="20D39F32">
            <w:pPr>
              <w:spacing w:line="340" w:lineRule="exact"/>
              <w:jc w:val="center"/>
              <w:rPr>
                <w:rFonts w:hint="eastAsia" w:ascii="仿宋_GB2312"/>
                <w:lang w:val="en-US" w:eastAsia="zh-CN"/>
              </w:rPr>
            </w:pPr>
            <w:r>
              <w:rPr>
                <w:rFonts w:hint="eastAsia" w:ascii="仿宋_GB2312"/>
                <w:lang w:val="en-US" w:eastAsia="zh-CN"/>
              </w:rPr>
              <w:t>重要材料</w:t>
            </w:r>
          </w:p>
        </w:tc>
        <w:tc>
          <w:tcPr>
            <w:tcW w:w="1312" w:type="dxa"/>
            <w:noWrap w:val="0"/>
            <w:vAlign w:val="center"/>
          </w:tcPr>
          <w:p w14:paraId="22570741">
            <w:pPr>
              <w:jc w:val="center"/>
              <w:rPr>
                <w:rFonts w:hint="eastAsia" w:ascii="仿宋_GB2312"/>
                <w:lang w:val="en-US" w:eastAsia="zh-CN"/>
              </w:rPr>
            </w:pPr>
            <w:r>
              <w:rPr>
                <w:rFonts w:hint="eastAsia" w:ascii="仿宋_GB2312"/>
              </w:rPr>
              <w:t>――</w:t>
            </w:r>
          </w:p>
        </w:tc>
        <w:tc>
          <w:tcPr>
            <w:tcW w:w="1065" w:type="dxa"/>
            <w:tcBorders>
              <w:right w:val="single" w:color="auto" w:sz="4" w:space="0"/>
            </w:tcBorders>
            <w:noWrap w:val="0"/>
            <w:vAlign w:val="center"/>
          </w:tcPr>
          <w:p w14:paraId="4AFCF605">
            <w:pPr>
              <w:jc w:val="center"/>
              <w:rPr>
                <w:rFonts w:hint="eastAsia" w:ascii="仿宋_GB2312"/>
              </w:rPr>
            </w:pPr>
            <w:r>
              <w:rPr>
                <w:rFonts w:hint="eastAsia" w:ascii="仿宋_GB2312"/>
              </w:rPr>
              <w:t>――</w:t>
            </w:r>
          </w:p>
        </w:tc>
        <w:tc>
          <w:tcPr>
            <w:tcW w:w="1223" w:type="dxa"/>
            <w:gridSpan w:val="2"/>
            <w:tcBorders>
              <w:left w:val="single" w:color="auto" w:sz="4" w:space="0"/>
            </w:tcBorders>
            <w:noWrap w:val="0"/>
            <w:vAlign w:val="center"/>
          </w:tcPr>
          <w:p w14:paraId="6B1E9083">
            <w:pPr>
              <w:jc w:val="center"/>
              <w:rPr>
                <w:rFonts w:hint="eastAsia" w:ascii="仿宋_GB2312"/>
                <w:lang w:val="en-US" w:eastAsia="zh-CN"/>
              </w:rPr>
            </w:pPr>
            <w:r>
              <w:rPr>
                <w:rFonts w:hint="eastAsia" w:ascii="仿宋_GB2312"/>
              </w:rPr>
              <w:t>――</w:t>
            </w:r>
          </w:p>
        </w:tc>
        <w:tc>
          <w:tcPr>
            <w:tcW w:w="1087" w:type="dxa"/>
            <w:noWrap w:val="0"/>
            <w:vAlign w:val="center"/>
          </w:tcPr>
          <w:p w14:paraId="53B0CABC">
            <w:pPr>
              <w:jc w:val="center"/>
              <w:rPr>
                <w:rFonts w:hint="eastAsia" w:ascii="仿宋_GB2312"/>
              </w:rPr>
            </w:pPr>
            <w:r>
              <w:rPr>
                <w:rFonts w:hint="eastAsia" w:ascii="仿宋_GB2312"/>
              </w:rPr>
              <w:t>――</w:t>
            </w:r>
          </w:p>
        </w:tc>
        <w:tc>
          <w:tcPr>
            <w:tcW w:w="1155" w:type="dxa"/>
            <w:noWrap w:val="0"/>
            <w:vAlign w:val="center"/>
          </w:tcPr>
          <w:p w14:paraId="4E5451A9">
            <w:pPr>
              <w:jc w:val="center"/>
              <w:rPr>
                <w:rFonts w:hint="eastAsia" w:ascii="仿宋_GB2312"/>
                <w:lang w:val="en-US" w:eastAsia="zh-CN"/>
              </w:rPr>
            </w:pPr>
            <w:r>
              <w:rPr>
                <w:rFonts w:hint="eastAsia" w:ascii="仿宋_GB2312"/>
              </w:rPr>
              <w:t>――</w:t>
            </w:r>
          </w:p>
        </w:tc>
        <w:tc>
          <w:tcPr>
            <w:tcW w:w="1125" w:type="dxa"/>
            <w:noWrap w:val="0"/>
            <w:vAlign w:val="center"/>
          </w:tcPr>
          <w:p w14:paraId="1F838333">
            <w:pPr>
              <w:jc w:val="center"/>
              <w:rPr>
                <w:rFonts w:hint="eastAsia" w:ascii="仿宋_GB2312"/>
              </w:rPr>
            </w:pPr>
            <w:r>
              <w:rPr>
                <w:rFonts w:hint="eastAsia" w:ascii="仿宋_GB2312"/>
              </w:rPr>
              <w:t>――</w:t>
            </w:r>
          </w:p>
        </w:tc>
        <w:tc>
          <w:tcPr>
            <w:tcW w:w="1065" w:type="dxa"/>
            <w:tcBorders>
              <w:right w:val="single" w:color="auto" w:sz="12" w:space="0"/>
            </w:tcBorders>
            <w:noWrap w:val="0"/>
            <w:vAlign w:val="center"/>
          </w:tcPr>
          <w:p w14:paraId="0DBBF4F0">
            <w:pPr>
              <w:jc w:val="center"/>
              <w:rPr>
                <w:rFonts w:hint="eastAsia" w:ascii="仿宋_GB2312"/>
              </w:rPr>
            </w:pPr>
            <w:r>
              <w:rPr>
                <w:rFonts w:hint="eastAsia" w:ascii="仿宋_GB2312"/>
              </w:rPr>
              <w:t>――</w:t>
            </w:r>
          </w:p>
        </w:tc>
      </w:tr>
      <w:tr w14:paraId="77CDE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 w:hRule="atLeast"/>
        </w:trPr>
        <w:tc>
          <w:tcPr>
            <w:tcW w:w="3923" w:type="dxa"/>
            <w:gridSpan w:val="4"/>
            <w:tcBorders>
              <w:top w:val="nil"/>
              <w:left w:val="single" w:color="auto" w:sz="12" w:space="0"/>
              <w:bottom w:val="single" w:color="auto" w:sz="2" w:space="0"/>
              <w:right w:val="single" w:color="auto" w:sz="4" w:space="0"/>
            </w:tcBorders>
            <w:noWrap w:val="0"/>
            <w:vAlign w:val="center"/>
          </w:tcPr>
          <w:p w14:paraId="285E21A2">
            <w:pPr>
              <w:spacing w:line="340" w:lineRule="exact"/>
              <w:jc w:val="center"/>
              <w:rPr>
                <w:rFonts w:ascii="仿宋_GB2312"/>
                <w:bCs/>
              </w:rPr>
            </w:pPr>
            <w:r>
              <w:rPr>
                <w:rFonts w:hint="eastAsia" w:ascii="仿宋_GB2312"/>
                <w:bCs/>
              </w:rPr>
              <w:t>招标公告</w:t>
            </w:r>
            <w:r>
              <w:rPr>
                <w:rFonts w:hint="eastAsia" w:ascii="仿宋_GB2312"/>
                <w:bCs/>
                <w:lang w:val="en-US" w:eastAsia="zh-CN"/>
              </w:rPr>
              <w:t>以及公示信息发布媒介</w:t>
            </w:r>
          </w:p>
        </w:tc>
        <w:tc>
          <w:tcPr>
            <w:tcW w:w="5392" w:type="dxa"/>
            <w:gridSpan w:val="5"/>
            <w:tcBorders>
              <w:top w:val="nil"/>
              <w:left w:val="single" w:color="auto" w:sz="4" w:space="0"/>
              <w:bottom w:val="single" w:color="auto" w:sz="4" w:space="0"/>
              <w:right w:val="single" w:color="auto" w:sz="12" w:space="0"/>
            </w:tcBorders>
            <w:noWrap w:val="0"/>
            <w:vAlign w:val="center"/>
          </w:tcPr>
          <w:p w14:paraId="5F162C2F">
            <w:pPr>
              <w:spacing w:line="340" w:lineRule="exact"/>
              <w:jc w:val="center"/>
            </w:pPr>
            <w:r>
              <w:rPr>
                <w:rFonts w:hint="eastAsia"/>
              </w:rPr>
              <w:t>山西省招标投标公共服务平台</w:t>
            </w:r>
            <w:r>
              <w:rPr>
                <w:rFonts w:hint="eastAsia" w:ascii="华文仿宋" w:hAnsi="华文仿宋" w:eastAsia="华文仿宋" w:cs="华文仿宋"/>
                <w:lang w:eastAsia="zh-CN"/>
              </w:rPr>
              <w:t>（</w:t>
            </w:r>
            <w:r>
              <w:rPr>
                <w:rFonts w:hint="eastAsia" w:ascii="华文仿宋" w:hAnsi="华文仿宋" w:eastAsia="华文仿宋" w:cs="华文仿宋"/>
                <w:lang w:val="en-US" w:eastAsia="zh-CN"/>
              </w:rPr>
              <w:t>www.sxbid.com.cn</w:t>
            </w:r>
            <w:r>
              <w:rPr>
                <w:rFonts w:hint="eastAsia" w:ascii="华文仿宋" w:hAnsi="华文仿宋" w:eastAsia="华文仿宋" w:cs="华文仿宋"/>
                <w:lang w:eastAsia="zh-CN"/>
              </w:rPr>
              <w:t>）</w:t>
            </w:r>
          </w:p>
        </w:tc>
      </w:tr>
      <w:tr w14:paraId="4237D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3" w:hRule="atLeast"/>
        </w:trPr>
        <w:tc>
          <w:tcPr>
            <w:tcW w:w="9315" w:type="dxa"/>
            <w:gridSpan w:val="9"/>
            <w:tcBorders>
              <w:top w:val="single" w:color="auto" w:sz="8" w:space="0"/>
              <w:left w:val="single" w:color="auto" w:sz="12" w:space="0"/>
              <w:bottom w:val="single" w:color="auto" w:sz="12" w:space="0"/>
              <w:right w:val="single" w:color="auto" w:sz="12" w:space="0"/>
            </w:tcBorders>
            <w:noWrap w:val="0"/>
            <w:vAlign w:val="top"/>
          </w:tcPr>
          <w:p w14:paraId="22C668F7">
            <w:pPr>
              <w:jc w:val="left"/>
              <w:rPr>
                <w:rFonts w:hint="eastAsia"/>
                <w:lang w:eastAsia="zh-CN"/>
              </w:rPr>
            </w:pPr>
            <w:r>
              <w:rPr>
                <w:rFonts w:hint="eastAsia"/>
                <w:lang w:eastAsia="zh-CN"/>
              </w:rPr>
              <w:t xml:space="preserve"> </w:t>
            </w:r>
          </w:p>
          <w:p w14:paraId="615C42FA">
            <w:pPr>
              <w:tabs>
                <w:tab w:val="left" w:pos="3135"/>
              </w:tabs>
              <w:jc w:val="left"/>
              <w:rPr>
                <w:rFonts w:hint="eastAsia"/>
                <w:lang w:val="en-US" w:eastAsia="zh-CN"/>
              </w:rPr>
            </w:pPr>
            <w:r>
              <w:rPr>
                <w:rFonts w:hint="eastAsia"/>
                <w:lang w:val="en-US" w:eastAsia="zh-CN"/>
              </w:rPr>
              <w:t xml:space="preserve">  核准意见：</w:t>
            </w:r>
          </w:p>
          <w:p w14:paraId="467EC16F">
            <w:pPr>
              <w:numPr>
                <w:ilvl w:val="0"/>
                <w:numId w:val="0"/>
              </w:numPr>
              <w:tabs>
                <w:tab w:val="left" w:pos="3135"/>
              </w:tabs>
              <w:ind w:firstLine="630" w:firstLineChars="300"/>
              <w:jc w:val="left"/>
              <w:rPr>
                <w:rFonts w:hint="eastAsia"/>
                <w:lang w:val="en-US" w:eastAsia="zh-CN"/>
              </w:rPr>
            </w:pPr>
            <w:r>
              <w:rPr>
                <w:rFonts w:hint="eastAsia"/>
                <w:lang w:val="en-US" w:eastAsia="zh-CN"/>
              </w:rPr>
              <w:t>一、该项目属于使用国有资金投资的项目，根据有关规定，达到强制招标规模标准的建设内容均应进行招标。</w:t>
            </w:r>
          </w:p>
          <w:p w14:paraId="623B0CFB">
            <w:pPr>
              <w:pStyle w:val="2"/>
              <w:numPr>
                <w:ilvl w:val="0"/>
                <w:numId w:val="0"/>
              </w:numPr>
              <w:ind w:left="420" w:leftChars="0" w:firstLine="210" w:firstLineChars="100"/>
              <w:rPr>
                <w:rFonts w:hint="eastAsia"/>
                <w:lang w:val="en-US" w:eastAsia="zh-CN"/>
              </w:rPr>
            </w:pPr>
            <w:r>
              <w:rPr>
                <w:rFonts w:hint="eastAsia"/>
                <w:lang w:val="en-US" w:eastAsia="zh-CN"/>
              </w:rPr>
              <w:t xml:space="preserve">二、同意建设单位提出的设计、建安工程、监理委托招标代理机构公开招标的申请。 </w:t>
            </w:r>
          </w:p>
          <w:p w14:paraId="78BCFB7F">
            <w:pPr>
              <w:keepNext w:val="0"/>
              <w:keepLines w:val="0"/>
              <w:pageBreakBefore w:val="0"/>
              <w:widowControl w:val="0"/>
              <w:numPr>
                <w:ilvl w:val="0"/>
                <w:numId w:val="0"/>
              </w:numPr>
              <w:tabs>
                <w:tab w:val="left" w:pos="3135"/>
              </w:tabs>
              <w:kinsoku/>
              <w:wordWrap/>
              <w:overflowPunct/>
              <w:topLinePunct w:val="0"/>
              <w:autoSpaceDE/>
              <w:autoSpaceDN/>
              <w:bidi w:val="0"/>
              <w:adjustRightInd/>
              <w:snapToGrid/>
              <w:ind w:firstLine="630" w:firstLineChars="300"/>
              <w:jc w:val="left"/>
              <w:textAlignment w:val="auto"/>
              <w:rPr>
                <w:rFonts w:hint="default"/>
                <w:lang w:val="en-US" w:eastAsia="zh-CN"/>
              </w:rPr>
            </w:pPr>
            <w:r>
              <w:rPr>
                <w:rFonts w:hint="eastAsia"/>
                <w:lang w:val="en-US" w:eastAsia="zh-CN"/>
              </w:rPr>
              <w:t>三、该项目的勘察、设备单项合同估算价未达到强制招标的规模标准，根据《必须招标的工程项目规定》，同意其不采用招标方式。</w:t>
            </w:r>
            <w:r>
              <w:rPr>
                <w:rFonts w:hint="eastAsia"/>
                <w:lang w:val="en-US" w:eastAsia="zh-CN"/>
              </w:rPr>
              <w:br w:type="textWrapping"/>
            </w:r>
            <w:r>
              <w:rPr>
                <w:rFonts w:hint="default"/>
                <w:lang w:val="en" w:eastAsia="zh-CN"/>
              </w:rPr>
              <w:t xml:space="preserve"> </w:t>
            </w:r>
            <w:r>
              <w:rPr>
                <w:rFonts w:hint="eastAsia"/>
                <w:lang w:val="en-US" w:eastAsia="zh-CN"/>
              </w:rPr>
              <w:t xml:space="preserve">     </w:t>
            </w:r>
            <w:r>
              <w:rPr>
                <w:rFonts w:hint="eastAsia"/>
                <w:lang w:val="en" w:eastAsia="zh-CN"/>
              </w:rPr>
              <w:t>四、招标人应按照《招标人主体履行指引》（发改法规〔</w:t>
            </w:r>
            <w:r>
              <w:rPr>
                <w:rFonts w:hint="eastAsia"/>
                <w:lang w:val="en-US" w:eastAsia="zh-CN"/>
              </w:rPr>
              <w:t>2025</w:t>
            </w:r>
            <w:r>
              <w:rPr>
                <w:rFonts w:hint="eastAsia"/>
                <w:lang w:val="en" w:eastAsia="zh-CN"/>
              </w:rPr>
              <w:t>〕</w:t>
            </w:r>
            <w:r>
              <w:rPr>
                <w:rFonts w:hint="eastAsia"/>
                <w:lang w:val="en-US" w:eastAsia="zh-CN"/>
              </w:rPr>
              <w:t>1358号</w:t>
            </w:r>
            <w:r>
              <w:rPr>
                <w:rFonts w:hint="eastAsia"/>
                <w:lang w:val="en" w:eastAsia="zh-CN"/>
              </w:rPr>
              <w:t>）切实履行招标人主体责任。</w:t>
            </w:r>
          </w:p>
          <w:p w14:paraId="4C9E8FC1">
            <w:pPr>
              <w:pStyle w:val="2"/>
              <w:numPr>
                <w:ilvl w:val="0"/>
                <w:numId w:val="0"/>
              </w:numPr>
              <w:ind w:firstLine="630" w:firstLineChars="300"/>
              <w:rPr>
                <w:rFonts w:hint="eastAsia"/>
                <w:lang w:val="en-US" w:eastAsia="zh-CN"/>
              </w:rPr>
            </w:pPr>
            <w:r>
              <w:rPr>
                <w:rFonts w:hint="eastAsia"/>
                <w:lang w:val="en-US" w:eastAsia="zh-CN"/>
              </w:rPr>
              <w:t>五、项目建设单位（招标人）在项目的首个招标公告发布30日前公开发布项目的招标计划。工程建设项目如有调整，应当及时变更招标计划，招标计划变更时间不得晚于招标公告发布前5日。</w:t>
            </w:r>
          </w:p>
          <w:p w14:paraId="171DCDAF">
            <w:pPr>
              <w:pStyle w:val="2"/>
              <w:rPr>
                <w:rFonts w:hint="eastAsia"/>
                <w:lang w:val="en-US" w:eastAsia="zh-CN"/>
              </w:rPr>
            </w:pPr>
            <w:r>
              <w:rPr>
                <w:rFonts w:hint="eastAsia"/>
                <w:lang w:val="en-US" w:eastAsia="zh-CN"/>
              </w:rPr>
              <w:t xml:space="preserve">      六、该项目的招标公告和公示信息应在山西省招标投标公共服务平台（www.sxbid.com.cn）上发布。</w:t>
            </w:r>
          </w:p>
          <w:p w14:paraId="64CF693F">
            <w:pPr>
              <w:pStyle w:val="2"/>
              <w:ind w:firstLine="420" w:firstLineChars="200"/>
              <w:rPr>
                <w:rFonts w:hint="default"/>
                <w:lang w:val="en-US" w:eastAsia="zh-CN"/>
              </w:rPr>
            </w:pPr>
            <w:r>
              <w:rPr>
                <w:rFonts w:hint="eastAsia"/>
                <w:lang w:val="en-US" w:eastAsia="zh-CN"/>
              </w:rPr>
              <w:t xml:space="preserve">  七、该项目应在山西省评标专家库抽取评标专家。    </w:t>
            </w:r>
          </w:p>
          <w:p w14:paraId="22A374C2">
            <w:pPr>
              <w:tabs>
                <w:tab w:val="left" w:pos="3135"/>
              </w:tabs>
              <w:jc w:val="left"/>
              <w:rPr>
                <w:rFonts w:hint="eastAsia"/>
                <w:lang w:val="en-US" w:eastAsia="zh-CN"/>
              </w:rPr>
            </w:pPr>
          </w:p>
          <w:p w14:paraId="0FBF4959">
            <w:pPr>
              <w:tabs>
                <w:tab w:val="left" w:pos="3135"/>
              </w:tabs>
              <w:jc w:val="left"/>
              <w:rPr>
                <w:rFonts w:hint="eastAsia"/>
                <w:lang w:val="en-US" w:eastAsia="zh-CN"/>
              </w:rPr>
            </w:pPr>
          </w:p>
          <w:p w14:paraId="501ED1C9">
            <w:pPr>
              <w:tabs>
                <w:tab w:val="left" w:pos="3135"/>
              </w:tabs>
              <w:ind w:firstLine="4935" w:firstLineChars="2350"/>
              <w:jc w:val="left"/>
              <w:rPr>
                <w:rFonts w:hint="eastAsia"/>
                <w:lang w:val="en-US" w:eastAsia="zh-CN"/>
              </w:rPr>
            </w:pPr>
            <w:r>
              <w:rPr>
                <w:rFonts w:hint="eastAsia"/>
                <w:lang w:val="en-US" w:eastAsia="zh-CN"/>
              </w:rPr>
              <w:t>盂县发展和改革局</w:t>
            </w:r>
          </w:p>
          <w:p w14:paraId="4EE689F0">
            <w:pPr>
              <w:pStyle w:val="23"/>
              <w:rPr>
                <w:rFonts w:hint="eastAsia"/>
                <w:lang w:val="en-US" w:eastAsia="zh-CN"/>
              </w:rPr>
            </w:pPr>
          </w:p>
          <w:p w14:paraId="5BE66009">
            <w:pPr>
              <w:pStyle w:val="23"/>
              <w:rPr>
                <w:rFonts w:hint="eastAsia"/>
                <w:lang w:val="en-US" w:eastAsia="zh-CN"/>
              </w:rPr>
            </w:pPr>
          </w:p>
        </w:tc>
      </w:tr>
    </w:tbl>
    <w:p w14:paraId="2ABDBF3C">
      <w:pPr>
        <w:pStyle w:val="10"/>
        <w:rPr>
          <w:rFonts w:hint="eastAsia" w:ascii="华文仿宋" w:hAnsi="华文仿宋" w:eastAsia="华文仿宋" w:cs="华文仿宋"/>
          <w:sz w:val="32"/>
          <w:szCs w:val="32"/>
          <w:lang w:val="en-US"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altName w:val="宋体"/>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ACF3C50" w:usb2="00000016" w:usb3="00000000" w:csb0="0004001F" w:csb1="00000000"/>
  </w:font>
  <w:font w:name="仿宋_GB2312">
    <w:altName w:val="微软雅黑"/>
    <w:panose1 w:val="02010609030101010101"/>
    <w:charset w:val="86"/>
    <w:family w:val="modern"/>
    <w:pitch w:val="default"/>
    <w:sig w:usb0="00000000" w:usb1="0000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华文仿宋">
    <w:altName w:val="新宋体"/>
    <w:panose1 w:val="02010600040101010101"/>
    <w:charset w:val="86"/>
    <w:family w:val="auto"/>
    <w:pitch w:val="default"/>
    <w:sig w:usb0="00000000" w:usb1="00000000" w:usb2="00000000" w:usb3="00000000" w:csb0="0004009F" w:csb1="DFD70000"/>
  </w:font>
  <w:font w:name="方正小标宋_GBK">
    <w:altName w:val="微软雅黑"/>
    <w:panose1 w:val="02000000000000000000"/>
    <w:charset w:val="86"/>
    <w:family w:val="auto"/>
    <w:pitch w:val="default"/>
    <w:sig w:usb0="00000000" w:usb1="00000000" w:usb2="00082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auto"/>
    <w:pitch w:val="default"/>
    <w:sig w:usb0="00000203" w:usb1="288F0000" w:usb2="00000006" w:usb3="00000000" w:csb0="00040001" w:csb1="00000000"/>
  </w:font>
  <w:font w:name="KSOF17264B27">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E47D9">
    <w:pPr>
      <w:spacing w:line="232" w:lineRule="auto"/>
      <w:rPr>
        <w:rFonts w:ascii="宋体" w:hAnsi="宋体" w:eastAsia="宋体" w:cs="宋体"/>
        <w:sz w:val="21"/>
        <w:szCs w:val="21"/>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69CE4"/>
    <w:multiLevelType w:val="singleLevel"/>
    <w:tmpl w:val="AFF69CE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JhYzgxYjJiM2JhNzU5YzJlNDNlZDdjYWM0NDYwN2MifQ=="/>
  </w:docVars>
  <w:rsids>
    <w:rsidRoot w:val="00000000"/>
    <w:rsid w:val="01AD5116"/>
    <w:rsid w:val="026779BA"/>
    <w:rsid w:val="03433F84"/>
    <w:rsid w:val="03632E30"/>
    <w:rsid w:val="036F0ED3"/>
    <w:rsid w:val="03A13CFA"/>
    <w:rsid w:val="03BFE31B"/>
    <w:rsid w:val="04402271"/>
    <w:rsid w:val="0462205F"/>
    <w:rsid w:val="049E5522"/>
    <w:rsid w:val="05404C1F"/>
    <w:rsid w:val="05C14AC2"/>
    <w:rsid w:val="064E7FBA"/>
    <w:rsid w:val="06525362"/>
    <w:rsid w:val="07FFE3F8"/>
    <w:rsid w:val="083E2F6B"/>
    <w:rsid w:val="084860B6"/>
    <w:rsid w:val="0878647D"/>
    <w:rsid w:val="088604A9"/>
    <w:rsid w:val="09CB225E"/>
    <w:rsid w:val="0A014251"/>
    <w:rsid w:val="0A0779E8"/>
    <w:rsid w:val="0A222B45"/>
    <w:rsid w:val="0A782765"/>
    <w:rsid w:val="0BBF506E"/>
    <w:rsid w:val="0BC12BB2"/>
    <w:rsid w:val="0D696CDD"/>
    <w:rsid w:val="0D9F6182"/>
    <w:rsid w:val="0DA01FA3"/>
    <w:rsid w:val="0DF156E2"/>
    <w:rsid w:val="0E055DB2"/>
    <w:rsid w:val="0EDF8A94"/>
    <w:rsid w:val="0EFFF50A"/>
    <w:rsid w:val="0F5F0994"/>
    <w:rsid w:val="0F9D41E8"/>
    <w:rsid w:val="0FFD5C91"/>
    <w:rsid w:val="108E453B"/>
    <w:rsid w:val="10980F56"/>
    <w:rsid w:val="111E747F"/>
    <w:rsid w:val="11C12659"/>
    <w:rsid w:val="12A62649"/>
    <w:rsid w:val="131A2B5C"/>
    <w:rsid w:val="1328698F"/>
    <w:rsid w:val="13B3480E"/>
    <w:rsid w:val="13E021A1"/>
    <w:rsid w:val="1410477D"/>
    <w:rsid w:val="14227D18"/>
    <w:rsid w:val="143516C6"/>
    <w:rsid w:val="146836C4"/>
    <w:rsid w:val="14C8253B"/>
    <w:rsid w:val="14DC0F23"/>
    <w:rsid w:val="15550146"/>
    <w:rsid w:val="156A35F2"/>
    <w:rsid w:val="15B50D87"/>
    <w:rsid w:val="15C50828"/>
    <w:rsid w:val="16A2661D"/>
    <w:rsid w:val="16E396D5"/>
    <w:rsid w:val="16EF9E8C"/>
    <w:rsid w:val="16F90D55"/>
    <w:rsid w:val="16FE2244"/>
    <w:rsid w:val="17721D02"/>
    <w:rsid w:val="177FCABB"/>
    <w:rsid w:val="177FFD2A"/>
    <w:rsid w:val="17B827B2"/>
    <w:rsid w:val="17CE5B7A"/>
    <w:rsid w:val="17DE2BB5"/>
    <w:rsid w:val="17FD80DE"/>
    <w:rsid w:val="180C273E"/>
    <w:rsid w:val="188744BB"/>
    <w:rsid w:val="1938661F"/>
    <w:rsid w:val="1968753B"/>
    <w:rsid w:val="19E7BD96"/>
    <w:rsid w:val="1A6BA8EB"/>
    <w:rsid w:val="1ABFD46C"/>
    <w:rsid w:val="1B4B7A22"/>
    <w:rsid w:val="1B574033"/>
    <w:rsid w:val="1BBC26CD"/>
    <w:rsid w:val="1BBF6337"/>
    <w:rsid w:val="1BD9F8E3"/>
    <w:rsid w:val="1BFD1E7D"/>
    <w:rsid w:val="1C7374C8"/>
    <w:rsid w:val="1CEC0D90"/>
    <w:rsid w:val="1D0F481B"/>
    <w:rsid w:val="1D2E5635"/>
    <w:rsid w:val="1D44297A"/>
    <w:rsid w:val="1D993F8E"/>
    <w:rsid w:val="1DBECA2F"/>
    <w:rsid w:val="1DF471EF"/>
    <w:rsid w:val="1EBDF6B9"/>
    <w:rsid w:val="1EBF3FA6"/>
    <w:rsid w:val="1EE9E260"/>
    <w:rsid w:val="1F5F78EA"/>
    <w:rsid w:val="1FB3810B"/>
    <w:rsid w:val="1FBD804A"/>
    <w:rsid w:val="1FDC333E"/>
    <w:rsid w:val="1FEF8B30"/>
    <w:rsid w:val="1FF711C7"/>
    <w:rsid w:val="1FFD6117"/>
    <w:rsid w:val="1FFF3ED1"/>
    <w:rsid w:val="1FFF3FF2"/>
    <w:rsid w:val="20803CB0"/>
    <w:rsid w:val="21222FD3"/>
    <w:rsid w:val="21246FC4"/>
    <w:rsid w:val="214B2529"/>
    <w:rsid w:val="21850E52"/>
    <w:rsid w:val="21DD6EFA"/>
    <w:rsid w:val="21EBF8FE"/>
    <w:rsid w:val="220F3557"/>
    <w:rsid w:val="22CE51C0"/>
    <w:rsid w:val="233B65CE"/>
    <w:rsid w:val="236D2C2B"/>
    <w:rsid w:val="23B32608"/>
    <w:rsid w:val="23E51E22"/>
    <w:rsid w:val="23E708EC"/>
    <w:rsid w:val="23FF5EB8"/>
    <w:rsid w:val="24961D0D"/>
    <w:rsid w:val="2556149D"/>
    <w:rsid w:val="25A20B86"/>
    <w:rsid w:val="25E53D3B"/>
    <w:rsid w:val="260A47E6"/>
    <w:rsid w:val="269F0C21"/>
    <w:rsid w:val="26FA22E5"/>
    <w:rsid w:val="276EBC95"/>
    <w:rsid w:val="277FC5F2"/>
    <w:rsid w:val="278F207D"/>
    <w:rsid w:val="27A7A262"/>
    <w:rsid w:val="27B1755F"/>
    <w:rsid w:val="27BFCA01"/>
    <w:rsid w:val="27CE64FC"/>
    <w:rsid w:val="27FE54AA"/>
    <w:rsid w:val="29695C42"/>
    <w:rsid w:val="297A20FD"/>
    <w:rsid w:val="2ABFADF8"/>
    <w:rsid w:val="2ADC41F2"/>
    <w:rsid w:val="2B807273"/>
    <w:rsid w:val="2BE7CC90"/>
    <w:rsid w:val="2BFFCE54"/>
    <w:rsid w:val="2C8B5ED0"/>
    <w:rsid w:val="2CA86A82"/>
    <w:rsid w:val="2CC455FF"/>
    <w:rsid w:val="2CFFD5F0"/>
    <w:rsid w:val="2D767C0E"/>
    <w:rsid w:val="2D984D48"/>
    <w:rsid w:val="2DBB0344"/>
    <w:rsid w:val="2DC35FA9"/>
    <w:rsid w:val="2DE7271A"/>
    <w:rsid w:val="2E291E44"/>
    <w:rsid w:val="2E46D39F"/>
    <w:rsid w:val="2EBEF306"/>
    <w:rsid w:val="2ED99B18"/>
    <w:rsid w:val="2F1601E3"/>
    <w:rsid w:val="2F399961"/>
    <w:rsid w:val="2F7E0467"/>
    <w:rsid w:val="2FBE2C70"/>
    <w:rsid w:val="2FF32E41"/>
    <w:rsid w:val="31904E51"/>
    <w:rsid w:val="31A538CA"/>
    <w:rsid w:val="31B7C18C"/>
    <w:rsid w:val="31C87062"/>
    <w:rsid w:val="325B00F2"/>
    <w:rsid w:val="327875F1"/>
    <w:rsid w:val="32FF6235"/>
    <w:rsid w:val="3329E28E"/>
    <w:rsid w:val="335C13DD"/>
    <w:rsid w:val="337E7EAA"/>
    <w:rsid w:val="33AB50A9"/>
    <w:rsid w:val="33D4063A"/>
    <w:rsid w:val="33DF797F"/>
    <w:rsid w:val="33FB400C"/>
    <w:rsid w:val="34C76066"/>
    <w:rsid w:val="34D787A5"/>
    <w:rsid w:val="352A395E"/>
    <w:rsid w:val="35F6301F"/>
    <w:rsid w:val="36B712DB"/>
    <w:rsid w:val="36CC7950"/>
    <w:rsid w:val="36D23EAC"/>
    <w:rsid w:val="36E7464B"/>
    <w:rsid w:val="36EA7997"/>
    <w:rsid w:val="36FF96DE"/>
    <w:rsid w:val="372B6074"/>
    <w:rsid w:val="37322601"/>
    <w:rsid w:val="3756B5A4"/>
    <w:rsid w:val="375EB1FA"/>
    <w:rsid w:val="3767CBDC"/>
    <w:rsid w:val="377B2067"/>
    <w:rsid w:val="379DE7A8"/>
    <w:rsid w:val="37B4AEDB"/>
    <w:rsid w:val="37BF89EA"/>
    <w:rsid w:val="37BFED1B"/>
    <w:rsid w:val="37DBB51C"/>
    <w:rsid w:val="37DD95B4"/>
    <w:rsid w:val="37EA38A9"/>
    <w:rsid w:val="37EF6AFF"/>
    <w:rsid w:val="37FB5745"/>
    <w:rsid w:val="37FEAA79"/>
    <w:rsid w:val="37FF6F3C"/>
    <w:rsid w:val="37FFCD1B"/>
    <w:rsid w:val="37FFEF3A"/>
    <w:rsid w:val="393F590B"/>
    <w:rsid w:val="395F7D5A"/>
    <w:rsid w:val="39C92FFE"/>
    <w:rsid w:val="3A086DB2"/>
    <w:rsid w:val="3A370FB0"/>
    <w:rsid w:val="3A685ED0"/>
    <w:rsid w:val="3B7FEDBF"/>
    <w:rsid w:val="3B80344C"/>
    <w:rsid w:val="3B9F8550"/>
    <w:rsid w:val="3BDEE64E"/>
    <w:rsid w:val="3BFA7C91"/>
    <w:rsid w:val="3BFBE0EF"/>
    <w:rsid w:val="3BFEC9D2"/>
    <w:rsid w:val="3BFF84C2"/>
    <w:rsid w:val="3C773ABD"/>
    <w:rsid w:val="3C7F14D6"/>
    <w:rsid w:val="3C9E1C4F"/>
    <w:rsid w:val="3C9F7672"/>
    <w:rsid w:val="3CDF1E7C"/>
    <w:rsid w:val="3CE23496"/>
    <w:rsid w:val="3CF9D671"/>
    <w:rsid w:val="3D2FB817"/>
    <w:rsid w:val="3D7303E7"/>
    <w:rsid w:val="3DACB0BA"/>
    <w:rsid w:val="3DBA958E"/>
    <w:rsid w:val="3DDD0555"/>
    <w:rsid w:val="3DDE7958"/>
    <w:rsid w:val="3DE43C39"/>
    <w:rsid w:val="3DE51AA5"/>
    <w:rsid w:val="3DEC46F0"/>
    <w:rsid w:val="3DF7143D"/>
    <w:rsid w:val="3DFFCF06"/>
    <w:rsid w:val="3E0E070F"/>
    <w:rsid w:val="3E3A7756"/>
    <w:rsid w:val="3E6C1E5D"/>
    <w:rsid w:val="3E6DA2B2"/>
    <w:rsid w:val="3E6E65BD"/>
    <w:rsid w:val="3E7D8F11"/>
    <w:rsid w:val="3EBB227B"/>
    <w:rsid w:val="3EBC63BD"/>
    <w:rsid w:val="3EBF9A94"/>
    <w:rsid w:val="3ED0A424"/>
    <w:rsid w:val="3EE69504"/>
    <w:rsid w:val="3EF7210C"/>
    <w:rsid w:val="3EF97CB1"/>
    <w:rsid w:val="3EFDF064"/>
    <w:rsid w:val="3F29417B"/>
    <w:rsid w:val="3F3704BB"/>
    <w:rsid w:val="3F3FBA1C"/>
    <w:rsid w:val="3F4F6E51"/>
    <w:rsid w:val="3F5EF7FF"/>
    <w:rsid w:val="3F670617"/>
    <w:rsid w:val="3F77C61B"/>
    <w:rsid w:val="3F7BE167"/>
    <w:rsid w:val="3F7D096A"/>
    <w:rsid w:val="3F7DAC42"/>
    <w:rsid w:val="3F9BE1A4"/>
    <w:rsid w:val="3FAE349D"/>
    <w:rsid w:val="3FAF8A9F"/>
    <w:rsid w:val="3FBA456C"/>
    <w:rsid w:val="3FD7F7FF"/>
    <w:rsid w:val="3FDC3C0D"/>
    <w:rsid w:val="3FDF8EEB"/>
    <w:rsid w:val="3FDFFCA5"/>
    <w:rsid w:val="3FF318BE"/>
    <w:rsid w:val="3FF77392"/>
    <w:rsid w:val="3FFD6B5A"/>
    <w:rsid w:val="3FFF3E7A"/>
    <w:rsid w:val="3FFFD4A7"/>
    <w:rsid w:val="3FFFD9FA"/>
    <w:rsid w:val="3FFFDDE0"/>
    <w:rsid w:val="40BC66D4"/>
    <w:rsid w:val="426B59F3"/>
    <w:rsid w:val="43016A94"/>
    <w:rsid w:val="43100EDC"/>
    <w:rsid w:val="43521DD3"/>
    <w:rsid w:val="43611999"/>
    <w:rsid w:val="43C73BDB"/>
    <w:rsid w:val="456FFD68"/>
    <w:rsid w:val="458B6E24"/>
    <w:rsid w:val="462E1F99"/>
    <w:rsid w:val="46761547"/>
    <w:rsid w:val="46BD6DCD"/>
    <w:rsid w:val="46C3849B"/>
    <w:rsid w:val="46CF5C10"/>
    <w:rsid w:val="46EE3F55"/>
    <w:rsid w:val="47205533"/>
    <w:rsid w:val="47FE6547"/>
    <w:rsid w:val="48C7608A"/>
    <w:rsid w:val="49066BB2"/>
    <w:rsid w:val="498E6450"/>
    <w:rsid w:val="4A0A4480"/>
    <w:rsid w:val="4A1A47AD"/>
    <w:rsid w:val="4B330267"/>
    <w:rsid w:val="4B9960BF"/>
    <w:rsid w:val="4BA6FD2C"/>
    <w:rsid w:val="4BCF0658"/>
    <w:rsid w:val="4BD92F69"/>
    <w:rsid w:val="4C535328"/>
    <w:rsid w:val="4CA627C6"/>
    <w:rsid w:val="4CFBBAF4"/>
    <w:rsid w:val="4D7762D0"/>
    <w:rsid w:val="4DB8CA83"/>
    <w:rsid w:val="4DDD0F85"/>
    <w:rsid w:val="4DDFC0AF"/>
    <w:rsid w:val="4DF6D6CE"/>
    <w:rsid w:val="4E4765A5"/>
    <w:rsid w:val="4E6F0211"/>
    <w:rsid w:val="4E73E3FB"/>
    <w:rsid w:val="4E7B169F"/>
    <w:rsid w:val="4EBF98D1"/>
    <w:rsid w:val="4ED8447D"/>
    <w:rsid w:val="4EEE3858"/>
    <w:rsid w:val="4EEF5C12"/>
    <w:rsid w:val="4F2D2F95"/>
    <w:rsid w:val="4F975658"/>
    <w:rsid w:val="4FBFFCB5"/>
    <w:rsid w:val="4FCB46B2"/>
    <w:rsid w:val="4FCF2FAF"/>
    <w:rsid w:val="4FD71394"/>
    <w:rsid w:val="4FDB1900"/>
    <w:rsid w:val="4FF74CBA"/>
    <w:rsid w:val="4FFF19D9"/>
    <w:rsid w:val="5030145A"/>
    <w:rsid w:val="505C22B2"/>
    <w:rsid w:val="507A4403"/>
    <w:rsid w:val="50FBDCBF"/>
    <w:rsid w:val="513DD22D"/>
    <w:rsid w:val="51622DF4"/>
    <w:rsid w:val="518F5016"/>
    <w:rsid w:val="51AC308C"/>
    <w:rsid w:val="51AECBD3"/>
    <w:rsid w:val="52673FD8"/>
    <w:rsid w:val="532C36B9"/>
    <w:rsid w:val="53B76199"/>
    <w:rsid w:val="53E5D429"/>
    <w:rsid w:val="53E97A02"/>
    <w:rsid w:val="53F7D76A"/>
    <w:rsid w:val="53FA6DDC"/>
    <w:rsid w:val="53FF06CF"/>
    <w:rsid w:val="53FF6AD1"/>
    <w:rsid w:val="53FF6F1F"/>
    <w:rsid w:val="54655058"/>
    <w:rsid w:val="54DF6509"/>
    <w:rsid w:val="54FE2E33"/>
    <w:rsid w:val="553775C7"/>
    <w:rsid w:val="55A712E7"/>
    <w:rsid w:val="55AB1A37"/>
    <w:rsid w:val="55BF8AF3"/>
    <w:rsid w:val="55DF282A"/>
    <w:rsid w:val="55EEFC27"/>
    <w:rsid w:val="55FF7591"/>
    <w:rsid w:val="56492578"/>
    <w:rsid w:val="5671696C"/>
    <w:rsid w:val="567B97A9"/>
    <w:rsid w:val="570BE767"/>
    <w:rsid w:val="57122BC6"/>
    <w:rsid w:val="571FD4BD"/>
    <w:rsid w:val="57560228"/>
    <w:rsid w:val="575719B9"/>
    <w:rsid w:val="57B66742"/>
    <w:rsid w:val="57BF847F"/>
    <w:rsid w:val="57D53463"/>
    <w:rsid w:val="57F6F642"/>
    <w:rsid w:val="57F76ECF"/>
    <w:rsid w:val="58A837E2"/>
    <w:rsid w:val="58DC0B1D"/>
    <w:rsid w:val="5987349A"/>
    <w:rsid w:val="59FBD378"/>
    <w:rsid w:val="59FF952F"/>
    <w:rsid w:val="5A9FF5F0"/>
    <w:rsid w:val="5AB432FA"/>
    <w:rsid w:val="5ABF92E0"/>
    <w:rsid w:val="5AEFD391"/>
    <w:rsid w:val="5AF6269F"/>
    <w:rsid w:val="5AFD6213"/>
    <w:rsid w:val="5B2F59BB"/>
    <w:rsid w:val="5B7B1234"/>
    <w:rsid w:val="5B7D70F5"/>
    <w:rsid w:val="5B863B83"/>
    <w:rsid w:val="5B976F17"/>
    <w:rsid w:val="5B9A34B9"/>
    <w:rsid w:val="5BAEFAF8"/>
    <w:rsid w:val="5BC6A244"/>
    <w:rsid w:val="5BF5D76C"/>
    <w:rsid w:val="5BFF7D3F"/>
    <w:rsid w:val="5BFFA5EA"/>
    <w:rsid w:val="5C766E2E"/>
    <w:rsid w:val="5CB72C9A"/>
    <w:rsid w:val="5CBC2513"/>
    <w:rsid w:val="5CD76006"/>
    <w:rsid w:val="5CEDFD93"/>
    <w:rsid w:val="5CFB6F66"/>
    <w:rsid w:val="5CFF0677"/>
    <w:rsid w:val="5CFFA7B3"/>
    <w:rsid w:val="5D3A53B3"/>
    <w:rsid w:val="5D572172"/>
    <w:rsid w:val="5D7B0920"/>
    <w:rsid w:val="5D7F3AAC"/>
    <w:rsid w:val="5D9F4F1C"/>
    <w:rsid w:val="5DB744F6"/>
    <w:rsid w:val="5DCC2B69"/>
    <w:rsid w:val="5DCD021D"/>
    <w:rsid w:val="5DDE2EDB"/>
    <w:rsid w:val="5DEFC3B2"/>
    <w:rsid w:val="5DFB1EB4"/>
    <w:rsid w:val="5DFDF06E"/>
    <w:rsid w:val="5DFF5792"/>
    <w:rsid w:val="5EA6655C"/>
    <w:rsid w:val="5EB7CA0A"/>
    <w:rsid w:val="5EBBE635"/>
    <w:rsid w:val="5ECD5371"/>
    <w:rsid w:val="5EDBC05B"/>
    <w:rsid w:val="5EEF7470"/>
    <w:rsid w:val="5EF37781"/>
    <w:rsid w:val="5EFF7B36"/>
    <w:rsid w:val="5F0B2C79"/>
    <w:rsid w:val="5F337B7D"/>
    <w:rsid w:val="5F374C15"/>
    <w:rsid w:val="5F3C1128"/>
    <w:rsid w:val="5F5F815C"/>
    <w:rsid w:val="5F6F6CB7"/>
    <w:rsid w:val="5F73589F"/>
    <w:rsid w:val="5F7BDA81"/>
    <w:rsid w:val="5F7F00B7"/>
    <w:rsid w:val="5F914C08"/>
    <w:rsid w:val="5F972E2C"/>
    <w:rsid w:val="5FAF2EB1"/>
    <w:rsid w:val="5FAF9FC7"/>
    <w:rsid w:val="5FBF7285"/>
    <w:rsid w:val="5FCECFB5"/>
    <w:rsid w:val="5FD7ADB1"/>
    <w:rsid w:val="5FEE2F84"/>
    <w:rsid w:val="5FEF76AD"/>
    <w:rsid w:val="5FF1DAC5"/>
    <w:rsid w:val="5FF2E702"/>
    <w:rsid w:val="5FF7337D"/>
    <w:rsid w:val="5FFAFABE"/>
    <w:rsid w:val="5FFBA171"/>
    <w:rsid w:val="5FFC58B3"/>
    <w:rsid w:val="5FFF16BA"/>
    <w:rsid w:val="5FFF18FF"/>
    <w:rsid w:val="5FFF2D37"/>
    <w:rsid w:val="5FFF4BE7"/>
    <w:rsid w:val="5FFFB3DB"/>
    <w:rsid w:val="5FFFD589"/>
    <w:rsid w:val="60AC5E39"/>
    <w:rsid w:val="60CC028A"/>
    <w:rsid w:val="61F78A06"/>
    <w:rsid w:val="621719D8"/>
    <w:rsid w:val="623460E6"/>
    <w:rsid w:val="62EE29B1"/>
    <w:rsid w:val="632B3C1C"/>
    <w:rsid w:val="633B34A5"/>
    <w:rsid w:val="63827EE8"/>
    <w:rsid w:val="63FAD675"/>
    <w:rsid w:val="644C1488"/>
    <w:rsid w:val="64F6E175"/>
    <w:rsid w:val="655ABD03"/>
    <w:rsid w:val="65AF0D77"/>
    <w:rsid w:val="65BFD5F6"/>
    <w:rsid w:val="65EF8A22"/>
    <w:rsid w:val="65F25FBB"/>
    <w:rsid w:val="65FE481F"/>
    <w:rsid w:val="66485EA1"/>
    <w:rsid w:val="66844196"/>
    <w:rsid w:val="66BF5B9C"/>
    <w:rsid w:val="66FB5425"/>
    <w:rsid w:val="674F7488"/>
    <w:rsid w:val="67DFD95C"/>
    <w:rsid w:val="67E614AC"/>
    <w:rsid w:val="67E83A3C"/>
    <w:rsid w:val="67EDA38D"/>
    <w:rsid w:val="67EEB9BF"/>
    <w:rsid w:val="67FCE201"/>
    <w:rsid w:val="67FF466E"/>
    <w:rsid w:val="67FF8C60"/>
    <w:rsid w:val="67FFED0C"/>
    <w:rsid w:val="68154E69"/>
    <w:rsid w:val="6874232E"/>
    <w:rsid w:val="687F5F61"/>
    <w:rsid w:val="688902D8"/>
    <w:rsid w:val="68D301C4"/>
    <w:rsid w:val="695E45CF"/>
    <w:rsid w:val="69BEB159"/>
    <w:rsid w:val="69BF8CEE"/>
    <w:rsid w:val="69F5E811"/>
    <w:rsid w:val="6A8F3DDD"/>
    <w:rsid w:val="6AAB53B4"/>
    <w:rsid w:val="6AB7DCA2"/>
    <w:rsid w:val="6ACD0E86"/>
    <w:rsid w:val="6AD71B05"/>
    <w:rsid w:val="6AFF2913"/>
    <w:rsid w:val="6B8678A5"/>
    <w:rsid w:val="6BAFB485"/>
    <w:rsid w:val="6BCE4EB6"/>
    <w:rsid w:val="6BD811FC"/>
    <w:rsid w:val="6BDD787C"/>
    <w:rsid w:val="6BF232AE"/>
    <w:rsid w:val="6BFA35FE"/>
    <w:rsid w:val="6BFB8292"/>
    <w:rsid w:val="6BFFB068"/>
    <w:rsid w:val="6BFFC30D"/>
    <w:rsid w:val="6C3869EA"/>
    <w:rsid w:val="6CD38BB5"/>
    <w:rsid w:val="6CE865F7"/>
    <w:rsid w:val="6CF260DF"/>
    <w:rsid w:val="6D2DD65C"/>
    <w:rsid w:val="6D705F4A"/>
    <w:rsid w:val="6D719F5A"/>
    <w:rsid w:val="6D73C9F0"/>
    <w:rsid w:val="6D7F4264"/>
    <w:rsid w:val="6D8871E3"/>
    <w:rsid w:val="6D8F483F"/>
    <w:rsid w:val="6D952A16"/>
    <w:rsid w:val="6D987CA8"/>
    <w:rsid w:val="6DF58AB2"/>
    <w:rsid w:val="6DFA145C"/>
    <w:rsid w:val="6DFBF452"/>
    <w:rsid w:val="6DFF4A4A"/>
    <w:rsid w:val="6DFFCCC1"/>
    <w:rsid w:val="6DFFF61C"/>
    <w:rsid w:val="6E4E0530"/>
    <w:rsid w:val="6E5F039D"/>
    <w:rsid w:val="6E6C8E4B"/>
    <w:rsid w:val="6E6D56BE"/>
    <w:rsid w:val="6E921943"/>
    <w:rsid w:val="6ED0363B"/>
    <w:rsid w:val="6EFCA894"/>
    <w:rsid w:val="6EFFD949"/>
    <w:rsid w:val="6F370768"/>
    <w:rsid w:val="6F4FBC16"/>
    <w:rsid w:val="6F5DAB41"/>
    <w:rsid w:val="6F7A4EAC"/>
    <w:rsid w:val="6F7F6757"/>
    <w:rsid w:val="6F9FA693"/>
    <w:rsid w:val="6F9FDA1A"/>
    <w:rsid w:val="6FBA3BFA"/>
    <w:rsid w:val="6FCBADBB"/>
    <w:rsid w:val="6FCD7256"/>
    <w:rsid w:val="6FCE74F1"/>
    <w:rsid w:val="6FDB170E"/>
    <w:rsid w:val="6FEBAD71"/>
    <w:rsid w:val="6FEFC4FC"/>
    <w:rsid w:val="6FFAA33C"/>
    <w:rsid w:val="6FFAFC96"/>
    <w:rsid w:val="6FFE3CCD"/>
    <w:rsid w:val="6FFF440C"/>
    <w:rsid w:val="6FFF49B8"/>
    <w:rsid w:val="6FFF5B53"/>
    <w:rsid w:val="6FFF7B7E"/>
    <w:rsid w:val="6FFFB420"/>
    <w:rsid w:val="6FFFC965"/>
    <w:rsid w:val="70047276"/>
    <w:rsid w:val="71240578"/>
    <w:rsid w:val="713F3528"/>
    <w:rsid w:val="71704FED"/>
    <w:rsid w:val="717A16AD"/>
    <w:rsid w:val="718E12FC"/>
    <w:rsid w:val="71A51A75"/>
    <w:rsid w:val="71A95001"/>
    <w:rsid w:val="71BE2D9D"/>
    <w:rsid w:val="723C6B2E"/>
    <w:rsid w:val="7261521D"/>
    <w:rsid w:val="726B25FD"/>
    <w:rsid w:val="72732248"/>
    <w:rsid w:val="733FD41B"/>
    <w:rsid w:val="73A504C8"/>
    <w:rsid w:val="73DBEECD"/>
    <w:rsid w:val="73EBECB7"/>
    <w:rsid w:val="73F7B6DD"/>
    <w:rsid w:val="73F9FB00"/>
    <w:rsid w:val="73FB4689"/>
    <w:rsid w:val="73FC8113"/>
    <w:rsid w:val="73FD2664"/>
    <w:rsid w:val="73FD35DE"/>
    <w:rsid w:val="73FF6821"/>
    <w:rsid w:val="742C229E"/>
    <w:rsid w:val="747C00B7"/>
    <w:rsid w:val="74C958C3"/>
    <w:rsid w:val="74EB2C91"/>
    <w:rsid w:val="74F7C202"/>
    <w:rsid w:val="74FB16FD"/>
    <w:rsid w:val="74FBDE7D"/>
    <w:rsid w:val="74FE562D"/>
    <w:rsid w:val="753FB031"/>
    <w:rsid w:val="75B016AC"/>
    <w:rsid w:val="75E38EF3"/>
    <w:rsid w:val="75E74135"/>
    <w:rsid w:val="75E962C4"/>
    <w:rsid w:val="75EF133E"/>
    <w:rsid w:val="7668B612"/>
    <w:rsid w:val="76B75F54"/>
    <w:rsid w:val="76B7BA19"/>
    <w:rsid w:val="76BC69F3"/>
    <w:rsid w:val="76BDD331"/>
    <w:rsid w:val="76D9BB77"/>
    <w:rsid w:val="76EF91E7"/>
    <w:rsid w:val="76FDF5D6"/>
    <w:rsid w:val="76FFD1AB"/>
    <w:rsid w:val="770DEFC9"/>
    <w:rsid w:val="77373D8F"/>
    <w:rsid w:val="773972C4"/>
    <w:rsid w:val="77419776"/>
    <w:rsid w:val="777EB56C"/>
    <w:rsid w:val="779FF720"/>
    <w:rsid w:val="77B32B87"/>
    <w:rsid w:val="77BD4628"/>
    <w:rsid w:val="77BF34A2"/>
    <w:rsid w:val="77BF6283"/>
    <w:rsid w:val="77BFDDA8"/>
    <w:rsid w:val="77C555E5"/>
    <w:rsid w:val="77D15BC1"/>
    <w:rsid w:val="77D56D1F"/>
    <w:rsid w:val="77D5AA65"/>
    <w:rsid w:val="77DC3615"/>
    <w:rsid w:val="77DF17A6"/>
    <w:rsid w:val="77DF1D8B"/>
    <w:rsid w:val="77DFB767"/>
    <w:rsid w:val="77EFD8D2"/>
    <w:rsid w:val="77F941B7"/>
    <w:rsid w:val="77FBB8B3"/>
    <w:rsid w:val="77FE540E"/>
    <w:rsid w:val="77FE8F0B"/>
    <w:rsid w:val="77FEC950"/>
    <w:rsid w:val="77FEF4AB"/>
    <w:rsid w:val="77FF189F"/>
    <w:rsid w:val="77FFFC63"/>
    <w:rsid w:val="781400F4"/>
    <w:rsid w:val="78271CF7"/>
    <w:rsid w:val="78913D64"/>
    <w:rsid w:val="78A30A77"/>
    <w:rsid w:val="78C4D15B"/>
    <w:rsid w:val="78D65562"/>
    <w:rsid w:val="78F56F0E"/>
    <w:rsid w:val="78FDD974"/>
    <w:rsid w:val="7931C875"/>
    <w:rsid w:val="793B2616"/>
    <w:rsid w:val="79521988"/>
    <w:rsid w:val="7997A6B2"/>
    <w:rsid w:val="79BF41A7"/>
    <w:rsid w:val="79BFDE4F"/>
    <w:rsid w:val="79CE2409"/>
    <w:rsid w:val="79E33499"/>
    <w:rsid w:val="79E8B3CD"/>
    <w:rsid w:val="79EE6B36"/>
    <w:rsid w:val="79EF9DC9"/>
    <w:rsid w:val="79F79AF5"/>
    <w:rsid w:val="79FAF469"/>
    <w:rsid w:val="79FDD700"/>
    <w:rsid w:val="7A6FDF3E"/>
    <w:rsid w:val="7A7511ED"/>
    <w:rsid w:val="7A77165E"/>
    <w:rsid w:val="7A94376E"/>
    <w:rsid w:val="7ABEF574"/>
    <w:rsid w:val="7ABF4F78"/>
    <w:rsid w:val="7ACC6FED"/>
    <w:rsid w:val="7ADB6190"/>
    <w:rsid w:val="7AF2D664"/>
    <w:rsid w:val="7AFA605C"/>
    <w:rsid w:val="7B272BF1"/>
    <w:rsid w:val="7B2F7361"/>
    <w:rsid w:val="7B4F4423"/>
    <w:rsid w:val="7B6A3C45"/>
    <w:rsid w:val="7B7B73D6"/>
    <w:rsid w:val="7B7BB966"/>
    <w:rsid w:val="7B7F3964"/>
    <w:rsid w:val="7B7FA603"/>
    <w:rsid w:val="7B8B6C7C"/>
    <w:rsid w:val="7B98728E"/>
    <w:rsid w:val="7BAB0D70"/>
    <w:rsid w:val="7BB7E26A"/>
    <w:rsid w:val="7BBCB67B"/>
    <w:rsid w:val="7BBE109F"/>
    <w:rsid w:val="7BBF6B07"/>
    <w:rsid w:val="7BBFF196"/>
    <w:rsid w:val="7BC78D0B"/>
    <w:rsid w:val="7BCBE045"/>
    <w:rsid w:val="7BCD74AB"/>
    <w:rsid w:val="7BD5A64F"/>
    <w:rsid w:val="7BEEB720"/>
    <w:rsid w:val="7BEEB98E"/>
    <w:rsid w:val="7BEFE17E"/>
    <w:rsid w:val="7BF340AD"/>
    <w:rsid w:val="7BF47670"/>
    <w:rsid w:val="7BF5F35F"/>
    <w:rsid w:val="7BF7575C"/>
    <w:rsid w:val="7BF8E91F"/>
    <w:rsid w:val="7BFB79D3"/>
    <w:rsid w:val="7BFC3187"/>
    <w:rsid w:val="7BFDFBA5"/>
    <w:rsid w:val="7BFFB78B"/>
    <w:rsid w:val="7C3C40BE"/>
    <w:rsid w:val="7C6D8E58"/>
    <w:rsid w:val="7C7F22B5"/>
    <w:rsid w:val="7C8F8B3D"/>
    <w:rsid w:val="7CA72772"/>
    <w:rsid w:val="7CB1685A"/>
    <w:rsid w:val="7CDB6739"/>
    <w:rsid w:val="7CF78F31"/>
    <w:rsid w:val="7CFF1385"/>
    <w:rsid w:val="7CFF5431"/>
    <w:rsid w:val="7D6CA128"/>
    <w:rsid w:val="7D6F5394"/>
    <w:rsid w:val="7D75CCB6"/>
    <w:rsid w:val="7D7DEF9C"/>
    <w:rsid w:val="7D9FB515"/>
    <w:rsid w:val="7DA5F83C"/>
    <w:rsid w:val="7DAE0AC6"/>
    <w:rsid w:val="7DB41B77"/>
    <w:rsid w:val="7DBB5623"/>
    <w:rsid w:val="7DBE740C"/>
    <w:rsid w:val="7DBED49F"/>
    <w:rsid w:val="7DDF7153"/>
    <w:rsid w:val="7DDF9CF3"/>
    <w:rsid w:val="7DE3FA5C"/>
    <w:rsid w:val="7DE9877B"/>
    <w:rsid w:val="7DECC6DD"/>
    <w:rsid w:val="7DED08B5"/>
    <w:rsid w:val="7DED094E"/>
    <w:rsid w:val="7DFD298C"/>
    <w:rsid w:val="7DFD2EA0"/>
    <w:rsid w:val="7DFF9DD5"/>
    <w:rsid w:val="7DFFAC02"/>
    <w:rsid w:val="7E1D4D65"/>
    <w:rsid w:val="7E3879EF"/>
    <w:rsid w:val="7E3EC8DD"/>
    <w:rsid w:val="7E572981"/>
    <w:rsid w:val="7E5F9B3F"/>
    <w:rsid w:val="7E6F38B6"/>
    <w:rsid w:val="7E7D423C"/>
    <w:rsid w:val="7E7EB345"/>
    <w:rsid w:val="7E8F7CB9"/>
    <w:rsid w:val="7E9389DD"/>
    <w:rsid w:val="7E9BB907"/>
    <w:rsid w:val="7E9DA08A"/>
    <w:rsid w:val="7E9F1D77"/>
    <w:rsid w:val="7EBB4189"/>
    <w:rsid w:val="7EBEFB46"/>
    <w:rsid w:val="7ECB3B21"/>
    <w:rsid w:val="7ECF8EF1"/>
    <w:rsid w:val="7ED48719"/>
    <w:rsid w:val="7ED62DEC"/>
    <w:rsid w:val="7EDCFEB1"/>
    <w:rsid w:val="7EDF0DD3"/>
    <w:rsid w:val="7EDFC4FA"/>
    <w:rsid w:val="7EDFC71B"/>
    <w:rsid w:val="7EE15CBC"/>
    <w:rsid w:val="7EEE285E"/>
    <w:rsid w:val="7EEF17CB"/>
    <w:rsid w:val="7EF77A99"/>
    <w:rsid w:val="7EF7AA4C"/>
    <w:rsid w:val="7EFCDDF7"/>
    <w:rsid w:val="7EFDA250"/>
    <w:rsid w:val="7EFDEDD1"/>
    <w:rsid w:val="7EFE12B9"/>
    <w:rsid w:val="7EFE9A40"/>
    <w:rsid w:val="7EFF44F5"/>
    <w:rsid w:val="7EFF454F"/>
    <w:rsid w:val="7EFF92AD"/>
    <w:rsid w:val="7F363ADE"/>
    <w:rsid w:val="7F3DBD17"/>
    <w:rsid w:val="7F458C46"/>
    <w:rsid w:val="7F470A56"/>
    <w:rsid w:val="7F528D79"/>
    <w:rsid w:val="7F5C9ADD"/>
    <w:rsid w:val="7F5F11CA"/>
    <w:rsid w:val="7F5F4629"/>
    <w:rsid w:val="7F5F84C4"/>
    <w:rsid w:val="7F6DD89D"/>
    <w:rsid w:val="7F6F17F7"/>
    <w:rsid w:val="7F772B9D"/>
    <w:rsid w:val="7F77FA61"/>
    <w:rsid w:val="7F7BA7FE"/>
    <w:rsid w:val="7F7E8FDD"/>
    <w:rsid w:val="7F7FD3C2"/>
    <w:rsid w:val="7F914277"/>
    <w:rsid w:val="7F9B5BF7"/>
    <w:rsid w:val="7F9BE585"/>
    <w:rsid w:val="7F9E4D06"/>
    <w:rsid w:val="7FAAA9DE"/>
    <w:rsid w:val="7FAEEF24"/>
    <w:rsid w:val="7FAFCA7A"/>
    <w:rsid w:val="7FB7E692"/>
    <w:rsid w:val="7FBB09FF"/>
    <w:rsid w:val="7FBB835D"/>
    <w:rsid w:val="7FBD244B"/>
    <w:rsid w:val="7FBDB402"/>
    <w:rsid w:val="7FBE7D94"/>
    <w:rsid w:val="7FBF33FF"/>
    <w:rsid w:val="7FBF724F"/>
    <w:rsid w:val="7FBFF6BC"/>
    <w:rsid w:val="7FD5E88B"/>
    <w:rsid w:val="7FDB09AE"/>
    <w:rsid w:val="7FDB0A36"/>
    <w:rsid w:val="7FDBA796"/>
    <w:rsid w:val="7FDBD921"/>
    <w:rsid w:val="7FDBEB83"/>
    <w:rsid w:val="7FDBF418"/>
    <w:rsid w:val="7FDD0ED6"/>
    <w:rsid w:val="7FDE8F9C"/>
    <w:rsid w:val="7FDECF50"/>
    <w:rsid w:val="7FDEEDF9"/>
    <w:rsid w:val="7FDF09EB"/>
    <w:rsid w:val="7FDF99CD"/>
    <w:rsid w:val="7FE311C1"/>
    <w:rsid w:val="7FE529B0"/>
    <w:rsid w:val="7FE6DF56"/>
    <w:rsid w:val="7FEB0678"/>
    <w:rsid w:val="7FEEA275"/>
    <w:rsid w:val="7FEFA354"/>
    <w:rsid w:val="7FEFB6F4"/>
    <w:rsid w:val="7FEFD327"/>
    <w:rsid w:val="7FF3C4DA"/>
    <w:rsid w:val="7FF55AF9"/>
    <w:rsid w:val="7FF7519D"/>
    <w:rsid w:val="7FFA6D76"/>
    <w:rsid w:val="7FFB5773"/>
    <w:rsid w:val="7FFB5994"/>
    <w:rsid w:val="7FFBCD85"/>
    <w:rsid w:val="7FFC285B"/>
    <w:rsid w:val="7FFD17BA"/>
    <w:rsid w:val="7FFD69DD"/>
    <w:rsid w:val="7FFD84CB"/>
    <w:rsid w:val="7FFDDE02"/>
    <w:rsid w:val="7FFE83B7"/>
    <w:rsid w:val="7FFEB170"/>
    <w:rsid w:val="7FFEB749"/>
    <w:rsid w:val="7FFEFC82"/>
    <w:rsid w:val="7FFF6914"/>
    <w:rsid w:val="7FFF7B25"/>
    <w:rsid w:val="7FFF8616"/>
    <w:rsid w:val="7FFFFCA6"/>
    <w:rsid w:val="81FB7262"/>
    <w:rsid w:val="857F8520"/>
    <w:rsid w:val="86BB2021"/>
    <w:rsid w:val="86DF4912"/>
    <w:rsid w:val="873F0FC4"/>
    <w:rsid w:val="87DEFA7D"/>
    <w:rsid w:val="87EC1F94"/>
    <w:rsid w:val="88BB424F"/>
    <w:rsid w:val="8BBD7596"/>
    <w:rsid w:val="8DABE2EC"/>
    <w:rsid w:val="8EB3BC86"/>
    <w:rsid w:val="8EFF11B0"/>
    <w:rsid w:val="8FA77853"/>
    <w:rsid w:val="8FDDDEDC"/>
    <w:rsid w:val="8FE7A306"/>
    <w:rsid w:val="92FF5FF5"/>
    <w:rsid w:val="95C7300D"/>
    <w:rsid w:val="975FAC55"/>
    <w:rsid w:val="979F1C02"/>
    <w:rsid w:val="97B5244C"/>
    <w:rsid w:val="97BF3A2E"/>
    <w:rsid w:val="97DD4E89"/>
    <w:rsid w:val="97FFA86C"/>
    <w:rsid w:val="9B15C635"/>
    <w:rsid w:val="9BBB7644"/>
    <w:rsid w:val="9BF6EC2B"/>
    <w:rsid w:val="9C76A6D7"/>
    <w:rsid w:val="9CF6FE10"/>
    <w:rsid w:val="9D5B4543"/>
    <w:rsid w:val="9DB59C6E"/>
    <w:rsid w:val="9DFC8E13"/>
    <w:rsid w:val="9DFD7AB0"/>
    <w:rsid w:val="9F23DF92"/>
    <w:rsid w:val="9F6D655B"/>
    <w:rsid w:val="9F71BB81"/>
    <w:rsid w:val="9FCFBC23"/>
    <w:rsid w:val="9FD77369"/>
    <w:rsid w:val="9FDFA3D8"/>
    <w:rsid w:val="9FE7472E"/>
    <w:rsid w:val="9FF97314"/>
    <w:rsid w:val="A5BFD603"/>
    <w:rsid w:val="A5EF5CB1"/>
    <w:rsid w:val="A62E46C1"/>
    <w:rsid w:val="A7F523CB"/>
    <w:rsid w:val="A7F6524E"/>
    <w:rsid w:val="A7FF95ED"/>
    <w:rsid w:val="A8BBFCEC"/>
    <w:rsid w:val="AB64D9F9"/>
    <w:rsid w:val="ACF6CBBA"/>
    <w:rsid w:val="ADBFA0B5"/>
    <w:rsid w:val="AEBD5E2B"/>
    <w:rsid w:val="AF7E1938"/>
    <w:rsid w:val="AF9DA179"/>
    <w:rsid w:val="AFA9BD8E"/>
    <w:rsid w:val="AFB30C08"/>
    <w:rsid w:val="AFBC7ECC"/>
    <w:rsid w:val="AFBDB9DD"/>
    <w:rsid w:val="AFDE96CF"/>
    <w:rsid w:val="AFDEFDF2"/>
    <w:rsid w:val="AFFB1489"/>
    <w:rsid w:val="B06D7D4A"/>
    <w:rsid w:val="B07932B9"/>
    <w:rsid w:val="B17E653F"/>
    <w:rsid w:val="B3433A4C"/>
    <w:rsid w:val="B35754C1"/>
    <w:rsid w:val="B3B6A73C"/>
    <w:rsid w:val="B3EE1A46"/>
    <w:rsid w:val="B3F70622"/>
    <w:rsid w:val="B3FBA081"/>
    <w:rsid w:val="B3FF7D4F"/>
    <w:rsid w:val="B3FFA160"/>
    <w:rsid w:val="B4BFB8E1"/>
    <w:rsid w:val="B4CF5D0A"/>
    <w:rsid w:val="B57E80ED"/>
    <w:rsid w:val="B6EFAA40"/>
    <w:rsid w:val="B6FF06B8"/>
    <w:rsid w:val="B71DCE4B"/>
    <w:rsid w:val="B73F10DE"/>
    <w:rsid w:val="B7BC3CF7"/>
    <w:rsid w:val="B7BDF217"/>
    <w:rsid w:val="B7BE5217"/>
    <w:rsid w:val="B7F389C0"/>
    <w:rsid w:val="B7FE677D"/>
    <w:rsid w:val="B8D61C12"/>
    <w:rsid w:val="B9199C2A"/>
    <w:rsid w:val="B95B66FA"/>
    <w:rsid w:val="B9DFC295"/>
    <w:rsid w:val="B9F956D8"/>
    <w:rsid w:val="B9FD8D1F"/>
    <w:rsid w:val="B9FDEE53"/>
    <w:rsid w:val="BA3FDECF"/>
    <w:rsid w:val="BA542638"/>
    <w:rsid w:val="BADDB8F5"/>
    <w:rsid w:val="BAFBC0F0"/>
    <w:rsid w:val="BB3D6C4C"/>
    <w:rsid w:val="BB7305EE"/>
    <w:rsid w:val="BB7FA09C"/>
    <w:rsid w:val="BBBB8864"/>
    <w:rsid w:val="BBBEFEE9"/>
    <w:rsid w:val="BBBF2070"/>
    <w:rsid w:val="BBD34FFA"/>
    <w:rsid w:val="BBEFC8F5"/>
    <w:rsid w:val="BBF2FFDC"/>
    <w:rsid w:val="BBFF87FF"/>
    <w:rsid w:val="BC4F9662"/>
    <w:rsid w:val="BCE8697E"/>
    <w:rsid w:val="BCFB6BE6"/>
    <w:rsid w:val="BCFEB04A"/>
    <w:rsid w:val="BCFF666B"/>
    <w:rsid w:val="BD573097"/>
    <w:rsid w:val="BD7F7C48"/>
    <w:rsid w:val="BDB6208E"/>
    <w:rsid w:val="BDBF2F9C"/>
    <w:rsid w:val="BDDC86BF"/>
    <w:rsid w:val="BDED854A"/>
    <w:rsid w:val="BDEF8950"/>
    <w:rsid w:val="BDFA3AC4"/>
    <w:rsid w:val="BDFE5582"/>
    <w:rsid w:val="BE2F389F"/>
    <w:rsid w:val="BE720684"/>
    <w:rsid w:val="BE7FAB4C"/>
    <w:rsid w:val="BEB21891"/>
    <w:rsid w:val="BEB2AB3C"/>
    <w:rsid w:val="BEBA061E"/>
    <w:rsid w:val="BEDF7623"/>
    <w:rsid w:val="BEFB218E"/>
    <w:rsid w:val="BEFF9445"/>
    <w:rsid w:val="BF26C2F7"/>
    <w:rsid w:val="BF2F9EAA"/>
    <w:rsid w:val="BF49AA75"/>
    <w:rsid w:val="BF5E3283"/>
    <w:rsid w:val="BF5F4373"/>
    <w:rsid w:val="BF73D1D2"/>
    <w:rsid w:val="BFA32E50"/>
    <w:rsid w:val="BFA70935"/>
    <w:rsid w:val="BFA7C1C1"/>
    <w:rsid w:val="BFBF0A1E"/>
    <w:rsid w:val="BFCD9A12"/>
    <w:rsid w:val="BFCEF500"/>
    <w:rsid w:val="BFCFAEC4"/>
    <w:rsid w:val="BFDF9234"/>
    <w:rsid w:val="BFEFDB39"/>
    <w:rsid w:val="BFEFFF31"/>
    <w:rsid w:val="BFF70DA2"/>
    <w:rsid w:val="BFF7AAA3"/>
    <w:rsid w:val="BFFB34E6"/>
    <w:rsid w:val="BFFCD8C6"/>
    <w:rsid w:val="C2B3AA90"/>
    <w:rsid w:val="C6D80FDA"/>
    <w:rsid w:val="C777A013"/>
    <w:rsid w:val="C7BF28B6"/>
    <w:rsid w:val="C7C7525A"/>
    <w:rsid w:val="C7EF7AC2"/>
    <w:rsid w:val="C7EFD2DA"/>
    <w:rsid w:val="C7FE3C12"/>
    <w:rsid w:val="C7FF90EC"/>
    <w:rsid w:val="C83F2A2C"/>
    <w:rsid w:val="C9F799D3"/>
    <w:rsid w:val="CB7B54DB"/>
    <w:rsid w:val="CB7F1E88"/>
    <w:rsid w:val="CBE7E30F"/>
    <w:rsid w:val="CC7FBA9D"/>
    <w:rsid w:val="CD7F518B"/>
    <w:rsid w:val="CDBB563F"/>
    <w:rsid w:val="CDBF8A4C"/>
    <w:rsid w:val="CDDBDC43"/>
    <w:rsid w:val="CDE39437"/>
    <w:rsid w:val="CDF95DA1"/>
    <w:rsid w:val="CDFDBA4C"/>
    <w:rsid w:val="CDFF95D4"/>
    <w:rsid w:val="CE4F9897"/>
    <w:rsid w:val="CEEED3F4"/>
    <w:rsid w:val="CF3BB85C"/>
    <w:rsid w:val="CF3F0FF9"/>
    <w:rsid w:val="CF67B435"/>
    <w:rsid w:val="CF7201D8"/>
    <w:rsid w:val="CF7B3CD0"/>
    <w:rsid w:val="CF948F3A"/>
    <w:rsid w:val="CFD74CBC"/>
    <w:rsid w:val="CFEF6764"/>
    <w:rsid w:val="D0F63900"/>
    <w:rsid w:val="D37F0A78"/>
    <w:rsid w:val="D3FD1101"/>
    <w:rsid w:val="D6F7F89A"/>
    <w:rsid w:val="D74C01E3"/>
    <w:rsid w:val="D74E2157"/>
    <w:rsid w:val="D7736401"/>
    <w:rsid w:val="D78FC5BD"/>
    <w:rsid w:val="D7967813"/>
    <w:rsid w:val="D7FB1321"/>
    <w:rsid w:val="D95355DC"/>
    <w:rsid w:val="D9563576"/>
    <w:rsid w:val="D9B94CFB"/>
    <w:rsid w:val="D9D9D78D"/>
    <w:rsid w:val="DAFD0B28"/>
    <w:rsid w:val="DAFF4273"/>
    <w:rsid w:val="DB3F14B1"/>
    <w:rsid w:val="DB3F70BB"/>
    <w:rsid w:val="DB6EE402"/>
    <w:rsid w:val="DB7F39C8"/>
    <w:rsid w:val="DB7F5D76"/>
    <w:rsid w:val="DB7FF777"/>
    <w:rsid w:val="DBB930B3"/>
    <w:rsid w:val="DBCFE682"/>
    <w:rsid w:val="DBD7F733"/>
    <w:rsid w:val="DBE301DC"/>
    <w:rsid w:val="DBEDE729"/>
    <w:rsid w:val="DBEEA031"/>
    <w:rsid w:val="DBEF71C3"/>
    <w:rsid w:val="DC1E991C"/>
    <w:rsid w:val="DC5B7041"/>
    <w:rsid w:val="DC7FF158"/>
    <w:rsid w:val="DD12B043"/>
    <w:rsid w:val="DD3F77C8"/>
    <w:rsid w:val="DD666A4E"/>
    <w:rsid w:val="DD7171DA"/>
    <w:rsid w:val="DDBBFBD6"/>
    <w:rsid w:val="DDCFFA89"/>
    <w:rsid w:val="DDD34BDA"/>
    <w:rsid w:val="DDDC8493"/>
    <w:rsid w:val="DDDD9717"/>
    <w:rsid w:val="DDED20C6"/>
    <w:rsid w:val="DDF687C8"/>
    <w:rsid w:val="DDFB0648"/>
    <w:rsid w:val="DDFE3842"/>
    <w:rsid w:val="DE2E7055"/>
    <w:rsid w:val="DE797FAE"/>
    <w:rsid w:val="DE9882E9"/>
    <w:rsid w:val="DEDFC19B"/>
    <w:rsid w:val="DEED7C16"/>
    <w:rsid w:val="DEF5DFB4"/>
    <w:rsid w:val="DEF69AEB"/>
    <w:rsid w:val="DEF70319"/>
    <w:rsid w:val="DEFEAE05"/>
    <w:rsid w:val="DF1EB014"/>
    <w:rsid w:val="DF5BCED3"/>
    <w:rsid w:val="DF67164E"/>
    <w:rsid w:val="DF6BB574"/>
    <w:rsid w:val="DF7DA0E3"/>
    <w:rsid w:val="DF7E8C26"/>
    <w:rsid w:val="DF7F3A4E"/>
    <w:rsid w:val="DF9B3F12"/>
    <w:rsid w:val="DFAE8482"/>
    <w:rsid w:val="DFB36F8A"/>
    <w:rsid w:val="DFBF6249"/>
    <w:rsid w:val="DFBFF660"/>
    <w:rsid w:val="DFC706E9"/>
    <w:rsid w:val="DFD70EBC"/>
    <w:rsid w:val="DFDC8CCD"/>
    <w:rsid w:val="DFE7DCCB"/>
    <w:rsid w:val="DFE9ACF6"/>
    <w:rsid w:val="DFEC55F2"/>
    <w:rsid w:val="DFF38D1A"/>
    <w:rsid w:val="DFF73D16"/>
    <w:rsid w:val="DFF7A4EB"/>
    <w:rsid w:val="DFF9BE94"/>
    <w:rsid w:val="DFFE4A54"/>
    <w:rsid w:val="DFFF1FE4"/>
    <w:rsid w:val="DFFF31A9"/>
    <w:rsid w:val="DFFFC4FF"/>
    <w:rsid w:val="DFFFCF97"/>
    <w:rsid w:val="E4FEEE5C"/>
    <w:rsid w:val="E531528B"/>
    <w:rsid w:val="E5AF8698"/>
    <w:rsid w:val="E6DC1D3E"/>
    <w:rsid w:val="E72C3D34"/>
    <w:rsid w:val="E73BE257"/>
    <w:rsid w:val="E73EB3C3"/>
    <w:rsid w:val="E7B5DBEA"/>
    <w:rsid w:val="E7BFECFE"/>
    <w:rsid w:val="E7CF5F56"/>
    <w:rsid w:val="E7CF6A85"/>
    <w:rsid w:val="E7D2BE4D"/>
    <w:rsid w:val="E7FB1162"/>
    <w:rsid w:val="E7FD797A"/>
    <w:rsid w:val="E96F72B0"/>
    <w:rsid w:val="E9DA536A"/>
    <w:rsid w:val="E9FF04A2"/>
    <w:rsid w:val="E9FF5A32"/>
    <w:rsid w:val="EA170FEC"/>
    <w:rsid w:val="EA7ED10B"/>
    <w:rsid w:val="EADDD2C4"/>
    <w:rsid w:val="EAFBFB45"/>
    <w:rsid w:val="EB0FAA44"/>
    <w:rsid w:val="EB7EB115"/>
    <w:rsid w:val="EB7FF6DD"/>
    <w:rsid w:val="EBBF1EEF"/>
    <w:rsid w:val="EBDB2547"/>
    <w:rsid w:val="EBDD9EB1"/>
    <w:rsid w:val="EBE76C64"/>
    <w:rsid w:val="EBFBA462"/>
    <w:rsid w:val="EBFDDDE0"/>
    <w:rsid w:val="EBFEA20D"/>
    <w:rsid w:val="EBFF26F5"/>
    <w:rsid w:val="EBFF3414"/>
    <w:rsid w:val="ECF4549E"/>
    <w:rsid w:val="ED655D98"/>
    <w:rsid w:val="ED7F1742"/>
    <w:rsid w:val="ED9E34CE"/>
    <w:rsid w:val="EDBF5FB5"/>
    <w:rsid w:val="EDBFE2F5"/>
    <w:rsid w:val="EDDA06E0"/>
    <w:rsid w:val="EDECEA16"/>
    <w:rsid w:val="EDEFB51E"/>
    <w:rsid w:val="EDEFC104"/>
    <w:rsid w:val="EDF170B9"/>
    <w:rsid w:val="EE5C8DDC"/>
    <w:rsid w:val="EE5DAF9B"/>
    <w:rsid w:val="EE6F7B2F"/>
    <w:rsid w:val="EE777800"/>
    <w:rsid w:val="EEB509B6"/>
    <w:rsid w:val="EEBB6DCB"/>
    <w:rsid w:val="EEF48347"/>
    <w:rsid w:val="EEF7B0F5"/>
    <w:rsid w:val="EEFA8613"/>
    <w:rsid w:val="EEFB2A56"/>
    <w:rsid w:val="EEFECFF9"/>
    <w:rsid w:val="EF3A1CD8"/>
    <w:rsid w:val="EF5FA06D"/>
    <w:rsid w:val="EF5FF436"/>
    <w:rsid w:val="EF675AFD"/>
    <w:rsid w:val="EF6D4B9D"/>
    <w:rsid w:val="EF6E7AD3"/>
    <w:rsid w:val="EF6FD1FC"/>
    <w:rsid w:val="EF7A100D"/>
    <w:rsid w:val="EF7C9E82"/>
    <w:rsid w:val="EF7D9C79"/>
    <w:rsid w:val="EF7F544A"/>
    <w:rsid w:val="EF7FF1F3"/>
    <w:rsid w:val="EFABC7B1"/>
    <w:rsid w:val="EFB70EAA"/>
    <w:rsid w:val="EFBF8E35"/>
    <w:rsid w:val="EFCCA8C9"/>
    <w:rsid w:val="EFDF91CA"/>
    <w:rsid w:val="EFDFC62F"/>
    <w:rsid w:val="EFDFF5C5"/>
    <w:rsid w:val="EFE7B7E8"/>
    <w:rsid w:val="EFEC466B"/>
    <w:rsid w:val="EFED70F0"/>
    <w:rsid w:val="EFEE18FD"/>
    <w:rsid w:val="EFEF3CCE"/>
    <w:rsid w:val="EFF618D4"/>
    <w:rsid w:val="EFF62FB3"/>
    <w:rsid w:val="EFFB1760"/>
    <w:rsid w:val="EFFB8BE7"/>
    <w:rsid w:val="EFFCAF14"/>
    <w:rsid w:val="EFFDE2D5"/>
    <w:rsid w:val="EFFE443E"/>
    <w:rsid w:val="EFFEF1E6"/>
    <w:rsid w:val="EFFF3B4D"/>
    <w:rsid w:val="EFFF993D"/>
    <w:rsid w:val="EFFFD829"/>
    <w:rsid w:val="EFFFD90D"/>
    <w:rsid w:val="EFFFFBDF"/>
    <w:rsid w:val="F09F97C6"/>
    <w:rsid w:val="F0EF4240"/>
    <w:rsid w:val="F1BF610E"/>
    <w:rsid w:val="F1EB88E7"/>
    <w:rsid w:val="F2FAF78A"/>
    <w:rsid w:val="F2FB35C3"/>
    <w:rsid w:val="F2FF51C9"/>
    <w:rsid w:val="F2FF91BA"/>
    <w:rsid w:val="F36C277C"/>
    <w:rsid w:val="F36DC242"/>
    <w:rsid w:val="F3D77D82"/>
    <w:rsid w:val="F3DD5C11"/>
    <w:rsid w:val="F3DFE596"/>
    <w:rsid w:val="F3DFEC93"/>
    <w:rsid w:val="F3FD3B8E"/>
    <w:rsid w:val="F3FFE0D8"/>
    <w:rsid w:val="F46DAE28"/>
    <w:rsid w:val="F547799B"/>
    <w:rsid w:val="F566A8C3"/>
    <w:rsid w:val="F5BBB3B1"/>
    <w:rsid w:val="F5D7D1F8"/>
    <w:rsid w:val="F5DA2830"/>
    <w:rsid w:val="F5DB4229"/>
    <w:rsid w:val="F5DE9EE1"/>
    <w:rsid w:val="F5DF11BC"/>
    <w:rsid w:val="F5E334D4"/>
    <w:rsid w:val="F5E5661E"/>
    <w:rsid w:val="F5EE9D00"/>
    <w:rsid w:val="F5FE1E50"/>
    <w:rsid w:val="F5FE5D1E"/>
    <w:rsid w:val="F67F6A56"/>
    <w:rsid w:val="F6DB00C5"/>
    <w:rsid w:val="F6DE60A1"/>
    <w:rsid w:val="F6FE9C98"/>
    <w:rsid w:val="F6FF6B3C"/>
    <w:rsid w:val="F73F0688"/>
    <w:rsid w:val="F745779D"/>
    <w:rsid w:val="F747BEB0"/>
    <w:rsid w:val="F77FEFAF"/>
    <w:rsid w:val="F79D722C"/>
    <w:rsid w:val="F7A0D0F2"/>
    <w:rsid w:val="F7AF6013"/>
    <w:rsid w:val="F7BF64F4"/>
    <w:rsid w:val="F7BF6FF4"/>
    <w:rsid w:val="F7BFE983"/>
    <w:rsid w:val="F7C100F8"/>
    <w:rsid w:val="F7C3FA95"/>
    <w:rsid w:val="F7DDCC6E"/>
    <w:rsid w:val="F7EBE19E"/>
    <w:rsid w:val="F7EEC047"/>
    <w:rsid w:val="F7F71987"/>
    <w:rsid w:val="F7F7F577"/>
    <w:rsid w:val="F7FEAF68"/>
    <w:rsid w:val="F7FFF467"/>
    <w:rsid w:val="F86F1C3C"/>
    <w:rsid w:val="F8F70840"/>
    <w:rsid w:val="F8F7B3AD"/>
    <w:rsid w:val="F8FB9A90"/>
    <w:rsid w:val="F8FDC39A"/>
    <w:rsid w:val="F92D6231"/>
    <w:rsid w:val="F93FD6F6"/>
    <w:rsid w:val="F95A4B59"/>
    <w:rsid w:val="F9B380BD"/>
    <w:rsid w:val="F9BF9D8A"/>
    <w:rsid w:val="F9DF5013"/>
    <w:rsid w:val="F9ED2433"/>
    <w:rsid w:val="F9FD0C55"/>
    <w:rsid w:val="F9FF0CB6"/>
    <w:rsid w:val="FA3AE46C"/>
    <w:rsid w:val="FA5E5294"/>
    <w:rsid w:val="FA8F3A42"/>
    <w:rsid w:val="FA9F86F1"/>
    <w:rsid w:val="FADFD23D"/>
    <w:rsid w:val="FAF5316C"/>
    <w:rsid w:val="FB3851D7"/>
    <w:rsid w:val="FB39809E"/>
    <w:rsid w:val="FB528A0A"/>
    <w:rsid w:val="FB5E502A"/>
    <w:rsid w:val="FB7D69CF"/>
    <w:rsid w:val="FB7E20A8"/>
    <w:rsid w:val="FB8F88F4"/>
    <w:rsid w:val="FB991FD7"/>
    <w:rsid w:val="FB9D343D"/>
    <w:rsid w:val="FBB7EA8B"/>
    <w:rsid w:val="FBBC11D4"/>
    <w:rsid w:val="FBBD8ADF"/>
    <w:rsid w:val="FBBE3603"/>
    <w:rsid w:val="FBBE40DA"/>
    <w:rsid w:val="FBBF8323"/>
    <w:rsid w:val="FBCBFB3D"/>
    <w:rsid w:val="FBCF567C"/>
    <w:rsid w:val="FBD6E237"/>
    <w:rsid w:val="FBD78A87"/>
    <w:rsid w:val="FBD83E5F"/>
    <w:rsid w:val="FBDA93F4"/>
    <w:rsid w:val="FBEE18EA"/>
    <w:rsid w:val="FBEE6A6A"/>
    <w:rsid w:val="FBEFB8D2"/>
    <w:rsid w:val="FBF5B6BD"/>
    <w:rsid w:val="FBF6C188"/>
    <w:rsid w:val="FBF7DF96"/>
    <w:rsid w:val="FBFB1FF0"/>
    <w:rsid w:val="FBFDEC93"/>
    <w:rsid w:val="FBFF84B2"/>
    <w:rsid w:val="FC7C531A"/>
    <w:rsid w:val="FCCF5C58"/>
    <w:rsid w:val="FCEDADD4"/>
    <w:rsid w:val="FCEEBBEC"/>
    <w:rsid w:val="FCF6523C"/>
    <w:rsid w:val="FCF75422"/>
    <w:rsid w:val="FCFEEAB1"/>
    <w:rsid w:val="FCFF7D3F"/>
    <w:rsid w:val="FD1F5045"/>
    <w:rsid w:val="FD373DD1"/>
    <w:rsid w:val="FD375DCE"/>
    <w:rsid w:val="FD3F1077"/>
    <w:rsid w:val="FD5F3F4E"/>
    <w:rsid w:val="FD6F7D1E"/>
    <w:rsid w:val="FD7F134B"/>
    <w:rsid w:val="FD97CA2B"/>
    <w:rsid w:val="FDA2E008"/>
    <w:rsid w:val="FDAB017C"/>
    <w:rsid w:val="FDB19002"/>
    <w:rsid w:val="FDB7AE09"/>
    <w:rsid w:val="FDBEF64A"/>
    <w:rsid w:val="FDBFF595"/>
    <w:rsid w:val="FDD3D7CD"/>
    <w:rsid w:val="FDD792D4"/>
    <w:rsid w:val="FDE383AB"/>
    <w:rsid w:val="FDE5C826"/>
    <w:rsid w:val="FDEC5567"/>
    <w:rsid w:val="FDF10D50"/>
    <w:rsid w:val="FDF2FE68"/>
    <w:rsid w:val="FDFB2D1F"/>
    <w:rsid w:val="FDFB7B4E"/>
    <w:rsid w:val="FDFCD0B2"/>
    <w:rsid w:val="FDFE2414"/>
    <w:rsid w:val="FDFE5C03"/>
    <w:rsid w:val="FDFE6185"/>
    <w:rsid w:val="FDFEAAD4"/>
    <w:rsid w:val="FDFEC51D"/>
    <w:rsid w:val="FE3F4C07"/>
    <w:rsid w:val="FE3F967B"/>
    <w:rsid w:val="FE5BB765"/>
    <w:rsid w:val="FE76D556"/>
    <w:rsid w:val="FE7E3F49"/>
    <w:rsid w:val="FE7EB4FD"/>
    <w:rsid w:val="FE7ED124"/>
    <w:rsid w:val="FE7F2460"/>
    <w:rsid w:val="FE7F2785"/>
    <w:rsid w:val="FE7F288C"/>
    <w:rsid w:val="FE866C77"/>
    <w:rsid w:val="FEB939DF"/>
    <w:rsid w:val="FED7FF38"/>
    <w:rsid w:val="FEDBE90F"/>
    <w:rsid w:val="FEE7927F"/>
    <w:rsid w:val="FEEC3C29"/>
    <w:rsid w:val="FEEF1739"/>
    <w:rsid w:val="FEEF7922"/>
    <w:rsid w:val="FEEFA3D6"/>
    <w:rsid w:val="FEF52D03"/>
    <w:rsid w:val="FEFB5A6E"/>
    <w:rsid w:val="FEFF7253"/>
    <w:rsid w:val="FEFFA50D"/>
    <w:rsid w:val="FF03160D"/>
    <w:rsid w:val="FF09AA4B"/>
    <w:rsid w:val="FF379565"/>
    <w:rsid w:val="FF3B16FC"/>
    <w:rsid w:val="FF3DF1C9"/>
    <w:rsid w:val="FF3F8FA6"/>
    <w:rsid w:val="FF4F0E2C"/>
    <w:rsid w:val="FF5748AF"/>
    <w:rsid w:val="FF5D1BFC"/>
    <w:rsid w:val="FF6BA1D5"/>
    <w:rsid w:val="FF714ED0"/>
    <w:rsid w:val="FF771FEF"/>
    <w:rsid w:val="FF791533"/>
    <w:rsid w:val="FF7B632D"/>
    <w:rsid w:val="FF7CB986"/>
    <w:rsid w:val="FF7E9200"/>
    <w:rsid w:val="FF7F7AE4"/>
    <w:rsid w:val="FF7FAB38"/>
    <w:rsid w:val="FF7FC06C"/>
    <w:rsid w:val="FF7FC7A5"/>
    <w:rsid w:val="FF854597"/>
    <w:rsid w:val="FF87B19E"/>
    <w:rsid w:val="FF8D31A4"/>
    <w:rsid w:val="FFA19105"/>
    <w:rsid w:val="FFADE3BD"/>
    <w:rsid w:val="FFAF9A00"/>
    <w:rsid w:val="FFAFF611"/>
    <w:rsid w:val="FFB62F9A"/>
    <w:rsid w:val="FFB6DB3A"/>
    <w:rsid w:val="FFB95E66"/>
    <w:rsid w:val="FFBBC6C0"/>
    <w:rsid w:val="FFBD79F9"/>
    <w:rsid w:val="FFBEB4F0"/>
    <w:rsid w:val="FFBF66CF"/>
    <w:rsid w:val="FFBFD8D6"/>
    <w:rsid w:val="FFCD3FA3"/>
    <w:rsid w:val="FFCFAD4C"/>
    <w:rsid w:val="FFD38CEF"/>
    <w:rsid w:val="FFD7DF9B"/>
    <w:rsid w:val="FFDD00CF"/>
    <w:rsid w:val="FFDD1C9A"/>
    <w:rsid w:val="FFDEA10D"/>
    <w:rsid w:val="FFDFA14D"/>
    <w:rsid w:val="FFEF0A6C"/>
    <w:rsid w:val="FFEF8087"/>
    <w:rsid w:val="FFF1EFC0"/>
    <w:rsid w:val="FFF204A5"/>
    <w:rsid w:val="FFF290D3"/>
    <w:rsid w:val="FFF5C267"/>
    <w:rsid w:val="FFF78857"/>
    <w:rsid w:val="FFF7C43A"/>
    <w:rsid w:val="FFF8C974"/>
    <w:rsid w:val="FFF99E68"/>
    <w:rsid w:val="FFF9A55F"/>
    <w:rsid w:val="FFFA1A32"/>
    <w:rsid w:val="FFFB2B4E"/>
    <w:rsid w:val="FFFBE772"/>
    <w:rsid w:val="FFFCA189"/>
    <w:rsid w:val="FFFD2DCE"/>
    <w:rsid w:val="FFFD3209"/>
    <w:rsid w:val="FFFDC55C"/>
    <w:rsid w:val="FFFE1F9B"/>
    <w:rsid w:val="FFFE3710"/>
    <w:rsid w:val="FFFEA44B"/>
    <w:rsid w:val="FFFF1A25"/>
    <w:rsid w:val="FFFF1CC8"/>
    <w:rsid w:val="FFFF21A4"/>
    <w:rsid w:val="FFFF55DC"/>
    <w:rsid w:val="FFFF7130"/>
    <w:rsid w:val="FFFF8999"/>
    <w:rsid w:val="FFFF8FFE"/>
    <w:rsid w:val="FFFFC12B"/>
    <w:rsid w:val="FFFFC208"/>
    <w:rsid w:val="FFFFE3B7"/>
    <w:rsid w:val="FFFFEB24"/>
    <w:rsid w:val="FFFFF5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Body Text 2"/>
    <w:basedOn w:val="1"/>
    <w:qFormat/>
    <w:uiPriority w:val="0"/>
    <w:pPr>
      <w:spacing w:after="120" w:line="480" w:lineRule="auto"/>
    </w:pPr>
  </w:style>
  <w:style w:type="paragraph" w:styleId="4">
    <w:name w:val="table of authorities"/>
    <w:basedOn w:val="1"/>
    <w:next w:val="1"/>
    <w:qFormat/>
    <w:uiPriority w:val="0"/>
    <w:pPr>
      <w:ind w:left="420" w:leftChars="200"/>
    </w:pPr>
    <w:rPr>
      <w:rFonts w:ascii="Times New Roman" w:hAnsi="Times New Roman" w:cs="Times New Roman"/>
      <w:szCs w:val="21"/>
    </w:rPr>
  </w:style>
  <w:style w:type="paragraph" w:styleId="5">
    <w:name w:val="Normal Indent"/>
    <w:basedOn w:val="1"/>
    <w:qFormat/>
    <w:uiPriority w:val="0"/>
    <w:pPr>
      <w:ind w:firstLine="420"/>
    </w:pPr>
    <w:rPr>
      <w:szCs w:val="20"/>
    </w:rPr>
  </w:style>
  <w:style w:type="paragraph" w:styleId="6">
    <w:name w:val="annotation text"/>
    <w:basedOn w:val="1"/>
    <w:unhideWhenUsed/>
    <w:qFormat/>
    <w:uiPriority w:val="0"/>
    <w:pPr>
      <w:jc w:val="left"/>
    </w:pPr>
  </w:style>
  <w:style w:type="paragraph" w:styleId="7">
    <w:name w:val="Body Text Indent"/>
    <w:basedOn w:val="1"/>
    <w:next w:val="8"/>
    <w:qFormat/>
    <w:uiPriority w:val="0"/>
    <w:pPr>
      <w:spacing w:after="120" w:afterLines="0"/>
      <w:ind w:left="420" w:leftChars="200"/>
    </w:pPr>
  </w:style>
  <w:style w:type="paragraph" w:styleId="8">
    <w:name w:val="envelope return"/>
    <w:basedOn w:val="1"/>
    <w:qFormat/>
    <w:uiPriority w:val="0"/>
    <w:pPr>
      <w:snapToGrid w:val="0"/>
    </w:pPr>
    <w:rPr>
      <w:rFonts w:ascii="Arial" w:hAnsi="Arial" w:cs="Arial"/>
    </w:rPr>
  </w:style>
  <w:style w:type="paragraph" w:styleId="9">
    <w:name w:val="Plain Text"/>
    <w:basedOn w:val="1"/>
    <w:qFormat/>
    <w:uiPriority w:val="0"/>
    <w:rPr>
      <w:rFonts w:ascii="宋体" w:hAnsi="Courier New"/>
      <w:kern w:val="0"/>
      <w:sz w:val="20"/>
      <w:szCs w:val="21"/>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Normal (Web)"/>
    <w:basedOn w:val="1"/>
    <w:next w:val="1"/>
    <w:qFormat/>
    <w:uiPriority w:val="0"/>
    <w:pPr>
      <w:spacing w:before="100" w:beforeLines="0" w:beforeAutospacing="1" w:after="100" w:afterLines="0" w:afterAutospacing="1"/>
      <w:jc w:val="left"/>
    </w:pPr>
    <w:rPr>
      <w:rFonts w:ascii="Calibri" w:hAnsi="Calibri"/>
      <w:kern w:val="0"/>
      <w:sz w:val="24"/>
    </w:rPr>
  </w:style>
  <w:style w:type="paragraph" w:styleId="13">
    <w:name w:val="Title"/>
    <w:basedOn w:val="1"/>
    <w:next w:val="1"/>
    <w:qFormat/>
    <w:uiPriority w:val="99"/>
    <w:pPr>
      <w:spacing w:line="560" w:lineRule="exact"/>
      <w:jc w:val="center"/>
      <w:outlineLvl w:val="0"/>
    </w:pPr>
    <w:rPr>
      <w:rFonts w:ascii="方正小标宋简体" w:hAnsi="方正小标宋简体" w:eastAsia="方正小标宋简体"/>
      <w:sz w:val="44"/>
    </w:rPr>
  </w:style>
  <w:style w:type="paragraph" w:styleId="14">
    <w:name w:val="Body Text First Indent"/>
    <w:basedOn w:val="2"/>
    <w:qFormat/>
    <w:uiPriority w:val="0"/>
    <w:pPr>
      <w:ind w:firstLine="420" w:firstLineChars="100"/>
    </w:pPr>
  </w:style>
  <w:style w:type="paragraph" w:styleId="15">
    <w:name w:val="Body Text First Indent 2"/>
    <w:basedOn w:val="7"/>
    <w:next w:val="1"/>
    <w:qFormat/>
    <w:uiPriority w:val="0"/>
    <w:pPr>
      <w:spacing w:line="560" w:lineRule="exact"/>
      <w:ind w:firstLine="420" w:firstLineChars="200"/>
    </w:pPr>
    <w:rPr>
      <w:rFonts w:ascii="Times New Roman" w:eastAsia="宋体"/>
      <w:szCs w:val="20"/>
    </w:rPr>
  </w:style>
  <w:style w:type="table" w:styleId="17">
    <w:name w:val="Table Grid"/>
    <w:basedOn w:val="1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9">
    <w:name w:val="Strong"/>
    <w:basedOn w:val="18"/>
    <w:qFormat/>
    <w:uiPriority w:val="0"/>
    <w:rPr>
      <w:b/>
    </w:rPr>
  </w:style>
  <w:style w:type="character" w:styleId="20">
    <w:name w:val="FollowedHyperlink"/>
    <w:basedOn w:val="18"/>
    <w:qFormat/>
    <w:uiPriority w:val="0"/>
    <w:rPr>
      <w:color w:val="231816"/>
      <w:u w:val="none"/>
    </w:rPr>
  </w:style>
  <w:style w:type="character" w:styleId="21">
    <w:name w:val="Emphasis"/>
    <w:basedOn w:val="18"/>
    <w:qFormat/>
    <w:uiPriority w:val="0"/>
  </w:style>
  <w:style w:type="character" w:styleId="22">
    <w:name w:val="Hyperlink"/>
    <w:basedOn w:val="18"/>
    <w:qFormat/>
    <w:uiPriority w:val="0"/>
    <w:rPr>
      <w:rFonts w:ascii="微软雅黑" w:hAnsi="微软雅黑" w:eastAsia="微软雅黑" w:cs="微软雅黑"/>
      <w:color w:val="3E3E3E"/>
      <w:sz w:val="21"/>
      <w:szCs w:val="21"/>
      <w:u w:val="none"/>
    </w:rPr>
  </w:style>
  <w:style w:type="paragraph" w:customStyle="1" w:styleId="23">
    <w:name w:val="Default"/>
    <w:unhideWhenUsed/>
    <w:qFormat/>
    <w:uiPriority w:val="99"/>
    <w:pPr>
      <w:widowControl w:val="0"/>
      <w:autoSpaceDE w:val="0"/>
      <w:autoSpaceDN w:val="0"/>
      <w:spacing w:beforeLines="0" w:afterLines="0"/>
    </w:pPr>
    <w:rPr>
      <w:rFonts w:hint="eastAsia" w:ascii="宋体" w:hAnsi="宋体" w:eastAsia="宋体" w:cs="Times New Roman"/>
      <w:color w:val="000000"/>
      <w:sz w:val="24"/>
      <w:szCs w:val="22"/>
      <w:lang w:val="en-US" w:eastAsia="zh-CN" w:bidi="ar-SA"/>
    </w:rPr>
  </w:style>
  <w:style w:type="paragraph" w:customStyle="1" w:styleId="24">
    <w:name w:val="正文首行缩进 21"/>
    <w:basedOn w:val="25"/>
    <w:next w:val="12"/>
    <w:qFormat/>
    <w:uiPriority w:val="0"/>
    <w:pPr>
      <w:ind w:left="200" w:leftChars="200"/>
    </w:pPr>
    <w:rPr>
      <w:rFonts w:eastAsia="仿宋_GB2312"/>
      <w:sz w:val="32"/>
      <w:szCs w:val="32"/>
    </w:rPr>
  </w:style>
  <w:style w:type="paragraph" w:customStyle="1" w:styleId="25">
    <w:name w:val="正文文本缩进1"/>
    <w:basedOn w:val="1"/>
    <w:qFormat/>
    <w:uiPriority w:val="0"/>
    <w:pPr>
      <w:ind w:left="200" w:leftChars="200"/>
    </w:pPr>
  </w:style>
  <w:style w:type="character" w:customStyle="1" w:styleId="26">
    <w:name w:val="before"/>
    <w:basedOn w:val="18"/>
    <w:qFormat/>
    <w:uiPriority w:val="0"/>
  </w:style>
  <w:style w:type="character" w:customStyle="1" w:styleId="27">
    <w:name w:val="before1"/>
    <w:basedOn w:val="18"/>
    <w:qFormat/>
    <w:uiPriority w:val="0"/>
  </w:style>
  <w:style w:type="character" w:customStyle="1" w:styleId="28">
    <w:name w:val="before2"/>
    <w:basedOn w:val="18"/>
    <w:qFormat/>
    <w:uiPriority w:val="0"/>
  </w:style>
  <w:style w:type="character" w:customStyle="1" w:styleId="29">
    <w:name w:val="active6"/>
    <w:basedOn w:val="18"/>
    <w:qFormat/>
    <w:uiPriority w:val="0"/>
    <w:rPr>
      <w:color w:val="FFFFFF"/>
    </w:rPr>
  </w:style>
  <w:style w:type="character" w:customStyle="1" w:styleId="30">
    <w:name w:val="active"/>
    <w:basedOn w:val="18"/>
    <w:qFormat/>
    <w:uiPriority w:val="0"/>
    <w:rPr>
      <w:color w:val="FFFFFF"/>
    </w:rPr>
  </w:style>
  <w:style w:type="character" w:customStyle="1" w:styleId="31">
    <w:name w:val="active5"/>
    <w:basedOn w:val="18"/>
    <w:qFormat/>
    <w:uiPriority w:val="0"/>
    <w:rPr>
      <w:color w:val="FFFFFF"/>
    </w:rPr>
  </w:style>
  <w:style w:type="character" w:customStyle="1" w:styleId="32">
    <w:name w:val="active4"/>
    <w:basedOn w:val="18"/>
    <w:qFormat/>
    <w:uiPriority w:val="0"/>
    <w:rPr>
      <w:color w:val="FFFFFF"/>
    </w:rPr>
  </w:style>
  <w:style w:type="character" w:customStyle="1" w:styleId="33">
    <w:name w:val="layui-layer-tabnow"/>
    <w:basedOn w:val="18"/>
    <w:qFormat/>
    <w:uiPriority w:val="0"/>
    <w:rPr>
      <w:bdr w:val="single" w:color="CCCCCC" w:sz="6" w:space="0"/>
      <w:shd w:val="clear" w:fill="FFFFFF"/>
    </w:rPr>
  </w:style>
  <w:style w:type="character" w:customStyle="1" w:styleId="34">
    <w:name w:val="first-child6"/>
    <w:basedOn w:val="18"/>
    <w:qFormat/>
    <w:uiPriority w:val="0"/>
  </w:style>
  <w:style w:type="paragraph" w:customStyle="1" w:styleId="35">
    <w:name w:val="表"/>
    <w:basedOn w:val="1"/>
    <w:next w:val="1"/>
    <w:qFormat/>
    <w:uiPriority w:val="7"/>
    <w:pPr>
      <w:spacing w:line="240" w:lineRule="auto"/>
      <w:ind w:firstLine="0" w:firstLineChars="0"/>
      <w:jc w:val="center"/>
    </w:pPr>
    <w:rPr>
      <w:rFonts w:ascii="Times New Roman" w:hAnsi="Times New Roman" w:eastAsia="宋体"/>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a3e8455b-a984-4bd5-8388-56fd52a65c7c}">
  <ds:schemaRefs/>
</ds:datastoreItem>
</file>

<file path=docProps/app.xml><?xml version="1.0" encoding="utf-8"?>
<Properties xmlns="http://schemas.openxmlformats.org/officeDocument/2006/extended-properties" xmlns:vt="http://schemas.openxmlformats.org/officeDocument/2006/docPropsVTypes">
  <Template>Normal.dotm</Template>
  <Pages>5</Pages>
  <Words>2400</Words>
  <Characters>2744</Characters>
  <Lines>1</Lines>
  <Paragraphs>1</Paragraphs>
  <TotalTime>28</TotalTime>
  <ScaleCrop>false</ScaleCrop>
  <LinksUpToDate>false</LinksUpToDate>
  <CharactersWithSpaces>2926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2014-11-30T12:08:00Z</dcterms:created>
  <dc:creator>Administrator</dc:creator>
  <cp:lastModifiedBy>淡定</cp:lastModifiedBy>
  <cp:lastPrinted>2026-09-22T01:21:00Z</cp:lastPrinted>
  <dcterms:modified xsi:type="dcterms:W3CDTF">2026-09-24T09:03:03Z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152B683494B64EE4A992FDCB6B5FF6DC_13</vt:lpwstr>
  </property>
  <property fmtid="{D5CDD505-2E9C-101B-9397-08002B2CF9AE}" pid="4" name="KSOTemplateDocerSaveRecord">
    <vt:lpwstr>eyJoZGlkIjoiOTJkYTY3Y2FiMzRjZWY5MzA3M2FlZWM5ZWNjNWVjM2UiLCJ1c2VySWQiOiIzNDI3NTg4OTEifQ==</vt:lpwstr>
  </property>
</Properties>
</file>