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B208C4">
      <w:pPr>
        <w:adjustRightInd w:val="0"/>
        <w:snapToGrid w:val="0"/>
        <w:spacing w:line="288" w:lineRule="auto"/>
        <w:jc w:val="center"/>
        <w:rPr>
          <w:rFonts w:hint="eastAsia" w:ascii="楷体_GB2312" w:eastAsia="楷体_GB2312"/>
          <w:color w:val="auto"/>
          <w:sz w:val="36"/>
          <w:szCs w:val="36"/>
          <w:highlight w:val="none"/>
          <w:lang w:eastAsia="zh-CN"/>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eastAsia" w:ascii="楷体_GB2312" w:eastAsia="楷体_GB2312"/>
          <w:color w:val="auto"/>
          <w:sz w:val="36"/>
          <w:szCs w:val="36"/>
          <w:highlight w:val="none"/>
          <w:lang w:eastAsia="zh-CN"/>
        </w:rPr>
        <w:drawing>
          <wp:anchor distT="0" distB="0" distL="114300" distR="114300" simplePos="0" relativeHeight="251665408" behindDoc="1" locked="0" layoutInCell="1" allowOverlap="1">
            <wp:simplePos x="0" y="0"/>
            <wp:positionH relativeFrom="column">
              <wp:posOffset>-702310</wp:posOffset>
            </wp:positionH>
            <wp:positionV relativeFrom="paragraph">
              <wp:posOffset>-622935</wp:posOffset>
            </wp:positionV>
            <wp:extent cx="6965950" cy="9288145"/>
            <wp:effectExtent l="0" t="0" r="6350" b="8255"/>
            <wp:wrapNone/>
            <wp:docPr id="17" name="图片 17" descr="扫描件_260916_154737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扫描件_260916_154737_02"/>
                    <pic:cNvPicPr>
                      <a:picLocks noChangeAspect="1"/>
                    </pic:cNvPicPr>
                  </pic:nvPicPr>
                  <pic:blipFill>
                    <a:blip r:embed="rId8"/>
                    <a:stretch>
                      <a:fillRect/>
                    </a:stretch>
                  </pic:blipFill>
                  <pic:spPr>
                    <a:xfrm>
                      <a:off x="0" y="0"/>
                      <a:ext cx="6965950" cy="9288145"/>
                    </a:xfrm>
                    <a:prstGeom prst="rect">
                      <a:avLst/>
                    </a:prstGeom>
                  </pic:spPr>
                </pic:pic>
              </a:graphicData>
            </a:graphic>
          </wp:anchor>
        </w:drawing>
      </w:r>
    </w:p>
    <w:p w14:paraId="731D8452">
      <w:pPr>
        <w:adjustRightInd w:val="0"/>
        <w:snapToGrid w:val="0"/>
        <w:spacing w:line="288" w:lineRule="auto"/>
        <w:jc w:val="center"/>
        <w:rPr>
          <w:rFonts w:hint="eastAsia" w:ascii="楷体_GB2312" w:eastAsia="楷体_GB2312"/>
          <w:color w:val="auto"/>
          <w:sz w:val="36"/>
          <w:szCs w:val="36"/>
          <w:highlight w:val="none"/>
          <w:lang w:eastAsia="zh-CN"/>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eastAsia" w:ascii="楷体_GB2312" w:eastAsia="楷体_GB2312"/>
          <w:color w:val="auto"/>
          <w:sz w:val="36"/>
          <w:szCs w:val="36"/>
          <w:highlight w:val="none"/>
          <w:lang w:eastAsia="zh-CN"/>
        </w:rPr>
        <w:drawing>
          <wp:anchor distT="0" distB="0" distL="114300" distR="114300" simplePos="0" relativeHeight="251662336" behindDoc="1" locked="0" layoutInCell="1" allowOverlap="1">
            <wp:simplePos x="0" y="0"/>
            <wp:positionH relativeFrom="column">
              <wp:posOffset>-641985</wp:posOffset>
            </wp:positionH>
            <wp:positionV relativeFrom="paragraph">
              <wp:posOffset>-701675</wp:posOffset>
            </wp:positionV>
            <wp:extent cx="6715760" cy="9497060"/>
            <wp:effectExtent l="0" t="0" r="8890" b="8890"/>
            <wp:wrapNone/>
            <wp:docPr id="25" name="图片 25" descr="2026091604134076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20260916041340761_01"/>
                    <pic:cNvPicPr>
                      <a:picLocks noChangeAspect="1"/>
                    </pic:cNvPicPr>
                  </pic:nvPicPr>
                  <pic:blipFill>
                    <a:blip r:embed="rId9"/>
                    <a:stretch>
                      <a:fillRect/>
                    </a:stretch>
                  </pic:blipFill>
                  <pic:spPr>
                    <a:xfrm>
                      <a:off x="0" y="0"/>
                      <a:ext cx="6715760" cy="9497060"/>
                    </a:xfrm>
                    <a:prstGeom prst="rect">
                      <a:avLst/>
                    </a:prstGeom>
                  </pic:spPr>
                </pic:pic>
              </a:graphicData>
            </a:graphic>
          </wp:anchor>
        </w:drawing>
      </w:r>
    </w:p>
    <w:p w14:paraId="70C35FF0">
      <w:pPr>
        <w:adjustRightInd w:val="0"/>
        <w:snapToGrid w:val="0"/>
        <w:spacing w:line="288" w:lineRule="auto"/>
        <w:jc w:val="center"/>
        <w:rPr>
          <w:rFonts w:hint="eastAsia" w:ascii="楷体_GB2312" w:eastAsia="楷体_GB2312"/>
          <w:color w:val="auto"/>
          <w:sz w:val="36"/>
          <w:szCs w:val="36"/>
          <w:highlight w:val="none"/>
          <w:lang w:eastAsia="zh-CN"/>
        </w:rPr>
        <w:sectPr>
          <w:pgSz w:w="16838" w:h="11906" w:orient="landscape"/>
          <w:pgMar w:top="1531" w:right="1701" w:bottom="1531" w:left="170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eastAsia" w:ascii="楷体_GB2312" w:eastAsia="楷体_GB2312"/>
          <w:color w:val="auto"/>
          <w:sz w:val="36"/>
          <w:szCs w:val="36"/>
          <w:highlight w:val="none"/>
          <w:lang w:eastAsia="zh-CN"/>
        </w:rPr>
        <w:drawing>
          <wp:anchor distT="0" distB="0" distL="114300" distR="114300" simplePos="0" relativeHeight="251664384" behindDoc="1" locked="0" layoutInCell="1" allowOverlap="1">
            <wp:simplePos x="0" y="0"/>
            <wp:positionH relativeFrom="column">
              <wp:posOffset>-268605</wp:posOffset>
            </wp:positionH>
            <wp:positionV relativeFrom="paragraph">
              <wp:posOffset>-657860</wp:posOffset>
            </wp:positionV>
            <wp:extent cx="9079865" cy="6419850"/>
            <wp:effectExtent l="0" t="0" r="6985" b="0"/>
            <wp:wrapNone/>
            <wp:docPr id="20" name="图片 20" descr="工程师证（王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工程师证（王君）"/>
                    <pic:cNvPicPr>
                      <a:picLocks noChangeAspect="1"/>
                    </pic:cNvPicPr>
                  </pic:nvPicPr>
                  <pic:blipFill>
                    <a:blip r:embed="rId10"/>
                    <a:stretch>
                      <a:fillRect/>
                    </a:stretch>
                  </pic:blipFill>
                  <pic:spPr>
                    <a:xfrm>
                      <a:off x="0" y="0"/>
                      <a:ext cx="9079865" cy="6419850"/>
                    </a:xfrm>
                    <a:prstGeom prst="rect">
                      <a:avLst/>
                    </a:prstGeom>
                  </pic:spPr>
                </pic:pic>
              </a:graphicData>
            </a:graphic>
          </wp:anchor>
        </w:drawing>
      </w:r>
    </w:p>
    <w:p w14:paraId="081ABFCF">
      <w:pPr>
        <w:adjustRightInd w:val="0"/>
        <w:snapToGrid w:val="0"/>
        <w:spacing w:line="288" w:lineRule="auto"/>
        <w:jc w:val="center"/>
        <w:rPr>
          <w:rFonts w:hint="eastAsia" w:ascii="楷体_GB2312" w:eastAsia="楷体_GB2312"/>
          <w:color w:val="auto"/>
          <w:sz w:val="36"/>
          <w:szCs w:val="36"/>
          <w:highlight w:val="none"/>
          <w:lang w:eastAsia="zh-CN"/>
        </w:rPr>
      </w:pPr>
      <w:r>
        <w:rPr>
          <w:rFonts w:hint="eastAsia" w:ascii="楷体_GB2312" w:eastAsia="楷体_GB2312"/>
          <w:color w:val="auto"/>
          <w:sz w:val="36"/>
          <w:szCs w:val="36"/>
          <w:highlight w:val="none"/>
          <w:lang w:eastAsia="zh-CN"/>
        </w:rPr>
        <w:drawing>
          <wp:anchor distT="0" distB="0" distL="114300" distR="114300" simplePos="0" relativeHeight="251664384" behindDoc="1" locked="0" layoutInCell="1" allowOverlap="1">
            <wp:simplePos x="0" y="0"/>
            <wp:positionH relativeFrom="column">
              <wp:posOffset>-693420</wp:posOffset>
            </wp:positionH>
            <wp:positionV relativeFrom="paragraph">
              <wp:posOffset>-675640</wp:posOffset>
            </wp:positionV>
            <wp:extent cx="9770110" cy="6908800"/>
            <wp:effectExtent l="0" t="0" r="2540" b="6350"/>
            <wp:wrapNone/>
            <wp:docPr id="21" name="图片 21" descr="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营业执照"/>
                    <pic:cNvPicPr>
                      <a:picLocks noChangeAspect="1"/>
                    </pic:cNvPicPr>
                  </pic:nvPicPr>
                  <pic:blipFill>
                    <a:blip r:embed="rId11"/>
                    <a:stretch>
                      <a:fillRect/>
                    </a:stretch>
                  </pic:blipFill>
                  <pic:spPr>
                    <a:xfrm>
                      <a:off x="0" y="0"/>
                      <a:ext cx="9770110" cy="6908800"/>
                    </a:xfrm>
                    <a:prstGeom prst="rect">
                      <a:avLst/>
                    </a:prstGeom>
                  </pic:spPr>
                </pic:pic>
              </a:graphicData>
            </a:graphic>
          </wp:anchor>
        </w:drawing>
      </w:r>
    </w:p>
    <w:p w14:paraId="3F2F247D">
      <w:pPr>
        <w:adjustRightInd w:val="0"/>
        <w:snapToGrid w:val="0"/>
        <w:spacing w:line="288" w:lineRule="auto"/>
        <w:ind w:firstLine="1040"/>
        <w:rPr>
          <w:rFonts w:ascii="仿宋_GB2312" w:eastAsia="仿宋_GB2312"/>
          <w:color w:val="auto"/>
          <w:sz w:val="36"/>
          <w:szCs w:val="36"/>
          <w:highlight w:val="none"/>
        </w:rPr>
        <w:sectPr>
          <w:pgSz w:w="16838" w:h="11906" w:orient="landscape"/>
          <w:pgMar w:top="1531" w:right="1701" w:bottom="1531" w:left="1701" w:header="851" w:footer="1077" w:gutter="0"/>
          <w:pgBorders>
            <w:top w:val="none" w:sz="0" w:space="0"/>
            <w:left w:val="none" w:sz="0" w:space="0"/>
            <w:bottom w:val="none" w:sz="0" w:space="0"/>
            <w:right w:val="none" w:sz="0" w:space="0"/>
          </w:pgBorders>
          <w:pgNumType w:start="3"/>
          <w:cols w:space="720" w:num="1"/>
          <w:docGrid w:linePitch="312" w:charSpace="0"/>
        </w:sectPr>
      </w:pPr>
    </w:p>
    <w:p w14:paraId="2A3B1985">
      <w:pPr>
        <w:adjustRightInd w:val="0"/>
        <w:snapToGrid w:val="0"/>
        <w:spacing w:line="288" w:lineRule="auto"/>
        <w:rPr>
          <w:rFonts w:hint="eastAsia" w:ascii="仿宋_GB2312" w:eastAsia="仿宋_GB2312"/>
          <w:color w:val="auto"/>
          <w:sz w:val="36"/>
          <w:szCs w:val="36"/>
          <w:highlight w:val="none"/>
          <w:lang w:eastAsia="zh-CN"/>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eastAsia" w:ascii="仿宋_GB2312" w:eastAsia="仿宋_GB2312"/>
          <w:color w:val="auto"/>
          <w:sz w:val="36"/>
          <w:szCs w:val="36"/>
          <w:highlight w:val="none"/>
          <w:lang w:eastAsia="zh-CN"/>
        </w:rPr>
        <w:drawing>
          <wp:anchor distT="0" distB="0" distL="114300" distR="114300" simplePos="0" relativeHeight="251664384" behindDoc="1" locked="0" layoutInCell="1" allowOverlap="1">
            <wp:simplePos x="0" y="0"/>
            <wp:positionH relativeFrom="column">
              <wp:posOffset>-692785</wp:posOffset>
            </wp:positionH>
            <wp:positionV relativeFrom="paragraph">
              <wp:posOffset>-796925</wp:posOffset>
            </wp:positionV>
            <wp:extent cx="6838950" cy="9680575"/>
            <wp:effectExtent l="0" t="0" r="0" b="15875"/>
            <wp:wrapNone/>
            <wp:docPr id="22" name="图片 22" descr="太原市社会保险个人社保参保证明（王君）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太原市社会保险个人社保参保证明（王君）_01"/>
                    <pic:cNvPicPr>
                      <a:picLocks noChangeAspect="1"/>
                    </pic:cNvPicPr>
                  </pic:nvPicPr>
                  <pic:blipFill>
                    <a:blip r:embed="rId12"/>
                    <a:stretch>
                      <a:fillRect/>
                    </a:stretch>
                  </pic:blipFill>
                  <pic:spPr>
                    <a:xfrm>
                      <a:off x="0" y="0"/>
                      <a:ext cx="6838950" cy="9680575"/>
                    </a:xfrm>
                    <a:prstGeom prst="rect">
                      <a:avLst/>
                    </a:prstGeom>
                  </pic:spPr>
                </pic:pic>
              </a:graphicData>
            </a:graphic>
          </wp:anchor>
        </w:drawing>
      </w:r>
    </w:p>
    <w:p w14:paraId="2F9FEAEA">
      <w:pPr>
        <w:adjustRightInd w:val="0"/>
        <w:snapToGrid w:val="0"/>
        <w:spacing w:line="288" w:lineRule="auto"/>
        <w:rPr>
          <w:rFonts w:hint="eastAsia" w:ascii="仿宋_GB2312" w:eastAsia="仿宋_GB2312"/>
          <w:color w:val="auto"/>
          <w:sz w:val="36"/>
          <w:szCs w:val="36"/>
          <w:highlight w:val="none"/>
          <w:lang w:eastAsia="zh-CN"/>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eastAsia" w:ascii="仿宋_GB2312" w:eastAsia="仿宋_GB2312"/>
          <w:color w:val="auto"/>
          <w:sz w:val="36"/>
          <w:szCs w:val="36"/>
          <w:highlight w:val="none"/>
          <w:lang w:eastAsia="zh-CN"/>
        </w:rPr>
        <w:drawing>
          <wp:anchor distT="0" distB="0" distL="114300" distR="114300" simplePos="0" relativeHeight="251664384" behindDoc="1" locked="0" layoutInCell="1" allowOverlap="1">
            <wp:simplePos x="0" y="0"/>
            <wp:positionH relativeFrom="column">
              <wp:posOffset>-596265</wp:posOffset>
            </wp:positionH>
            <wp:positionV relativeFrom="paragraph">
              <wp:posOffset>-784225</wp:posOffset>
            </wp:positionV>
            <wp:extent cx="6819265" cy="9643745"/>
            <wp:effectExtent l="0" t="0" r="635" b="14605"/>
            <wp:wrapNone/>
            <wp:docPr id="23" name="图片 23" descr="修改说明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修改说明_01"/>
                    <pic:cNvPicPr>
                      <a:picLocks noChangeAspect="1"/>
                    </pic:cNvPicPr>
                  </pic:nvPicPr>
                  <pic:blipFill>
                    <a:blip r:embed="rId13"/>
                    <a:stretch>
                      <a:fillRect/>
                    </a:stretch>
                  </pic:blipFill>
                  <pic:spPr>
                    <a:xfrm rot="10800000">
                      <a:off x="0" y="0"/>
                      <a:ext cx="6819265" cy="9643745"/>
                    </a:xfrm>
                    <a:prstGeom prst="rect">
                      <a:avLst/>
                    </a:prstGeom>
                  </pic:spPr>
                </pic:pic>
              </a:graphicData>
            </a:graphic>
          </wp:anchor>
        </w:drawing>
      </w:r>
    </w:p>
    <w:p w14:paraId="5C025DCF">
      <w:pPr>
        <w:adjustRightInd w:val="0"/>
        <w:snapToGrid w:val="0"/>
        <w:spacing w:line="288" w:lineRule="auto"/>
        <w:rPr>
          <w:rFonts w:hint="eastAsia" w:ascii="仿宋_GB2312" w:eastAsia="仿宋_GB2312"/>
          <w:color w:val="auto"/>
          <w:sz w:val="36"/>
          <w:szCs w:val="36"/>
          <w:highlight w:val="none"/>
          <w:lang w:eastAsia="zh-CN"/>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eastAsia" w:ascii="仿宋_GB2312" w:eastAsia="仿宋_GB2312"/>
          <w:color w:val="auto"/>
          <w:sz w:val="36"/>
          <w:szCs w:val="36"/>
          <w:highlight w:val="none"/>
          <w:lang w:eastAsia="zh-CN"/>
        </w:rPr>
        <w:drawing>
          <wp:anchor distT="0" distB="0" distL="114300" distR="114300" simplePos="0" relativeHeight="251664384" behindDoc="1" locked="0" layoutInCell="1" allowOverlap="1">
            <wp:simplePos x="0" y="0"/>
            <wp:positionH relativeFrom="column">
              <wp:posOffset>-744220</wp:posOffset>
            </wp:positionH>
            <wp:positionV relativeFrom="paragraph">
              <wp:posOffset>-935355</wp:posOffset>
            </wp:positionV>
            <wp:extent cx="7033260" cy="9946640"/>
            <wp:effectExtent l="0" t="0" r="15240" b="16510"/>
            <wp:wrapNone/>
            <wp:docPr id="24" name="图片 24" descr="修改说明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修改说明_02"/>
                    <pic:cNvPicPr>
                      <a:picLocks noChangeAspect="1"/>
                    </pic:cNvPicPr>
                  </pic:nvPicPr>
                  <pic:blipFill>
                    <a:blip r:embed="rId14"/>
                    <a:stretch>
                      <a:fillRect/>
                    </a:stretch>
                  </pic:blipFill>
                  <pic:spPr>
                    <a:xfrm rot="10800000">
                      <a:off x="0" y="0"/>
                      <a:ext cx="7033260" cy="9946640"/>
                    </a:xfrm>
                    <a:prstGeom prst="rect">
                      <a:avLst/>
                    </a:prstGeom>
                  </pic:spPr>
                </pic:pic>
              </a:graphicData>
            </a:graphic>
          </wp:anchor>
        </w:drawing>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6"/>
        <w:gridCol w:w="6826"/>
      </w:tblGrid>
      <w:tr w14:paraId="19F54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26" w:type="dxa"/>
            <w:noWrap w:val="0"/>
            <w:vAlign w:val="top"/>
          </w:tcPr>
          <w:p w14:paraId="583600E4">
            <w:pPr>
              <w:pStyle w:val="20"/>
              <w:keepNext w:val="0"/>
              <w:keepLines w:val="0"/>
              <w:suppressLineNumbers w:val="0"/>
              <w:ind w:left="0" w:right="0"/>
              <w:jc w:val="center"/>
              <w:outlineLvl w:val="0"/>
              <w:rPr>
                <w:rFonts w:hint="eastAsia" w:ascii="黑体" w:hAnsi="黑体" w:eastAsia="黑体" w:cs="Times New Roman"/>
                <w:snapToGrid w:val="0"/>
                <w:color w:val="auto"/>
                <w:sz w:val="30"/>
                <w:szCs w:val="30"/>
                <w:highlight w:val="none"/>
                <w:vertAlign w:val="baseline"/>
                <w:lang w:eastAsia="zh-CN"/>
              </w:rPr>
            </w:pPr>
            <w:r>
              <w:rPr>
                <w:rFonts w:hint="eastAsia" w:ascii="黑体" w:hAnsi="黑体" w:eastAsia="黑体" w:cs="Times New Roman"/>
                <w:snapToGrid w:val="0"/>
                <w:color w:val="auto"/>
                <w:sz w:val="30"/>
                <w:szCs w:val="30"/>
                <w:highlight w:val="none"/>
                <w:vertAlign w:val="baseline"/>
                <w:lang w:eastAsia="zh-CN"/>
              </w:rPr>
              <w:drawing>
                <wp:inline distT="0" distB="0" distL="114300" distR="114300">
                  <wp:extent cx="3493770" cy="2620645"/>
                  <wp:effectExtent l="0" t="0" r="11430" b="8255"/>
                  <wp:docPr id="1" name="图片 37" descr="ba6680d12b62abc8f95b0296ee1f7c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7" descr="ba6680d12b62abc8f95b0296ee1f7cb3"/>
                          <pic:cNvPicPr>
                            <a:picLocks noChangeAspect="1"/>
                          </pic:cNvPicPr>
                        </pic:nvPicPr>
                        <pic:blipFill>
                          <a:blip r:embed="rId15"/>
                          <a:stretch>
                            <a:fillRect/>
                          </a:stretch>
                        </pic:blipFill>
                        <pic:spPr>
                          <a:xfrm>
                            <a:off x="0" y="0"/>
                            <a:ext cx="3493770" cy="2620645"/>
                          </a:xfrm>
                          <a:prstGeom prst="rect">
                            <a:avLst/>
                          </a:prstGeom>
                          <a:noFill/>
                          <a:ln>
                            <a:noFill/>
                          </a:ln>
                        </pic:spPr>
                      </pic:pic>
                    </a:graphicData>
                  </a:graphic>
                </wp:inline>
              </w:drawing>
            </w:r>
          </w:p>
        </w:tc>
        <w:tc>
          <w:tcPr>
            <w:tcW w:w="6826" w:type="dxa"/>
            <w:noWrap w:val="0"/>
            <w:vAlign w:val="top"/>
          </w:tcPr>
          <w:p w14:paraId="29E1B5D4">
            <w:pPr>
              <w:pStyle w:val="20"/>
              <w:keepNext w:val="0"/>
              <w:keepLines w:val="0"/>
              <w:suppressLineNumbers w:val="0"/>
              <w:ind w:left="0" w:right="0"/>
              <w:jc w:val="center"/>
              <w:outlineLvl w:val="0"/>
              <w:rPr>
                <w:rFonts w:hint="eastAsia" w:ascii="黑体" w:hAnsi="黑体" w:eastAsia="黑体" w:cs="Times New Roman"/>
                <w:snapToGrid w:val="0"/>
                <w:color w:val="auto"/>
                <w:sz w:val="30"/>
                <w:szCs w:val="30"/>
                <w:highlight w:val="none"/>
                <w:vertAlign w:val="baseline"/>
                <w:lang w:eastAsia="zh-CN"/>
              </w:rPr>
            </w:pPr>
            <w:r>
              <w:rPr>
                <w:rFonts w:hint="eastAsia" w:ascii="黑体" w:hAnsi="黑体" w:eastAsia="黑体" w:cs="Times New Roman"/>
                <w:snapToGrid w:val="0"/>
                <w:color w:val="auto"/>
                <w:sz w:val="30"/>
                <w:szCs w:val="30"/>
                <w:highlight w:val="none"/>
                <w:vertAlign w:val="baseline"/>
                <w:lang w:eastAsia="zh-CN"/>
              </w:rPr>
              <w:drawing>
                <wp:inline distT="0" distB="0" distL="114300" distR="114300">
                  <wp:extent cx="3340735" cy="2505710"/>
                  <wp:effectExtent l="0" t="0" r="12065" b="8890"/>
                  <wp:docPr id="2" name="图片 38" descr="4b284b9d1112c812ff9f20c02db2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8" descr="4b284b9d1112c812ff9f20c02db27112"/>
                          <pic:cNvPicPr>
                            <a:picLocks noChangeAspect="1"/>
                          </pic:cNvPicPr>
                        </pic:nvPicPr>
                        <pic:blipFill>
                          <a:blip r:embed="rId16"/>
                          <a:stretch>
                            <a:fillRect/>
                          </a:stretch>
                        </pic:blipFill>
                        <pic:spPr>
                          <a:xfrm>
                            <a:off x="0" y="0"/>
                            <a:ext cx="3340735" cy="2505710"/>
                          </a:xfrm>
                          <a:prstGeom prst="rect">
                            <a:avLst/>
                          </a:prstGeom>
                          <a:noFill/>
                          <a:ln>
                            <a:noFill/>
                          </a:ln>
                        </pic:spPr>
                      </pic:pic>
                    </a:graphicData>
                  </a:graphic>
                </wp:inline>
              </w:drawing>
            </w:r>
          </w:p>
        </w:tc>
      </w:tr>
      <w:tr w14:paraId="67BE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26" w:type="dxa"/>
            <w:noWrap w:val="0"/>
            <w:vAlign w:val="top"/>
          </w:tcPr>
          <w:p w14:paraId="018E6DCB">
            <w:pPr>
              <w:pStyle w:val="20"/>
              <w:keepNext w:val="0"/>
              <w:keepLines w:val="0"/>
              <w:suppressLineNumbers w:val="0"/>
              <w:ind w:left="0" w:right="0"/>
              <w:jc w:val="center"/>
              <w:outlineLvl w:val="0"/>
              <w:rPr>
                <w:rFonts w:hint="default" w:ascii="黑体" w:hAnsi="黑体" w:eastAsia="黑体" w:cs="Times New Roman"/>
                <w:snapToGrid w:val="0"/>
                <w:color w:val="auto"/>
                <w:sz w:val="30"/>
                <w:szCs w:val="30"/>
                <w:highlight w:val="none"/>
                <w:vertAlign w:val="baseline"/>
                <w:lang w:val="en-US" w:eastAsia="zh-CN"/>
              </w:rPr>
            </w:pPr>
            <w:r>
              <w:rPr>
                <w:rFonts w:hint="eastAsia" w:ascii="宋体" w:hAnsi="宋体" w:eastAsia="宋体" w:cs="宋体"/>
                <w:snapToGrid w:val="0"/>
                <w:color w:val="auto"/>
                <w:sz w:val="28"/>
                <w:szCs w:val="28"/>
                <w:highlight w:val="none"/>
                <w:vertAlign w:val="baseline"/>
                <w:lang w:val="en-US" w:eastAsia="zh-CN"/>
              </w:rPr>
              <w:t>瓦斯管道</w:t>
            </w:r>
          </w:p>
        </w:tc>
        <w:tc>
          <w:tcPr>
            <w:tcW w:w="6826" w:type="dxa"/>
            <w:noWrap w:val="0"/>
            <w:vAlign w:val="top"/>
          </w:tcPr>
          <w:p w14:paraId="1F46AF4F">
            <w:pPr>
              <w:pStyle w:val="20"/>
              <w:keepNext w:val="0"/>
              <w:keepLines w:val="0"/>
              <w:suppressLineNumbers w:val="0"/>
              <w:ind w:left="0" w:right="0"/>
              <w:jc w:val="center"/>
              <w:outlineLvl w:val="0"/>
              <w:rPr>
                <w:rFonts w:hint="eastAsia" w:ascii="黑体" w:hAnsi="黑体" w:eastAsia="黑体" w:cs="Times New Roman"/>
                <w:snapToGrid w:val="0"/>
                <w:color w:val="auto"/>
                <w:sz w:val="30"/>
                <w:szCs w:val="30"/>
                <w:highlight w:val="none"/>
                <w:vertAlign w:val="baseline"/>
                <w:lang w:eastAsia="zh-CN"/>
              </w:rPr>
            </w:pPr>
            <w:r>
              <w:rPr>
                <w:rFonts w:hint="eastAsia" w:ascii="宋体" w:hAnsi="宋体" w:eastAsia="宋体" w:cs="宋体"/>
                <w:snapToGrid w:val="0"/>
                <w:color w:val="auto"/>
                <w:sz w:val="28"/>
                <w:szCs w:val="28"/>
                <w:highlight w:val="none"/>
                <w:vertAlign w:val="baseline"/>
                <w:lang w:val="en-US" w:eastAsia="zh-CN"/>
              </w:rPr>
              <w:t>项目所在地现状</w:t>
            </w:r>
          </w:p>
        </w:tc>
      </w:tr>
      <w:tr w14:paraId="226CF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6" w:type="dxa"/>
            <w:noWrap w:val="0"/>
            <w:vAlign w:val="top"/>
          </w:tcPr>
          <w:p w14:paraId="53989814">
            <w:pPr>
              <w:pStyle w:val="20"/>
              <w:keepNext w:val="0"/>
              <w:keepLines w:val="0"/>
              <w:widowControl/>
              <w:suppressLineNumbers w:val="0"/>
              <w:ind w:left="0" w:right="0"/>
              <w:jc w:val="center"/>
              <w:rPr>
                <w:rFonts w:hint="eastAsia" w:ascii="黑体" w:hAnsi="黑体" w:eastAsia="黑体" w:cs="Times New Roman"/>
                <w:snapToGrid w:val="0"/>
                <w:color w:val="auto"/>
                <w:sz w:val="30"/>
                <w:szCs w:val="30"/>
                <w:highlight w:val="none"/>
                <w:vertAlign w:val="baseline"/>
                <w:lang w:eastAsia="zh-CN"/>
              </w:rPr>
            </w:pPr>
            <w:r>
              <w:rPr>
                <w:rFonts w:hint="eastAsia" w:ascii="黑体" w:hAnsi="黑体" w:eastAsia="黑体" w:cs="Times New Roman"/>
                <w:snapToGrid w:val="0"/>
                <w:color w:val="auto"/>
                <w:sz w:val="30"/>
                <w:szCs w:val="30"/>
                <w:highlight w:val="none"/>
                <w:vertAlign w:val="baseline"/>
                <w:lang w:eastAsia="zh-CN"/>
              </w:rPr>
              <w:drawing>
                <wp:inline distT="0" distB="0" distL="114300" distR="114300">
                  <wp:extent cx="3115310" cy="2336800"/>
                  <wp:effectExtent l="0" t="0" r="8890" b="6350"/>
                  <wp:docPr id="3" name="图片 39" descr="2e169f00d704bc1e0778b10d3980e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9" descr="2e169f00d704bc1e0778b10d3980e295"/>
                          <pic:cNvPicPr>
                            <a:picLocks noChangeAspect="1"/>
                          </pic:cNvPicPr>
                        </pic:nvPicPr>
                        <pic:blipFill>
                          <a:blip r:embed="rId17"/>
                          <a:stretch>
                            <a:fillRect/>
                          </a:stretch>
                        </pic:blipFill>
                        <pic:spPr>
                          <a:xfrm>
                            <a:off x="0" y="0"/>
                            <a:ext cx="3115310" cy="2336800"/>
                          </a:xfrm>
                          <a:prstGeom prst="rect">
                            <a:avLst/>
                          </a:prstGeom>
                          <a:noFill/>
                          <a:ln>
                            <a:noFill/>
                          </a:ln>
                        </pic:spPr>
                      </pic:pic>
                    </a:graphicData>
                  </a:graphic>
                </wp:inline>
              </w:drawing>
            </w:r>
          </w:p>
        </w:tc>
        <w:tc>
          <w:tcPr>
            <w:tcW w:w="6826" w:type="dxa"/>
            <w:noWrap w:val="0"/>
            <w:vAlign w:val="top"/>
          </w:tcPr>
          <w:p w14:paraId="717FB652">
            <w:pPr>
              <w:pStyle w:val="20"/>
              <w:keepNext w:val="0"/>
              <w:keepLines w:val="0"/>
              <w:widowControl/>
              <w:suppressLineNumbers w:val="0"/>
              <w:ind w:left="0" w:right="0"/>
              <w:jc w:val="center"/>
              <w:rPr>
                <w:rFonts w:hint="eastAsia" w:ascii="黑体" w:hAnsi="黑体" w:eastAsia="黑体" w:cs="Times New Roman"/>
                <w:snapToGrid w:val="0"/>
                <w:color w:val="auto"/>
                <w:sz w:val="30"/>
                <w:szCs w:val="30"/>
                <w:highlight w:val="none"/>
                <w:vertAlign w:val="baseline"/>
                <w:lang w:eastAsia="zh-CN"/>
              </w:rPr>
            </w:pPr>
            <w:r>
              <w:rPr>
                <w:rFonts w:hint="eastAsia" w:ascii="黑体" w:hAnsi="黑体" w:eastAsia="黑体" w:cs="Times New Roman"/>
                <w:snapToGrid w:val="0"/>
                <w:color w:val="auto"/>
                <w:sz w:val="30"/>
                <w:szCs w:val="30"/>
                <w:highlight w:val="none"/>
                <w:vertAlign w:val="baseline"/>
                <w:lang w:eastAsia="zh-CN"/>
              </w:rPr>
              <w:drawing>
                <wp:inline distT="0" distB="0" distL="114300" distR="114300">
                  <wp:extent cx="2335530" cy="4185920"/>
                  <wp:effectExtent l="0" t="0" r="5080" b="7620"/>
                  <wp:docPr id="4" name="图片 40" descr="a039182290ff33820e656fd1356f08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0" descr="a039182290ff33820e656fd1356f08ef"/>
                          <pic:cNvPicPr>
                            <a:picLocks noChangeAspect="1"/>
                          </pic:cNvPicPr>
                        </pic:nvPicPr>
                        <pic:blipFill>
                          <a:blip r:embed="rId18"/>
                          <a:stretch>
                            <a:fillRect/>
                          </a:stretch>
                        </pic:blipFill>
                        <pic:spPr>
                          <a:xfrm rot="5400000">
                            <a:off x="0" y="0"/>
                            <a:ext cx="2335530" cy="4185920"/>
                          </a:xfrm>
                          <a:prstGeom prst="rect">
                            <a:avLst/>
                          </a:prstGeom>
                          <a:noFill/>
                          <a:ln>
                            <a:noFill/>
                          </a:ln>
                        </pic:spPr>
                      </pic:pic>
                    </a:graphicData>
                  </a:graphic>
                </wp:inline>
              </w:drawing>
            </w:r>
          </w:p>
        </w:tc>
      </w:tr>
      <w:tr w14:paraId="75986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6" w:type="dxa"/>
            <w:noWrap w:val="0"/>
            <w:vAlign w:val="top"/>
          </w:tcPr>
          <w:p w14:paraId="37CAC127">
            <w:pPr>
              <w:pStyle w:val="20"/>
              <w:keepNext w:val="0"/>
              <w:keepLines w:val="0"/>
              <w:widowControl/>
              <w:suppressLineNumbers w:val="0"/>
              <w:ind w:left="0" w:right="0"/>
              <w:jc w:val="center"/>
              <w:rPr>
                <w:rFonts w:hint="default" w:ascii="黑体" w:hAnsi="黑体" w:eastAsia="黑体" w:cs="Times New Roman"/>
                <w:snapToGrid w:val="0"/>
                <w:color w:val="auto"/>
                <w:sz w:val="30"/>
                <w:szCs w:val="30"/>
                <w:highlight w:val="none"/>
                <w:vertAlign w:val="baseline"/>
                <w:lang w:val="en-US" w:eastAsia="zh-CN"/>
              </w:rPr>
            </w:pPr>
            <w:r>
              <w:rPr>
                <w:rFonts w:hint="eastAsia" w:ascii="宋体" w:hAnsi="宋体" w:eastAsia="宋体" w:cs="宋体"/>
                <w:snapToGrid w:val="0"/>
                <w:color w:val="auto"/>
                <w:sz w:val="28"/>
                <w:szCs w:val="28"/>
                <w:highlight w:val="none"/>
                <w:vertAlign w:val="baseline"/>
                <w:lang w:val="en-US" w:eastAsia="zh-CN"/>
              </w:rPr>
              <w:t>项目场地内遗留配电室</w:t>
            </w:r>
          </w:p>
        </w:tc>
        <w:tc>
          <w:tcPr>
            <w:tcW w:w="6826" w:type="dxa"/>
            <w:noWrap w:val="0"/>
            <w:vAlign w:val="top"/>
          </w:tcPr>
          <w:p w14:paraId="2BE1B093">
            <w:pPr>
              <w:pStyle w:val="20"/>
              <w:keepNext w:val="0"/>
              <w:keepLines w:val="0"/>
              <w:widowControl/>
              <w:suppressLineNumbers w:val="0"/>
              <w:ind w:left="0" w:right="0"/>
              <w:jc w:val="center"/>
              <w:rPr>
                <w:rFonts w:hint="default" w:ascii="黑体" w:hAnsi="黑体" w:eastAsia="黑体" w:cs="Times New Roman"/>
                <w:b/>
                <w:bCs w:val="0"/>
                <w:snapToGrid w:val="0"/>
                <w:color w:val="auto"/>
                <w:sz w:val="30"/>
                <w:szCs w:val="30"/>
                <w:highlight w:val="none"/>
                <w:vertAlign w:val="baseline"/>
                <w:lang w:val="en-US" w:eastAsia="zh-CN"/>
              </w:rPr>
            </w:pPr>
            <w:r>
              <w:rPr>
                <w:rFonts w:hint="eastAsia" w:ascii="宋体" w:hAnsi="宋体" w:eastAsia="宋体" w:cs="宋体"/>
                <w:snapToGrid w:val="0"/>
                <w:color w:val="auto"/>
                <w:sz w:val="28"/>
                <w:szCs w:val="28"/>
                <w:highlight w:val="none"/>
                <w:vertAlign w:val="baseline"/>
                <w:lang w:val="en-US" w:eastAsia="zh-CN"/>
              </w:rPr>
              <w:t>项目东侧进场道路</w:t>
            </w:r>
          </w:p>
        </w:tc>
      </w:tr>
    </w:tbl>
    <w:p w14:paraId="1B46D997">
      <w:pPr>
        <w:pStyle w:val="20"/>
        <w:jc w:val="center"/>
        <w:outlineLvl w:val="0"/>
        <w:rPr>
          <w:rFonts w:hint="eastAsia" w:ascii="黑体" w:hAnsi="黑体" w:eastAsia="黑体"/>
          <w:snapToGrid w:val="0"/>
          <w:color w:val="auto"/>
          <w:sz w:val="30"/>
          <w:szCs w:val="30"/>
          <w:highlight w:val="none"/>
        </w:rPr>
        <w:sectPr>
          <w:footerReference r:id="rId4" w:type="default"/>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1733348D">
      <w:pPr>
        <w:pStyle w:val="20"/>
        <w:jc w:val="center"/>
        <w:outlineLvl w:val="0"/>
        <w:rPr>
          <w:rFonts w:hint="eastAsia"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一、建设项目基本情况</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382"/>
        <w:gridCol w:w="1637"/>
        <w:gridCol w:w="688"/>
        <w:gridCol w:w="1524"/>
        <w:gridCol w:w="2639"/>
      </w:tblGrid>
      <w:tr w14:paraId="395E05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2B4BE45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建设项目名称</w:t>
            </w:r>
          </w:p>
        </w:tc>
        <w:tc>
          <w:tcPr>
            <w:tcW w:w="6488" w:type="dxa"/>
            <w:gridSpan w:val="4"/>
            <w:noWrap w:val="0"/>
            <w:vAlign w:val="center"/>
          </w:tcPr>
          <w:p w14:paraId="455208D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阳泉玻化微珠科技有限公司低浓度瓦斯玻璃微珠项目</w:t>
            </w:r>
          </w:p>
        </w:tc>
      </w:tr>
      <w:tr w14:paraId="6207B1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0541AEB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项目代码</w:t>
            </w:r>
          </w:p>
        </w:tc>
        <w:tc>
          <w:tcPr>
            <w:tcW w:w="6488" w:type="dxa"/>
            <w:gridSpan w:val="4"/>
            <w:noWrap w:val="0"/>
            <w:vAlign w:val="center"/>
          </w:tcPr>
          <w:p w14:paraId="4BDEC7B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2606-140322-89-01-659828</w:t>
            </w:r>
          </w:p>
        </w:tc>
      </w:tr>
      <w:tr w14:paraId="07DC4D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4DF176B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建设单位联系人</w:t>
            </w:r>
          </w:p>
        </w:tc>
        <w:tc>
          <w:tcPr>
            <w:tcW w:w="1637" w:type="dxa"/>
            <w:noWrap w:val="0"/>
            <w:vAlign w:val="center"/>
          </w:tcPr>
          <w:p w14:paraId="7B9E268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张锦国</w:t>
            </w:r>
          </w:p>
        </w:tc>
        <w:tc>
          <w:tcPr>
            <w:tcW w:w="2212" w:type="dxa"/>
            <w:gridSpan w:val="2"/>
            <w:noWrap w:val="0"/>
            <w:vAlign w:val="center"/>
          </w:tcPr>
          <w:p w14:paraId="4F12C74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联系方式</w:t>
            </w:r>
          </w:p>
        </w:tc>
        <w:tc>
          <w:tcPr>
            <w:tcW w:w="2639" w:type="dxa"/>
            <w:noWrap w:val="0"/>
            <w:vAlign w:val="center"/>
          </w:tcPr>
          <w:p w14:paraId="4E4B356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18235664645</w:t>
            </w:r>
          </w:p>
        </w:tc>
      </w:tr>
      <w:tr w14:paraId="0F877B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499929C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建设地点</w:t>
            </w:r>
          </w:p>
        </w:tc>
        <w:tc>
          <w:tcPr>
            <w:tcW w:w="6488" w:type="dxa"/>
            <w:gridSpan w:val="4"/>
            <w:noWrap w:val="0"/>
            <w:vAlign w:val="center"/>
          </w:tcPr>
          <w:p w14:paraId="3F9B931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山西省阳泉市盂县路家村镇石坡峪村（兴裕煤矿内）</w:t>
            </w:r>
          </w:p>
        </w:tc>
      </w:tr>
      <w:tr w14:paraId="2F3B54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5EFFC7A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地理坐标</w:t>
            </w:r>
          </w:p>
        </w:tc>
        <w:tc>
          <w:tcPr>
            <w:tcW w:w="6488" w:type="dxa"/>
            <w:gridSpan w:val="4"/>
            <w:noWrap w:val="0"/>
            <w:vAlign w:val="center"/>
          </w:tcPr>
          <w:p w14:paraId="0C446B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Times New Roman" w:hAnsi="Times New Roman" w:cs="Times New Roman"/>
                <w:b w:val="0"/>
                <w:bCs/>
                <w:color w:val="auto"/>
                <w:sz w:val="24"/>
                <w:szCs w:val="24"/>
                <w:highlight w:val="none"/>
                <w:u w:val="none"/>
                <w:lang w:val="en-US" w:eastAsia="zh-CN"/>
              </w:rPr>
              <w:t>东经：113</w:t>
            </w:r>
            <w:r>
              <w:rPr>
                <w:rFonts w:hint="default" w:ascii="Times New Roman" w:hAnsi="Times New Roman" w:cs="Times New Roman"/>
                <w:b w:val="0"/>
                <w:bCs/>
                <w:color w:val="auto"/>
                <w:sz w:val="24"/>
                <w:szCs w:val="24"/>
                <w:highlight w:val="none"/>
                <w:u w:val="none"/>
              </w:rPr>
              <w:t>度</w:t>
            </w:r>
            <w:r>
              <w:rPr>
                <w:rFonts w:hint="eastAsia" w:ascii="Times New Roman" w:hAnsi="Times New Roman" w:cs="Times New Roman"/>
                <w:b w:val="0"/>
                <w:bCs/>
                <w:color w:val="auto"/>
                <w:sz w:val="24"/>
                <w:szCs w:val="24"/>
                <w:highlight w:val="none"/>
                <w:u w:val="none"/>
                <w:lang w:val="en-US" w:eastAsia="zh-CN"/>
              </w:rPr>
              <w:t>24</w:t>
            </w:r>
            <w:r>
              <w:rPr>
                <w:rFonts w:hint="default" w:ascii="Times New Roman" w:hAnsi="Times New Roman" w:cs="Times New Roman"/>
                <w:b w:val="0"/>
                <w:bCs/>
                <w:color w:val="auto"/>
                <w:sz w:val="24"/>
                <w:szCs w:val="24"/>
                <w:highlight w:val="none"/>
                <w:u w:val="none"/>
              </w:rPr>
              <w:t>分</w:t>
            </w:r>
            <w:r>
              <w:rPr>
                <w:rFonts w:hint="eastAsia" w:ascii="Times New Roman" w:hAnsi="Times New Roman" w:cs="Times New Roman"/>
                <w:b w:val="0"/>
                <w:bCs/>
                <w:color w:val="auto"/>
                <w:sz w:val="24"/>
                <w:szCs w:val="24"/>
                <w:highlight w:val="none"/>
                <w:u w:val="none"/>
                <w:lang w:val="en-US" w:eastAsia="zh-CN"/>
              </w:rPr>
              <w:t>19.579</w:t>
            </w:r>
            <w:r>
              <w:rPr>
                <w:rFonts w:hint="default" w:ascii="Times New Roman" w:hAnsi="Times New Roman" w:cs="Times New Roman"/>
                <w:b w:val="0"/>
                <w:bCs/>
                <w:color w:val="auto"/>
                <w:sz w:val="24"/>
                <w:szCs w:val="24"/>
                <w:highlight w:val="none"/>
                <w:u w:val="none"/>
              </w:rPr>
              <w:t>秒，</w:t>
            </w:r>
            <w:r>
              <w:rPr>
                <w:rFonts w:hint="default" w:ascii="Times New Roman" w:hAnsi="Times New Roman" w:cs="Times New Roman"/>
                <w:b w:val="0"/>
                <w:bCs/>
                <w:color w:val="auto"/>
                <w:sz w:val="24"/>
                <w:szCs w:val="24"/>
                <w:highlight w:val="none"/>
                <w:u w:val="none"/>
                <w:lang w:val="en-US" w:eastAsia="zh-CN"/>
              </w:rPr>
              <w:t>北纬</w:t>
            </w:r>
            <w:r>
              <w:rPr>
                <w:rFonts w:hint="eastAsia" w:ascii="Times New Roman" w:hAnsi="Times New Roman" w:cs="Times New Roman"/>
                <w:b w:val="0"/>
                <w:bCs/>
                <w:color w:val="auto"/>
                <w:sz w:val="24"/>
                <w:szCs w:val="24"/>
                <w:highlight w:val="none"/>
                <w:u w:val="none"/>
                <w:lang w:val="en-US" w:eastAsia="zh-CN"/>
              </w:rPr>
              <w:t>：</w:t>
            </w:r>
            <w:r>
              <w:rPr>
                <w:rFonts w:hint="default" w:ascii="Times New Roman" w:hAnsi="Times New Roman" w:cs="Times New Roman"/>
                <w:b w:val="0"/>
                <w:bCs/>
                <w:color w:val="auto"/>
                <w:sz w:val="24"/>
                <w:szCs w:val="24"/>
                <w:highlight w:val="none"/>
                <w:u w:val="none"/>
                <w:lang w:val="en-US" w:eastAsia="zh-CN"/>
              </w:rPr>
              <w:t>38</w:t>
            </w:r>
            <w:r>
              <w:rPr>
                <w:rFonts w:hint="default" w:ascii="Times New Roman" w:hAnsi="Times New Roman" w:cs="Times New Roman"/>
                <w:b w:val="0"/>
                <w:bCs/>
                <w:color w:val="auto"/>
                <w:sz w:val="24"/>
                <w:szCs w:val="24"/>
                <w:highlight w:val="none"/>
                <w:u w:val="none"/>
              </w:rPr>
              <w:t>度</w:t>
            </w:r>
            <w:r>
              <w:rPr>
                <w:rFonts w:hint="eastAsia" w:ascii="Times New Roman" w:hAnsi="Times New Roman" w:cs="Times New Roman"/>
                <w:b w:val="0"/>
                <w:bCs/>
                <w:color w:val="auto"/>
                <w:sz w:val="24"/>
                <w:szCs w:val="24"/>
                <w:highlight w:val="none"/>
                <w:u w:val="none"/>
                <w:lang w:val="en-US" w:eastAsia="zh-CN"/>
              </w:rPr>
              <w:t>0</w:t>
            </w:r>
            <w:r>
              <w:rPr>
                <w:rFonts w:hint="default" w:ascii="Times New Roman" w:hAnsi="Times New Roman" w:cs="Times New Roman"/>
                <w:b w:val="0"/>
                <w:bCs/>
                <w:color w:val="auto"/>
                <w:sz w:val="24"/>
                <w:szCs w:val="24"/>
                <w:highlight w:val="none"/>
                <w:u w:val="none"/>
              </w:rPr>
              <w:t>分</w:t>
            </w:r>
            <w:r>
              <w:rPr>
                <w:rFonts w:hint="eastAsia" w:ascii="Times New Roman" w:hAnsi="Times New Roman" w:cs="Times New Roman"/>
                <w:b w:val="0"/>
                <w:bCs/>
                <w:color w:val="auto"/>
                <w:sz w:val="24"/>
                <w:szCs w:val="24"/>
                <w:highlight w:val="none"/>
                <w:u w:val="none"/>
                <w:lang w:val="en-US" w:eastAsia="zh-CN"/>
              </w:rPr>
              <w:t>32.416</w:t>
            </w:r>
            <w:r>
              <w:rPr>
                <w:rFonts w:hint="default" w:ascii="Times New Roman" w:hAnsi="Times New Roman" w:cs="Times New Roman"/>
                <w:b w:val="0"/>
                <w:bCs/>
                <w:color w:val="auto"/>
                <w:sz w:val="24"/>
                <w:szCs w:val="24"/>
                <w:highlight w:val="none"/>
                <w:u w:val="none"/>
              </w:rPr>
              <w:t>秒</w:t>
            </w:r>
          </w:p>
        </w:tc>
      </w:tr>
      <w:tr w14:paraId="69F1DB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382" w:type="dxa"/>
            <w:noWrap w:val="0"/>
            <w:tcMar>
              <w:top w:w="16" w:type="dxa"/>
              <w:left w:w="16" w:type="dxa"/>
              <w:right w:w="16" w:type="dxa"/>
            </w:tcMar>
            <w:vAlign w:val="center"/>
          </w:tcPr>
          <w:p w14:paraId="61EF2F2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国民经济</w:t>
            </w:r>
          </w:p>
          <w:p w14:paraId="16DEC98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行业类别</w:t>
            </w:r>
          </w:p>
        </w:tc>
        <w:tc>
          <w:tcPr>
            <w:tcW w:w="1637" w:type="dxa"/>
            <w:noWrap w:val="0"/>
            <w:vAlign w:val="center"/>
          </w:tcPr>
          <w:p w14:paraId="53DE44E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highlight w:val="none"/>
                <w:lang w:val="en-US" w:eastAsia="zh-CN"/>
              </w:rPr>
              <w:t>C3059</w:t>
            </w:r>
            <w:r>
              <w:rPr>
                <w:rFonts w:hint="eastAsia" w:ascii="Times New Roman" w:hAnsi="Times New Roman" w:cs="Times New Roman"/>
                <w:color w:val="auto"/>
                <w:sz w:val="24"/>
                <w:highlight w:val="none"/>
              </w:rPr>
              <w:t xml:space="preserve"> 其他</w:t>
            </w:r>
            <w:r>
              <w:rPr>
                <w:rFonts w:hint="eastAsia" w:ascii="Times New Roman" w:hAnsi="Times New Roman" w:cs="Times New Roman"/>
                <w:color w:val="auto"/>
                <w:sz w:val="24"/>
                <w:highlight w:val="none"/>
                <w:lang w:eastAsia="zh-CN"/>
              </w:rPr>
              <w:t>玻璃制品制造</w:t>
            </w:r>
          </w:p>
        </w:tc>
        <w:tc>
          <w:tcPr>
            <w:tcW w:w="2212" w:type="dxa"/>
            <w:gridSpan w:val="2"/>
            <w:noWrap w:val="0"/>
            <w:vAlign w:val="center"/>
          </w:tcPr>
          <w:p w14:paraId="71DA370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bookmarkStart w:id="0" w:name="_Hlk49843745"/>
            <w:r>
              <w:rPr>
                <w:rFonts w:hint="default" w:ascii="Times New Roman" w:hAnsi="Times New Roman" w:eastAsia="宋体" w:cs="Times New Roman"/>
                <w:color w:val="auto"/>
                <w:sz w:val="24"/>
                <w:szCs w:val="24"/>
                <w:highlight w:val="none"/>
              </w:rPr>
              <w:t>建设项目</w:t>
            </w:r>
          </w:p>
          <w:p w14:paraId="39588BB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行业类别</w:t>
            </w:r>
            <w:bookmarkEnd w:id="0"/>
          </w:p>
        </w:tc>
        <w:tc>
          <w:tcPr>
            <w:tcW w:w="2639" w:type="dxa"/>
            <w:noWrap w:val="0"/>
            <w:vAlign w:val="center"/>
          </w:tcPr>
          <w:p w14:paraId="3AC47694">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highlight w:val="none"/>
                <w:lang w:eastAsia="zh-CN"/>
              </w:rPr>
              <w:t>二十七、非金属矿物制品业</w:t>
            </w:r>
            <w:r>
              <w:rPr>
                <w:rFonts w:hint="eastAsia" w:ascii="Times New Roman" w:hAnsi="Times New Roman" w:cs="Times New Roman"/>
                <w:color w:val="auto"/>
                <w:sz w:val="24"/>
                <w:highlight w:val="none"/>
                <w:lang w:val="en-US" w:eastAsia="zh-CN"/>
              </w:rPr>
              <w:t xml:space="preserve"> 57 玻璃制品制造（电加热的除外；仅切割、打磨、成型的除外）；</w:t>
            </w:r>
          </w:p>
        </w:tc>
      </w:tr>
      <w:tr w14:paraId="51A14B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82" w:type="dxa"/>
            <w:noWrap w:val="0"/>
            <w:tcMar>
              <w:top w:w="16" w:type="dxa"/>
              <w:left w:w="16" w:type="dxa"/>
              <w:right w:w="16" w:type="dxa"/>
            </w:tcMar>
            <w:vAlign w:val="center"/>
          </w:tcPr>
          <w:p w14:paraId="1E8B9FD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建设性质</w:t>
            </w:r>
          </w:p>
        </w:tc>
        <w:tc>
          <w:tcPr>
            <w:tcW w:w="1637" w:type="dxa"/>
            <w:noWrap w:val="0"/>
            <w:vAlign w:val="center"/>
          </w:tcPr>
          <w:p w14:paraId="02C9F88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新建（迁建）</w:t>
            </w:r>
          </w:p>
          <w:p w14:paraId="58B4DA6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□改建</w:t>
            </w:r>
          </w:p>
          <w:p w14:paraId="0F88E99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扩建</w:t>
            </w:r>
          </w:p>
          <w:p w14:paraId="1DFB6BE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□技术改造</w:t>
            </w:r>
          </w:p>
        </w:tc>
        <w:tc>
          <w:tcPr>
            <w:tcW w:w="2212" w:type="dxa"/>
            <w:gridSpan w:val="2"/>
            <w:noWrap w:val="0"/>
            <w:vAlign w:val="center"/>
          </w:tcPr>
          <w:p w14:paraId="5E4D0E6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p>
          <w:p w14:paraId="6A91A0B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申报情形</w:t>
            </w:r>
          </w:p>
        </w:tc>
        <w:tc>
          <w:tcPr>
            <w:tcW w:w="2639" w:type="dxa"/>
            <w:noWrap w:val="0"/>
            <w:vAlign w:val="center"/>
          </w:tcPr>
          <w:p w14:paraId="48E50E28">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sym w:font="Wingdings 2" w:char="0052"/>
            </w:r>
            <w:r>
              <w:rPr>
                <w:rFonts w:hint="default" w:ascii="Times New Roman" w:hAnsi="Times New Roman" w:eastAsia="宋体" w:cs="Times New Roman"/>
                <w:color w:val="auto"/>
                <w:sz w:val="24"/>
                <w:szCs w:val="24"/>
                <w:highlight w:val="none"/>
              </w:rPr>
              <w:t>首次申报项目</w:t>
            </w:r>
          </w:p>
          <w:p w14:paraId="33D7316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rPr>
              <w:t>不予批准后再次申报项目</w:t>
            </w:r>
          </w:p>
          <w:p w14:paraId="2BABB8F8">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rPr>
              <w:t>超五年重新审核项目</w:t>
            </w:r>
          </w:p>
          <w:p w14:paraId="7612F3F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rPr>
              <w:t>重大变动重新报批项目</w:t>
            </w:r>
          </w:p>
        </w:tc>
      </w:tr>
      <w:tr w14:paraId="1359D0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82" w:type="dxa"/>
            <w:noWrap w:val="0"/>
            <w:tcMar>
              <w:top w:w="16" w:type="dxa"/>
              <w:left w:w="16" w:type="dxa"/>
              <w:right w:w="16" w:type="dxa"/>
            </w:tcMar>
            <w:vAlign w:val="center"/>
          </w:tcPr>
          <w:p w14:paraId="6CA7270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w:t>
            </w:r>
          </w:p>
          <w:p w14:paraId="524901D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备案）部门（选填）</w:t>
            </w:r>
          </w:p>
        </w:tc>
        <w:tc>
          <w:tcPr>
            <w:tcW w:w="1637" w:type="dxa"/>
            <w:noWrap w:val="0"/>
            <w:vAlign w:val="center"/>
          </w:tcPr>
          <w:p w14:paraId="5032924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盂县行政审批服务管理局</w:t>
            </w:r>
          </w:p>
        </w:tc>
        <w:tc>
          <w:tcPr>
            <w:tcW w:w="2212" w:type="dxa"/>
            <w:gridSpan w:val="2"/>
            <w:noWrap w:val="0"/>
            <w:vAlign w:val="center"/>
          </w:tcPr>
          <w:p w14:paraId="15C9BEF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w:t>
            </w:r>
          </w:p>
          <w:p w14:paraId="7A3D771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备案）文号（选填）</w:t>
            </w:r>
          </w:p>
        </w:tc>
        <w:tc>
          <w:tcPr>
            <w:tcW w:w="2639" w:type="dxa"/>
            <w:noWrap w:val="0"/>
            <w:vAlign w:val="center"/>
          </w:tcPr>
          <w:p w14:paraId="17ABF50D">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无</w:t>
            </w:r>
          </w:p>
        </w:tc>
      </w:tr>
      <w:tr w14:paraId="3AD0B9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382" w:type="dxa"/>
            <w:noWrap w:val="0"/>
            <w:tcMar>
              <w:top w:w="16" w:type="dxa"/>
              <w:left w:w="16" w:type="dxa"/>
              <w:right w:w="16" w:type="dxa"/>
            </w:tcMar>
            <w:vAlign w:val="center"/>
          </w:tcPr>
          <w:p w14:paraId="02BC1E0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总投资（万元）</w:t>
            </w:r>
          </w:p>
        </w:tc>
        <w:tc>
          <w:tcPr>
            <w:tcW w:w="1637" w:type="dxa"/>
            <w:noWrap w:val="0"/>
            <w:vAlign w:val="center"/>
          </w:tcPr>
          <w:p w14:paraId="356A6A6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100</w:t>
            </w:r>
          </w:p>
        </w:tc>
        <w:tc>
          <w:tcPr>
            <w:tcW w:w="2212" w:type="dxa"/>
            <w:gridSpan w:val="2"/>
            <w:noWrap w:val="0"/>
            <w:tcMar>
              <w:top w:w="16" w:type="dxa"/>
              <w:left w:w="16" w:type="dxa"/>
              <w:right w:w="16" w:type="dxa"/>
            </w:tcMar>
            <w:vAlign w:val="center"/>
          </w:tcPr>
          <w:p w14:paraId="2618340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环保投资（万元）</w:t>
            </w:r>
          </w:p>
        </w:tc>
        <w:tc>
          <w:tcPr>
            <w:tcW w:w="2639" w:type="dxa"/>
            <w:noWrap w:val="0"/>
            <w:vAlign w:val="center"/>
          </w:tcPr>
          <w:p w14:paraId="17FA103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15</w:t>
            </w:r>
          </w:p>
        </w:tc>
      </w:tr>
      <w:tr w14:paraId="16FDFA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66CC84D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环保投资占比（%）</w:t>
            </w:r>
          </w:p>
        </w:tc>
        <w:tc>
          <w:tcPr>
            <w:tcW w:w="1637" w:type="dxa"/>
            <w:noWrap w:val="0"/>
            <w:vAlign w:val="center"/>
          </w:tcPr>
          <w:p w14:paraId="35A8DB9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15</w:t>
            </w:r>
          </w:p>
        </w:tc>
        <w:tc>
          <w:tcPr>
            <w:tcW w:w="2212" w:type="dxa"/>
            <w:gridSpan w:val="2"/>
            <w:noWrap w:val="0"/>
            <w:tcMar>
              <w:top w:w="16" w:type="dxa"/>
              <w:left w:w="16" w:type="dxa"/>
              <w:right w:w="16" w:type="dxa"/>
            </w:tcMar>
            <w:vAlign w:val="center"/>
          </w:tcPr>
          <w:p w14:paraId="47363ED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施工工期</w:t>
            </w:r>
          </w:p>
        </w:tc>
        <w:tc>
          <w:tcPr>
            <w:tcW w:w="2639" w:type="dxa"/>
            <w:noWrap w:val="0"/>
            <w:vAlign w:val="center"/>
          </w:tcPr>
          <w:p w14:paraId="44C4ECB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6个月</w:t>
            </w:r>
          </w:p>
        </w:tc>
      </w:tr>
      <w:tr w14:paraId="1F6AFF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noWrap w:val="0"/>
            <w:tcMar>
              <w:top w:w="16" w:type="dxa"/>
              <w:left w:w="16" w:type="dxa"/>
              <w:right w:w="16" w:type="dxa"/>
            </w:tcMar>
            <w:vAlign w:val="center"/>
          </w:tcPr>
          <w:p w14:paraId="22628DD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是否开工建设</w:t>
            </w:r>
          </w:p>
        </w:tc>
        <w:tc>
          <w:tcPr>
            <w:tcW w:w="2325" w:type="dxa"/>
            <w:gridSpan w:val="2"/>
            <w:noWrap w:val="0"/>
            <w:vAlign w:val="center"/>
          </w:tcPr>
          <w:p w14:paraId="02A90F55">
            <w:pPr>
              <w:keepNext w:val="0"/>
              <w:keepLines w:val="0"/>
              <w:suppressLineNumbers w:val="0"/>
              <w:adjustRightInd w:val="0"/>
              <w:snapToGrid w:val="0"/>
              <w:spacing w:before="0" w:beforeAutospacing="0" w:after="0" w:afterAutospacing="0"/>
              <w:ind w:left="0" w:right="0" w:firstLine="0"/>
              <w:jc w:val="left"/>
              <w:rPr>
                <w:rFonts w:hint="default"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否</w:t>
            </w:r>
          </w:p>
          <w:p w14:paraId="5F454DA1">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u w:val="single"/>
              </w:rPr>
              <w:t>是：</w:t>
            </w:r>
          </w:p>
        </w:tc>
        <w:tc>
          <w:tcPr>
            <w:tcW w:w="1524" w:type="dxa"/>
            <w:noWrap w:val="0"/>
            <w:tcMar>
              <w:top w:w="16" w:type="dxa"/>
              <w:left w:w="16" w:type="dxa"/>
              <w:right w:w="16" w:type="dxa"/>
            </w:tcMar>
            <w:vAlign w:val="center"/>
          </w:tcPr>
          <w:p w14:paraId="77F02A2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pacing w:val="-6"/>
                <w:sz w:val="24"/>
                <w:szCs w:val="24"/>
                <w:highlight w:val="none"/>
              </w:rPr>
            </w:pPr>
            <w:r>
              <w:rPr>
                <w:rFonts w:hint="default" w:ascii="Times New Roman" w:hAnsi="Times New Roman" w:eastAsia="宋体" w:cs="Times New Roman"/>
                <w:color w:val="auto"/>
                <w:spacing w:val="-6"/>
                <w:sz w:val="24"/>
                <w:szCs w:val="24"/>
                <w:highlight w:val="none"/>
              </w:rPr>
              <w:t>用地（用海）</w:t>
            </w:r>
          </w:p>
          <w:p w14:paraId="00C2CCB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6"/>
                <w:sz w:val="24"/>
                <w:szCs w:val="24"/>
                <w:highlight w:val="none"/>
              </w:rPr>
              <w:t>面积（m</w:t>
            </w:r>
            <w:r>
              <w:rPr>
                <w:rFonts w:hint="default" w:ascii="Times New Roman" w:hAnsi="Times New Roman" w:eastAsia="宋体" w:cs="Times New Roman"/>
                <w:color w:val="auto"/>
                <w:spacing w:val="-6"/>
                <w:sz w:val="24"/>
                <w:szCs w:val="24"/>
                <w:highlight w:val="none"/>
                <w:vertAlign w:val="superscript"/>
              </w:rPr>
              <w:t>2</w:t>
            </w:r>
            <w:r>
              <w:rPr>
                <w:rFonts w:hint="default" w:ascii="Times New Roman" w:hAnsi="Times New Roman" w:eastAsia="宋体" w:cs="Times New Roman"/>
                <w:color w:val="auto"/>
                <w:spacing w:val="-6"/>
                <w:sz w:val="24"/>
                <w:szCs w:val="24"/>
                <w:highlight w:val="none"/>
              </w:rPr>
              <w:t>）</w:t>
            </w:r>
          </w:p>
        </w:tc>
        <w:tc>
          <w:tcPr>
            <w:tcW w:w="2639" w:type="dxa"/>
            <w:noWrap w:val="0"/>
            <w:vAlign w:val="center"/>
          </w:tcPr>
          <w:p w14:paraId="0D2B342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1000</w:t>
            </w:r>
          </w:p>
        </w:tc>
      </w:tr>
      <w:tr w14:paraId="053556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382" w:type="dxa"/>
            <w:noWrap w:val="0"/>
            <w:vAlign w:val="center"/>
          </w:tcPr>
          <w:p w14:paraId="74B0E388">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专项评价设置情况</w:t>
            </w:r>
          </w:p>
        </w:tc>
        <w:tc>
          <w:tcPr>
            <w:tcW w:w="6488" w:type="dxa"/>
            <w:gridSpan w:val="4"/>
            <w:noWrap w:val="0"/>
            <w:vAlign w:val="center"/>
          </w:tcPr>
          <w:p w14:paraId="09F42E1D">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无</w:t>
            </w:r>
          </w:p>
        </w:tc>
      </w:tr>
      <w:tr w14:paraId="134831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2382" w:type="dxa"/>
            <w:noWrap w:val="0"/>
            <w:vAlign w:val="center"/>
          </w:tcPr>
          <w:p w14:paraId="5189417A">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rPr>
              <w:t>规划情况</w:t>
            </w:r>
          </w:p>
        </w:tc>
        <w:tc>
          <w:tcPr>
            <w:tcW w:w="6488" w:type="dxa"/>
            <w:gridSpan w:val="4"/>
            <w:noWrap w:val="0"/>
            <w:vAlign w:val="center"/>
          </w:tcPr>
          <w:p w14:paraId="3AC03A6F">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无</w:t>
            </w:r>
          </w:p>
        </w:tc>
      </w:tr>
      <w:tr w14:paraId="2ACD24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2382" w:type="dxa"/>
            <w:noWrap w:val="0"/>
            <w:vAlign w:val="center"/>
          </w:tcPr>
          <w:p w14:paraId="3F1432F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规划环境影响</w:t>
            </w:r>
          </w:p>
          <w:p w14:paraId="54E58B4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rPr>
              <w:t>评价情况</w:t>
            </w:r>
          </w:p>
        </w:tc>
        <w:tc>
          <w:tcPr>
            <w:tcW w:w="6488" w:type="dxa"/>
            <w:gridSpan w:val="4"/>
            <w:noWrap w:val="0"/>
            <w:vAlign w:val="center"/>
          </w:tcPr>
          <w:p w14:paraId="73AF9C16">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无</w:t>
            </w:r>
          </w:p>
        </w:tc>
      </w:tr>
      <w:tr w14:paraId="02CD31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94" w:hRule="atLeast"/>
          <w:jc w:val="center"/>
        </w:trPr>
        <w:tc>
          <w:tcPr>
            <w:tcW w:w="2382" w:type="dxa"/>
            <w:noWrap w:val="0"/>
            <w:vAlign w:val="center"/>
          </w:tcPr>
          <w:p w14:paraId="183286C1">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规划及规划环境</w:t>
            </w:r>
          </w:p>
          <w:p w14:paraId="2C4651F4">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影响评价符合性分析</w:t>
            </w:r>
          </w:p>
        </w:tc>
        <w:tc>
          <w:tcPr>
            <w:tcW w:w="6488" w:type="dxa"/>
            <w:gridSpan w:val="4"/>
            <w:noWrap w:val="0"/>
            <w:vAlign w:val="center"/>
          </w:tcPr>
          <w:p w14:paraId="719A6560">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无</w:t>
            </w:r>
          </w:p>
        </w:tc>
      </w:tr>
      <w:tr w14:paraId="27B8B8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56" w:hRule="atLeast"/>
          <w:jc w:val="center"/>
        </w:trPr>
        <w:tc>
          <w:tcPr>
            <w:tcW w:w="2382" w:type="dxa"/>
            <w:noWrap w:val="0"/>
            <w:vAlign w:val="center"/>
          </w:tcPr>
          <w:p w14:paraId="78C0B11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其他符合性分析</w:t>
            </w:r>
          </w:p>
        </w:tc>
        <w:tc>
          <w:tcPr>
            <w:tcW w:w="6488" w:type="dxa"/>
            <w:gridSpan w:val="4"/>
            <w:noWrap w:val="0"/>
            <w:vAlign w:val="center"/>
          </w:tcPr>
          <w:p w14:paraId="4002DF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eastAsia"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1.</w:t>
            </w:r>
            <w:r>
              <w:rPr>
                <w:rFonts w:hint="eastAsia" w:ascii="Times New Roman" w:hAnsi="Times New Roman" w:eastAsia="宋体" w:cs="Times New Roman"/>
                <w:b/>
                <w:bCs/>
                <w:color w:val="auto"/>
                <w:kern w:val="0"/>
                <w:sz w:val="24"/>
                <w:szCs w:val="24"/>
                <w:highlight w:val="none"/>
                <w:lang w:val="en-US" w:eastAsia="zh-CN"/>
              </w:rPr>
              <w:t>产业政策符合性分析</w:t>
            </w:r>
          </w:p>
          <w:p w14:paraId="0ED2B2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根据</w:t>
            </w:r>
            <w:r>
              <w:rPr>
                <w:rFonts w:hint="eastAsia" w:cs="Times New Roman"/>
                <w:color w:val="auto"/>
                <w:kern w:val="0"/>
                <w:sz w:val="24"/>
                <w:szCs w:val="24"/>
                <w:highlight w:val="none"/>
                <w:lang w:val="en-US" w:eastAsia="zh-CN"/>
              </w:rPr>
              <w:t>《产业结构调整指导目录（2024年本）》</w:t>
            </w:r>
            <w:r>
              <w:rPr>
                <w:rFonts w:hint="eastAsia" w:ascii="Times New Roman" w:hAnsi="Times New Roman" w:eastAsia="宋体" w:cs="Times New Roman"/>
                <w:color w:val="auto"/>
                <w:kern w:val="0"/>
                <w:sz w:val="24"/>
                <w:szCs w:val="24"/>
                <w:highlight w:val="none"/>
                <w:lang w:val="en-US" w:eastAsia="zh-CN"/>
              </w:rPr>
              <w:t>，本</w:t>
            </w:r>
            <w:r>
              <w:rPr>
                <w:rFonts w:hint="eastAsia" w:ascii="Times New Roman" w:hAnsi="Times New Roman" w:cs="Times New Roman"/>
                <w:bCs/>
                <w:color w:val="auto"/>
                <w:sz w:val="24"/>
                <w:highlight w:val="none"/>
                <w:lang w:eastAsia="zh-CN"/>
              </w:rPr>
              <w:t>玻璃微珠建设</w:t>
            </w:r>
            <w:r>
              <w:rPr>
                <w:rFonts w:hint="default" w:ascii="Times New Roman" w:hAnsi="Times New Roman" w:cs="Times New Roman"/>
                <w:bCs/>
                <w:color w:val="auto"/>
                <w:sz w:val="24"/>
                <w:highlight w:val="none"/>
              </w:rPr>
              <w:t>项目</w:t>
            </w:r>
            <w:r>
              <w:rPr>
                <w:rFonts w:hint="eastAsia" w:ascii="Times New Roman" w:hAnsi="Times New Roman" w:cs="Times New Roman"/>
                <w:bCs/>
                <w:color w:val="auto"/>
                <w:sz w:val="24"/>
                <w:highlight w:val="none"/>
                <w:lang w:eastAsia="zh-CN"/>
              </w:rPr>
              <w:t>不</w:t>
            </w:r>
            <w:r>
              <w:rPr>
                <w:rFonts w:hint="eastAsia" w:ascii="Times New Roman" w:hAnsi="Times New Roman" w:cs="Times New Roman"/>
                <w:bCs/>
                <w:color w:val="auto"/>
                <w:sz w:val="24"/>
                <w:highlight w:val="none"/>
              </w:rPr>
              <w:t>属于“</w:t>
            </w:r>
            <w:r>
              <w:rPr>
                <w:rFonts w:hint="eastAsia" w:ascii="Times New Roman" w:hAnsi="Times New Roman" w:cs="Times New Roman"/>
                <w:bCs/>
                <w:color w:val="auto"/>
                <w:sz w:val="24"/>
                <w:highlight w:val="none"/>
                <w:lang w:eastAsia="zh-CN"/>
              </w:rPr>
              <w:t>限制类</w:t>
            </w:r>
            <w:r>
              <w:rPr>
                <w:rFonts w:hint="eastAsia" w:cs="Times New Roman"/>
                <w:bCs/>
                <w:color w:val="auto"/>
                <w:sz w:val="24"/>
                <w:highlight w:val="none"/>
                <w:lang w:eastAsia="zh-CN"/>
              </w:rPr>
              <w:t>”“</w:t>
            </w:r>
            <w:r>
              <w:rPr>
                <w:rFonts w:hint="eastAsia" w:ascii="Times New Roman" w:hAnsi="Times New Roman" w:cs="Times New Roman"/>
                <w:bCs/>
                <w:color w:val="auto"/>
                <w:sz w:val="24"/>
                <w:highlight w:val="none"/>
                <w:lang w:eastAsia="zh-CN"/>
              </w:rPr>
              <w:t>淘汰类”，且本项目已取得阳泉市</w:t>
            </w:r>
            <w:r>
              <w:rPr>
                <w:rFonts w:hint="eastAsia" w:ascii="Times New Roman" w:hAnsi="Times New Roman" w:cs="Times New Roman"/>
                <w:bCs/>
                <w:color w:val="auto"/>
                <w:sz w:val="24"/>
                <w:highlight w:val="none"/>
                <w:lang w:val="en-US" w:eastAsia="zh-CN"/>
              </w:rPr>
              <w:t>盂县</w:t>
            </w:r>
            <w:r>
              <w:rPr>
                <w:rFonts w:hint="eastAsia" w:ascii="Times New Roman" w:hAnsi="Times New Roman" w:cs="Times New Roman"/>
                <w:bCs/>
                <w:color w:val="auto"/>
                <w:sz w:val="24"/>
                <w:highlight w:val="none"/>
                <w:lang w:eastAsia="zh-CN"/>
              </w:rPr>
              <w:t>行政审批服务管理局下发的山西省企业投资项目备案证，备案编号：</w:t>
            </w:r>
            <w:r>
              <w:rPr>
                <w:rFonts w:hint="eastAsia" w:ascii="Times New Roman" w:hAnsi="Times New Roman" w:eastAsia="宋体" w:cs="Times New Roman"/>
                <w:color w:val="auto"/>
                <w:sz w:val="24"/>
                <w:szCs w:val="24"/>
                <w:highlight w:val="none"/>
                <w:lang w:val="en-US" w:eastAsia="zh-CN"/>
              </w:rPr>
              <w:t>2606-140322-89-01-659828</w:t>
            </w:r>
            <w:r>
              <w:rPr>
                <w:rFonts w:hint="eastAsia" w:ascii="Times New Roman" w:hAnsi="Times New Roman" w:cs="Times New Roman"/>
                <w:bCs/>
                <w:color w:val="auto"/>
                <w:sz w:val="24"/>
                <w:highlight w:val="none"/>
              </w:rPr>
              <w:t>，故本项目建设符合国家当前产业政策要求</w:t>
            </w:r>
            <w:r>
              <w:rPr>
                <w:rFonts w:hint="default" w:ascii="Times New Roman" w:hAnsi="Times New Roman" w:cs="Times New Roman"/>
                <w:bCs/>
                <w:color w:val="auto"/>
                <w:sz w:val="24"/>
                <w:highlight w:val="none"/>
              </w:rPr>
              <w:t>。</w:t>
            </w:r>
          </w:p>
          <w:p w14:paraId="21F6330E">
            <w:pPr>
              <w:keepNext w:val="0"/>
              <w:keepLines w:val="0"/>
              <w:suppressLineNumbers w:val="0"/>
              <w:autoSpaceDE/>
              <w:autoSpaceDN/>
              <w:adjustRightInd w:val="0"/>
              <w:snapToGrid w:val="0"/>
              <w:spacing w:before="0" w:beforeAutospacing="0" w:after="0" w:afterAutospacing="0" w:line="360" w:lineRule="auto"/>
              <w:ind w:left="0" w:right="0" w:firstLine="482"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cs="Times New Roman"/>
                <w:b/>
                <w:bCs/>
                <w:color w:val="auto"/>
                <w:kern w:val="0"/>
                <w:sz w:val="24"/>
                <w:szCs w:val="24"/>
                <w:highlight w:val="none"/>
                <w:lang w:val="en-US" w:eastAsia="zh-CN"/>
              </w:rPr>
              <w:t>2.</w:t>
            </w:r>
            <w:r>
              <w:rPr>
                <w:rFonts w:hint="eastAsia" w:ascii="Times New Roman" w:hAnsi="Times New Roman" w:eastAsia="宋体" w:cs="Times New Roman"/>
                <w:b/>
                <w:bCs/>
                <w:color w:val="auto"/>
                <w:kern w:val="0"/>
                <w:sz w:val="24"/>
                <w:szCs w:val="24"/>
                <w:highlight w:val="none"/>
                <w:lang w:val="en-US" w:eastAsia="zh-CN"/>
              </w:rPr>
              <w:t>与《盂县国土空间总体规划》（2021-2035）符合性分析</w:t>
            </w:r>
          </w:p>
          <w:p w14:paraId="6831FB29">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（1）规划期限</w:t>
            </w:r>
          </w:p>
          <w:p w14:paraId="4769D05B">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本规划期限为2021至2035年，规划近期至2025年，远期至2035年，远景展望至2050年。</w:t>
            </w:r>
          </w:p>
          <w:p w14:paraId="43E95540">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（2）规划范围</w:t>
            </w:r>
          </w:p>
          <w:p w14:paraId="17A9D910">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本规划范围为盂县行政辖区内全部国土空间，包括县域和中心城区两个层次。县域统筹全域全要素规划管理，侧重国土空间开发保护的战略部署和总体格局；中心城区侧重功能完善和结构优化。</w:t>
            </w:r>
          </w:p>
          <w:p w14:paraId="1200F4AE">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（3）发展目标与战略</w:t>
            </w:r>
          </w:p>
          <w:p w14:paraId="42B097AE">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发展定位：山西融入京津冀协同发展重要节点。太行山矿山生态修复样板区、阳泉市域副中心城市。</w:t>
            </w:r>
          </w:p>
          <w:p w14:paraId="723DC16C">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国土空间开发保护战略：</w:t>
            </w:r>
            <w:r>
              <w:rPr>
                <w:rFonts w:hint="eastAsia" w:ascii="Times New Roman" w:hAnsi="Times New Roman" w:eastAsia="宋体" w:cs="Times New Roman"/>
                <w:color w:val="auto"/>
                <w:kern w:val="0"/>
                <w:sz w:val="24"/>
                <w:szCs w:val="24"/>
                <w:highlight w:val="none"/>
                <w:lang w:val="en-US" w:eastAsia="zh-CN"/>
              </w:rPr>
              <w:fldChar w:fldCharType="begin"/>
            </w:r>
            <w:r>
              <w:rPr>
                <w:rFonts w:hint="eastAsia" w:ascii="Times New Roman" w:hAnsi="Times New Roman" w:eastAsia="宋体" w:cs="Times New Roman"/>
                <w:color w:val="auto"/>
                <w:kern w:val="0"/>
                <w:sz w:val="24"/>
                <w:szCs w:val="24"/>
                <w:highlight w:val="none"/>
                <w:lang w:val="en-US" w:eastAsia="zh-CN"/>
              </w:rPr>
              <w:instrText xml:space="preserve"> = 1 \* GB3 \* MERGEFORMAT </w:instrText>
            </w:r>
            <w:r>
              <w:rPr>
                <w:rFonts w:hint="eastAsia" w:ascii="Times New Roman" w:hAnsi="Times New Roman" w:eastAsia="宋体" w:cs="Times New Roman"/>
                <w:color w:val="auto"/>
                <w:kern w:val="0"/>
                <w:sz w:val="24"/>
                <w:szCs w:val="24"/>
                <w:highlight w:val="none"/>
                <w:lang w:val="en-US" w:eastAsia="zh-CN"/>
              </w:rPr>
              <w:fldChar w:fldCharType="separate"/>
            </w:r>
            <w:r>
              <w:rPr>
                <w:rFonts w:hint="default" w:ascii="Times New Roman" w:hAnsi="Times New Roman" w:cs="Times New Roman"/>
                <w:color w:val="auto"/>
                <w:sz w:val="24"/>
                <w:highlight w:val="none"/>
              </w:rPr>
              <w:t>①</w:t>
            </w:r>
            <w:r>
              <w:rPr>
                <w:rFonts w:hint="eastAsia" w:ascii="Times New Roman" w:hAnsi="Times New Roman" w:eastAsia="宋体" w:cs="Times New Roman"/>
                <w:color w:val="auto"/>
                <w:kern w:val="0"/>
                <w:sz w:val="24"/>
                <w:szCs w:val="24"/>
                <w:highlight w:val="none"/>
                <w:lang w:val="en-US" w:eastAsia="zh-CN"/>
              </w:rPr>
              <w:fldChar w:fldCharType="end"/>
            </w:r>
            <w:r>
              <w:rPr>
                <w:rFonts w:hint="eastAsia" w:ascii="Times New Roman" w:hAnsi="Times New Roman" w:eastAsia="宋体" w:cs="Times New Roman"/>
                <w:color w:val="auto"/>
                <w:kern w:val="0"/>
                <w:sz w:val="24"/>
                <w:szCs w:val="24"/>
                <w:highlight w:val="none"/>
                <w:lang w:val="en-US" w:eastAsia="zh-CN"/>
              </w:rPr>
              <w:t>筑安全战略；锚固格局、严守底线、修复重点；</w:t>
            </w:r>
            <w:r>
              <w:rPr>
                <w:rFonts w:hint="eastAsia" w:ascii="Times New Roman" w:hAnsi="Times New Roman" w:eastAsia="宋体" w:cs="Times New Roman"/>
                <w:color w:val="auto"/>
                <w:kern w:val="0"/>
                <w:sz w:val="24"/>
                <w:szCs w:val="24"/>
                <w:highlight w:val="none"/>
                <w:lang w:val="en-US" w:eastAsia="zh-CN"/>
              </w:rPr>
              <w:fldChar w:fldCharType="begin"/>
            </w:r>
            <w:r>
              <w:rPr>
                <w:rFonts w:hint="eastAsia" w:ascii="Times New Roman" w:hAnsi="Times New Roman" w:eastAsia="宋体" w:cs="Times New Roman"/>
                <w:color w:val="auto"/>
                <w:kern w:val="0"/>
                <w:sz w:val="24"/>
                <w:szCs w:val="24"/>
                <w:highlight w:val="none"/>
                <w:lang w:val="en-US" w:eastAsia="zh-CN"/>
              </w:rPr>
              <w:instrText xml:space="preserve"> = 2 \* GB3 \* MERGEFORMAT </w:instrText>
            </w:r>
            <w:r>
              <w:rPr>
                <w:rFonts w:hint="eastAsia" w:ascii="Times New Roman" w:hAnsi="Times New Roman" w:eastAsia="宋体" w:cs="Times New Roman"/>
                <w:color w:val="auto"/>
                <w:kern w:val="0"/>
                <w:sz w:val="24"/>
                <w:szCs w:val="24"/>
                <w:highlight w:val="none"/>
                <w:lang w:val="en-US" w:eastAsia="zh-CN"/>
              </w:rPr>
              <w:fldChar w:fldCharType="separate"/>
            </w:r>
            <w:r>
              <w:rPr>
                <w:rFonts w:hint="default" w:ascii="Times New Roman" w:hAnsi="Times New Roman" w:cs="Times New Roman"/>
                <w:color w:val="auto"/>
                <w:sz w:val="24"/>
                <w:highlight w:val="none"/>
              </w:rPr>
              <w:t>②</w:t>
            </w:r>
            <w:r>
              <w:rPr>
                <w:rFonts w:hint="eastAsia" w:ascii="Times New Roman" w:hAnsi="Times New Roman" w:eastAsia="宋体" w:cs="Times New Roman"/>
                <w:color w:val="auto"/>
                <w:kern w:val="0"/>
                <w:sz w:val="24"/>
                <w:szCs w:val="24"/>
                <w:highlight w:val="none"/>
                <w:lang w:val="en-US" w:eastAsia="zh-CN"/>
              </w:rPr>
              <w:fldChar w:fldCharType="end"/>
            </w:r>
            <w:r>
              <w:rPr>
                <w:rFonts w:hint="eastAsia" w:ascii="Times New Roman" w:hAnsi="Times New Roman" w:eastAsia="宋体" w:cs="Times New Roman"/>
                <w:color w:val="auto"/>
                <w:kern w:val="0"/>
                <w:sz w:val="24"/>
                <w:szCs w:val="24"/>
                <w:highlight w:val="none"/>
                <w:lang w:val="en-US" w:eastAsia="zh-CN"/>
              </w:rPr>
              <w:t>强协调战略：开放致远、协同融合、全域统筹；</w:t>
            </w:r>
            <w:r>
              <w:rPr>
                <w:rFonts w:hint="eastAsia" w:ascii="Times New Roman" w:hAnsi="Times New Roman" w:eastAsia="宋体" w:cs="Times New Roman"/>
                <w:color w:val="auto"/>
                <w:kern w:val="0"/>
                <w:sz w:val="24"/>
                <w:szCs w:val="24"/>
                <w:highlight w:val="none"/>
                <w:lang w:val="en-US" w:eastAsia="zh-CN"/>
              </w:rPr>
              <w:fldChar w:fldCharType="begin"/>
            </w:r>
            <w:r>
              <w:rPr>
                <w:rFonts w:hint="eastAsia" w:ascii="Times New Roman" w:hAnsi="Times New Roman" w:eastAsia="宋体" w:cs="Times New Roman"/>
                <w:color w:val="auto"/>
                <w:kern w:val="0"/>
                <w:sz w:val="24"/>
                <w:szCs w:val="24"/>
                <w:highlight w:val="none"/>
                <w:lang w:val="en-US" w:eastAsia="zh-CN"/>
              </w:rPr>
              <w:instrText xml:space="preserve"> = 3 \* GB3 \* MERGEFORMAT </w:instrText>
            </w:r>
            <w:r>
              <w:rPr>
                <w:rFonts w:hint="eastAsia" w:ascii="Times New Roman" w:hAnsi="Times New Roman" w:eastAsia="宋体" w:cs="Times New Roman"/>
                <w:color w:val="auto"/>
                <w:kern w:val="0"/>
                <w:sz w:val="24"/>
                <w:szCs w:val="24"/>
                <w:highlight w:val="none"/>
                <w:lang w:val="en-US" w:eastAsia="zh-CN"/>
              </w:rPr>
              <w:fldChar w:fldCharType="separate"/>
            </w:r>
            <w:r>
              <w:rPr>
                <w:rFonts w:hint="default" w:ascii="Times New Roman" w:hAnsi="Times New Roman" w:cs="Times New Roman"/>
                <w:color w:val="auto"/>
                <w:sz w:val="24"/>
                <w:highlight w:val="none"/>
              </w:rPr>
              <w:t>③</w:t>
            </w:r>
            <w:r>
              <w:rPr>
                <w:rFonts w:hint="eastAsia" w:ascii="Times New Roman" w:hAnsi="Times New Roman" w:eastAsia="宋体" w:cs="Times New Roman"/>
                <w:color w:val="auto"/>
                <w:kern w:val="0"/>
                <w:sz w:val="24"/>
                <w:szCs w:val="24"/>
                <w:highlight w:val="none"/>
                <w:lang w:val="en-US" w:eastAsia="zh-CN"/>
              </w:rPr>
              <w:fldChar w:fldCharType="end"/>
            </w:r>
            <w:r>
              <w:rPr>
                <w:rFonts w:hint="eastAsia" w:ascii="Times New Roman" w:hAnsi="Times New Roman" w:eastAsia="宋体" w:cs="Times New Roman"/>
                <w:color w:val="auto"/>
                <w:kern w:val="0"/>
                <w:sz w:val="24"/>
                <w:szCs w:val="24"/>
                <w:highlight w:val="none"/>
                <w:lang w:val="en-US" w:eastAsia="zh-CN"/>
              </w:rPr>
              <w:t>促转型战略：创新引领、园区支撑、多元拓展；</w:t>
            </w:r>
            <w:r>
              <w:rPr>
                <w:rFonts w:hint="eastAsia" w:ascii="Times New Roman" w:hAnsi="Times New Roman" w:eastAsia="宋体" w:cs="Times New Roman"/>
                <w:color w:val="auto"/>
                <w:kern w:val="0"/>
                <w:sz w:val="24"/>
                <w:szCs w:val="24"/>
                <w:highlight w:val="none"/>
                <w:lang w:val="en-US" w:eastAsia="zh-CN"/>
              </w:rPr>
              <w:fldChar w:fldCharType="begin"/>
            </w:r>
            <w:r>
              <w:rPr>
                <w:rFonts w:hint="eastAsia" w:ascii="Times New Roman" w:hAnsi="Times New Roman" w:eastAsia="宋体" w:cs="Times New Roman"/>
                <w:color w:val="auto"/>
                <w:kern w:val="0"/>
                <w:sz w:val="24"/>
                <w:szCs w:val="24"/>
                <w:highlight w:val="none"/>
                <w:lang w:val="en-US" w:eastAsia="zh-CN"/>
              </w:rPr>
              <w:instrText xml:space="preserve"> = 4 \* GB3 \* MERGEFORMAT </w:instrText>
            </w:r>
            <w:r>
              <w:rPr>
                <w:rFonts w:hint="eastAsia" w:ascii="Times New Roman" w:hAnsi="Times New Roman" w:eastAsia="宋体" w:cs="Times New Roman"/>
                <w:color w:val="auto"/>
                <w:kern w:val="0"/>
                <w:sz w:val="24"/>
                <w:szCs w:val="24"/>
                <w:highlight w:val="none"/>
                <w:lang w:val="en-US" w:eastAsia="zh-CN"/>
              </w:rPr>
              <w:fldChar w:fldCharType="separate"/>
            </w:r>
            <w:r>
              <w:rPr>
                <w:rFonts w:hint="default" w:ascii="Times New Roman" w:hAnsi="Times New Roman" w:cs="Times New Roman"/>
                <w:color w:val="auto"/>
                <w:sz w:val="24"/>
                <w:highlight w:val="none"/>
              </w:rPr>
              <w:t>④</w:t>
            </w:r>
            <w:r>
              <w:rPr>
                <w:rFonts w:hint="eastAsia" w:ascii="Times New Roman" w:hAnsi="Times New Roman" w:eastAsia="宋体" w:cs="Times New Roman"/>
                <w:color w:val="auto"/>
                <w:kern w:val="0"/>
                <w:sz w:val="24"/>
                <w:szCs w:val="24"/>
                <w:highlight w:val="none"/>
                <w:lang w:val="en-US" w:eastAsia="zh-CN"/>
              </w:rPr>
              <w:fldChar w:fldCharType="end"/>
            </w:r>
            <w:r>
              <w:rPr>
                <w:rFonts w:hint="eastAsia" w:ascii="Times New Roman" w:hAnsi="Times New Roman" w:eastAsia="宋体" w:cs="Times New Roman"/>
                <w:color w:val="auto"/>
                <w:kern w:val="0"/>
                <w:sz w:val="24"/>
                <w:szCs w:val="24"/>
                <w:highlight w:val="none"/>
                <w:lang w:val="en-US" w:eastAsia="zh-CN"/>
              </w:rPr>
              <w:t>提品质战略；以人为本，补齐短板、内涵更新。</w:t>
            </w:r>
          </w:p>
          <w:p w14:paraId="6377DAF5">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（4）国土空间格局优化</w:t>
            </w:r>
          </w:p>
          <w:p w14:paraId="7BEAF702">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统筹三条控制线划定与管控</w:t>
            </w:r>
          </w:p>
          <w:p w14:paraId="305FF032">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优先划定耕地和永久基本农田保护线：耕地保护目标带位置确定为57.12万亩，落实永久基本农田保护任务52.22万亩。</w:t>
            </w:r>
          </w:p>
          <w:p w14:paraId="4983C141">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科学划定生态保护红线：生态保护红线划定面积约751.84平方千米，占全县国土面积约30%。</w:t>
            </w:r>
          </w:p>
          <w:p w14:paraId="07134156">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合理划定城镇开发边界：城镇开发边界划定面积约29.89平方千米，城镇开发边界扩展系数控制在1.28以内。</w:t>
            </w:r>
          </w:p>
          <w:p w14:paraId="5F4D1002">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本项目位于</w:t>
            </w:r>
            <w:r>
              <w:rPr>
                <w:rFonts w:hint="eastAsia" w:ascii="Times New Roman" w:hAnsi="Times New Roman" w:eastAsia="宋体" w:cs="Times New Roman"/>
                <w:color w:val="auto"/>
                <w:sz w:val="24"/>
                <w:szCs w:val="24"/>
                <w:highlight w:val="none"/>
                <w:lang w:val="en-US" w:eastAsia="zh-CN"/>
              </w:rPr>
              <w:t>山西省阳泉市盂县 路家村镇石坡峪村（兴裕煤矿内）</w:t>
            </w:r>
            <w:r>
              <w:rPr>
                <w:rFonts w:hint="eastAsia" w:ascii="Times New Roman" w:hAnsi="Times New Roman" w:eastAsia="宋体" w:cs="Times New Roman"/>
                <w:color w:val="auto"/>
                <w:kern w:val="0"/>
                <w:sz w:val="24"/>
                <w:szCs w:val="24"/>
                <w:highlight w:val="none"/>
                <w:lang w:val="en-US" w:eastAsia="zh-CN"/>
              </w:rPr>
              <w:t>，属于玻璃微珠生产项目，土地利用现状为工业用地，不涉及耕地、永久基本农田、生态保护红线，不位于城镇开发边界内。</w:t>
            </w:r>
            <w:r>
              <w:rPr>
                <w:rFonts w:hint="eastAsia" w:ascii="Times New Roman" w:hAnsi="Times New Roman" w:eastAsia="宋体" w:cs="Times New Roman"/>
                <w:color w:val="auto"/>
                <w:sz w:val="24"/>
                <w:highlight w:val="none"/>
                <w:lang w:val="en-US" w:eastAsia="zh-CN"/>
              </w:rPr>
              <w:t>项目的建设不违</w:t>
            </w:r>
            <w:r>
              <w:rPr>
                <w:rFonts w:hint="eastAsia" w:ascii="Times New Roman" w:hAnsi="Times New Roman" w:eastAsia="宋体" w:cs="Times New Roman"/>
                <w:color w:val="auto"/>
                <w:kern w:val="0"/>
                <w:sz w:val="24"/>
                <w:szCs w:val="24"/>
                <w:highlight w:val="none"/>
                <w:lang w:val="en-US" w:eastAsia="zh-CN"/>
              </w:rPr>
              <w:t>背</w:t>
            </w:r>
            <w:r>
              <w:rPr>
                <w:rFonts w:hint="eastAsia" w:ascii="Times New Roman" w:hAnsi="Times New Roman" w:eastAsia="宋体" w:cs="Times New Roman"/>
                <w:b w:val="0"/>
                <w:bCs/>
                <w:color w:val="auto"/>
                <w:kern w:val="0"/>
                <w:sz w:val="24"/>
                <w:szCs w:val="24"/>
                <w:highlight w:val="none"/>
                <w:lang w:val="en-US" w:eastAsia="zh-CN"/>
              </w:rPr>
              <w:t>《盂县国土空间总体规划》（2021-2035）的相关要求。</w:t>
            </w:r>
          </w:p>
          <w:p w14:paraId="6AD9FC6E">
            <w:pPr>
              <w:keepNext w:val="0"/>
              <w:keepLines w:val="0"/>
              <w:suppressLineNumbers w:val="0"/>
              <w:autoSpaceDE/>
              <w:autoSpaceDN/>
              <w:adjustRightInd w:val="0"/>
              <w:snapToGrid w:val="0"/>
              <w:spacing w:before="0" w:beforeAutospacing="0" w:after="0" w:afterAutospacing="0" w:line="360" w:lineRule="auto"/>
              <w:ind w:left="0" w:right="0" w:firstLine="482" w:firstLineChars="200"/>
              <w:jc w:val="both"/>
              <w:rPr>
                <w:rFonts w:hint="eastAsia" w:ascii="Times New Roman" w:hAnsi="Times New Roman" w:eastAsia="宋体" w:cs="Times New Roman"/>
                <w:b/>
                <w:bCs w:val="0"/>
                <w:color w:val="auto"/>
                <w:kern w:val="0"/>
                <w:sz w:val="24"/>
                <w:szCs w:val="24"/>
                <w:highlight w:val="none"/>
                <w:lang w:val="en-US" w:eastAsia="zh-CN"/>
              </w:rPr>
            </w:pPr>
            <w:r>
              <w:rPr>
                <w:rFonts w:hint="eastAsia" w:cs="Times New Roman"/>
                <w:b/>
                <w:bCs w:val="0"/>
                <w:color w:val="auto"/>
                <w:kern w:val="0"/>
                <w:sz w:val="24"/>
                <w:szCs w:val="24"/>
                <w:highlight w:val="none"/>
                <w:lang w:val="en-US" w:eastAsia="zh-CN"/>
              </w:rPr>
              <w:t>3.</w:t>
            </w:r>
            <w:r>
              <w:rPr>
                <w:rFonts w:hint="eastAsia" w:ascii="Times New Roman" w:hAnsi="Times New Roman" w:eastAsia="宋体" w:cs="Times New Roman"/>
                <w:b/>
                <w:bCs w:val="0"/>
                <w:color w:val="auto"/>
                <w:kern w:val="0"/>
                <w:sz w:val="24"/>
                <w:szCs w:val="24"/>
                <w:highlight w:val="none"/>
                <w:lang w:val="en-US" w:eastAsia="zh-CN"/>
              </w:rPr>
              <w:t>生态分区管控符合性分析</w:t>
            </w:r>
          </w:p>
          <w:p w14:paraId="6323B4D2">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cs="Times New Roman"/>
                <w:color w:val="auto"/>
                <w:kern w:val="0"/>
                <w:sz w:val="24"/>
                <w:highlight w:val="none"/>
                <w:lang w:val="en-US" w:eastAsia="zh-CN" w:bidi="ar"/>
              </w:rPr>
            </w:pPr>
            <w:r>
              <w:rPr>
                <w:rFonts w:hint="eastAsia" w:ascii="Times New Roman" w:hAnsi="Times New Roman" w:cs="Times New Roman"/>
                <w:color w:val="auto"/>
                <w:kern w:val="0"/>
                <w:sz w:val="24"/>
                <w:highlight w:val="none"/>
                <w:lang w:val="en-US" w:eastAsia="zh-CN" w:bidi="ar"/>
              </w:rPr>
              <w:t>根据山西省政务服务平台“山西省生态环境分区管控信息平台”进行智能研判，经研判本项目位于阳泉市盂县一般管控单元，管控单元编号为：ZH14032230001。</w:t>
            </w:r>
          </w:p>
          <w:p w14:paraId="7DBCBF1A">
            <w:pPr>
              <w:keepNext w:val="0"/>
              <w:keepLines w:val="0"/>
              <w:widowControl/>
              <w:suppressLineNumbers w:val="0"/>
              <w:spacing w:before="0" w:beforeAutospacing="0" w:after="0" w:afterAutospacing="0" w:line="360" w:lineRule="auto"/>
              <w:ind w:left="0" w:right="0" w:firstLine="0" w:firstLineChars="0"/>
              <w:jc w:val="center"/>
              <w:rPr>
                <w:rFonts w:hint="default" w:ascii="Times New Roman" w:hAnsi="Times New Roman" w:eastAsia="宋体" w:cs="Times New Roman"/>
                <w:b/>
                <w:bCs/>
                <w:color w:val="auto"/>
                <w:kern w:val="2"/>
                <w:sz w:val="24"/>
                <w:szCs w:val="24"/>
                <w:highlight w:val="none"/>
                <w:lang w:val="en-US" w:eastAsia="zh-CN" w:bidi="ar"/>
              </w:rPr>
            </w:pPr>
            <w:r>
              <w:rPr>
                <w:rFonts w:hint="default" w:ascii="Times New Roman" w:hAnsi="Times New Roman" w:eastAsia="宋体" w:cs="Times New Roman"/>
                <w:b/>
                <w:bCs/>
                <w:color w:val="auto"/>
                <w:kern w:val="2"/>
                <w:sz w:val="24"/>
                <w:szCs w:val="24"/>
                <w:highlight w:val="none"/>
                <w:lang w:val="en-US" w:eastAsia="zh-CN" w:bidi="ar"/>
              </w:rPr>
              <w:t>表1</w:t>
            </w:r>
            <w:r>
              <w:rPr>
                <w:rFonts w:hint="eastAsia" w:ascii="Times New Roman" w:hAnsi="Times New Roman" w:eastAsia="宋体" w:cs="Times New Roman"/>
                <w:b/>
                <w:bCs/>
                <w:color w:val="auto"/>
                <w:kern w:val="2"/>
                <w:sz w:val="24"/>
                <w:szCs w:val="24"/>
                <w:highlight w:val="none"/>
                <w:lang w:val="en-US" w:eastAsia="zh-CN" w:bidi="ar"/>
              </w:rPr>
              <w:t>-1</w:t>
            </w:r>
            <w:r>
              <w:rPr>
                <w:rFonts w:hint="default" w:ascii="Times New Roman" w:hAnsi="Times New Roman" w:eastAsia="宋体" w:cs="Times New Roman"/>
                <w:b/>
                <w:bCs/>
                <w:color w:val="auto"/>
                <w:kern w:val="2"/>
                <w:sz w:val="24"/>
                <w:szCs w:val="24"/>
                <w:highlight w:val="none"/>
                <w:lang w:val="en-US" w:eastAsia="zh-CN" w:bidi="ar"/>
              </w:rPr>
              <w:t>环境管控单元表</w:t>
            </w:r>
          </w:p>
          <w:tbl>
            <w:tblPr>
              <w:tblStyle w:val="2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7"/>
              <w:gridCol w:w="987"/>
              <w:gridCol w:w="1497"/>
              <w:gridCol w:w="1934"/>
              <w:gridCol w:w="1252"/>
            </w:tblGrid>
            <w:tr w14:paraId="73B6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9" w:type="pct"/>
                  <w:noWrap w:val="0"/>
                  <w:vAlign w:val="center"/>
                </w:tcPr>
                <w:p w14:paraId="38CCBA3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序号</w:t>
                  </w:r>
                </w:p>
              </w:tc>
              <w:tc>
                <w:tcPr>
                  <w:tcW w:w="788" w:type="pct"/>
                  <w:noWrap w:val="0"/>
                  <w:vAlign w:val="center"/>
                </w:tcPr>
                <w:p w14:paraId="0282703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行政区划</w:t>
                  </w:r>
                </w:p>
              </w:tc>
              <w:tc>
                <w:tcPr>
                  <w:tcW w:w="1196" w:type="pct"/>
                  <w:noWrap w:val="0"/>
                  <w:vAlign w:val="center"/>
                </w:tcPr>
                <w:p w14:paraId="4C99938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管控单元编码</w:t>
                  </w:r>
                </w:p>
              </w:tc>
              <w:tc>
                <w:tcPr>
                  <w:tcW w:w="1545" w:type="pct"/>
                  <w:noWrap w:val="0"/>
                  <w:vAlign w:val="center"/>
                </w:tcPr>
                <w:p w14:paraId="74EDC9C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管控单元名称</w:t>
                  </w:r>
                </w:p>
              </w:tc>
              <w:tc>
                <w:tcPr>
                  <w:tcW w:w="1000" w:type="pct"/>
                  <w:noWrap w:val="0"/>
                  <w:vAlign w:val="center"/>
                </w:tcPr>
                <w:p w14:paraId="3347E43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管控区分类</w:t>
                  </w:r>
                </w:p>
              </w:tc>
            </w:tr>
            <w:tr w14:paraId="4FB5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9" w:type="pct"/>
                  <w:noWrap w:val="0"/>
                  <w:vAlign w:val="center"/>
                </w:tcPr>
                <w:p w14:paraId="1E0794C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1</w:t>
                  </w:r>
                </w:p>
              </w:tc>
              <w:tc>
                <w:tcPr>
                  <w:tcW w:w="788" w:type="pct"/>
                  <w:noWrap w:val="0"/>
                  <w:vAlign w:val="center"/>
                </w:tcPr>
                <w:p w14:paraId="1E867D5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阳泉市盂县</w:t>
                  </w:r>
                </w:p>
              </w:tc>
              <w:tc>
                <w:tcPr>
                  <w:tcW w:w="1196" w:type="pct"/>
                  <w:noWrap w:val="0"/>
                  <w:vAlign w:val="center"/>
                </w:tcPr>
                <w:p w14:paraId="5A4F94C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lang w:val="en-US" w:eastAsia="zh-CN" w:bidi="ar"/>
                    </w:rPr>
                    <w:t>ZH14032230001</w:t>
                  </w:r>
                </w:p>
              </w:tc>
              <w:tc>
                <w:tcPr>
                  <w:tcW w:w="1545" w:type="pct"/>
                  <w:noWrap w:val="0"/>
                  <w:vAlign w:val="center"/>
                </w:tcPr>
                <w:p w14:paraId="723051E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lang w:bidi="ar"/>
                    </w:rPr>
                    <w:t>阳泉市盂县一般管控单元</w:t>
                  </w:r>
                </w:p>
              </w:tc>
              <w:tc>
                <w:tcPr>
                  <w:tcW w:w="1000" w:type="pct"/>
                  <w:noWrap w:val="0"/>
                  <w:vAlign w:val="center"/>
                </w:tcPr>
                <w:p w14:paraId="45421B4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一般管控单元</w:t>
                  </w:r>
                </w:p>
              </w:tc>
            </w:tr>
          </w:tbl>
          <w:p w14:paraId="742BE1B4">
            <w:pPr>
              <w:pStyle w:val="6"/>
              <w:widowControl/>
              <w:jc w:val="center"/>
              <w:rPr>
                <w:rFonts w:hint="default" w:ascii="Times New Roman" w:hAnsi="Times New Roman" w:eastAsia="宋体" w:cs="Times New Roman"/>
                <w:b/>
                <w:bCs/>
                <w:color w:val="auto"/>
                <w:kern w:val="0"/>
                <w:sz w:val="24"/>
                <w:szCs w:val="24"/>
                <w:highlight w:val="none"/>
                <w:lang w:bidi="ar"/>
              </w:rPr>
            </w:pPr>
            <w:r>
              <w:rPr>
                <w:rFonts w:hint="default" w:ascii="Times New Roman" w:hAnsi="Times New Roman" w:eastAsia="宋体" w:cs="Times New Roman"/>
                <w:b/>
                <w:bCs/>
                <w:color w:val="auto"/>
                <w:sz w:val="24"/>
                <w:szCs w:val="24"/>
                <w:highlight w:val="none"/>
              </w:rPr>
              <w:t>表</w:t>
            </w:r>
            <w:r>
              <w:rPr>
                <w:rFonts w:hint="eastAsia" w:ascii="Times New Roman" w:hAnsi="Times New Roman" w:eastAsia="宋体" w:cs="Times New Roman"/>
                <w:b/>
                <w:bCs/>
                <w:color w:val="auto"/>
                <w:sz w:val="24"/>
                <w:szCs w:val="24"/>
                <w:highlight w:val="none"/>
                <w:lang w:val="en-US" w:eastAsia="zh-CN"/>
              </w:rPr>
              <w:t>1-</w:t>
            </w:r>
            <w:r>
              <w:rPr>
                <w:rFonts w:hint="eastAsia"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关于准入清单符合性分析</w:t>
            </w:r>
          </w:p>
          <w:tbl>
            <w:tblPr>
              <w:tblStyle w:val="23"/>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593"/>
              <w:gridCol w:w="1788"/>
              <w:gridCol w:w="3185"/>
              <w:gridCol w:w="670"/>
            </w:tblGrid>
            <w:tr w14:paraId="5E1481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75" w:type="pct"/>
                  <w:noWrap w:val="0"/>
                  <w:vAlign w:val="center"/>
                </w:tcPr>
                <w:p w14:paraId="014526BB">
                  <w:pPr>
                    <w:pStyle w:val="5"/>
                    <w:keepNext w:val="0"/>
                    <w:keepLines w:val="0"/>
                    <w:suppressLineNumbers w:val="0"/>
                    <w:spacing w:before="0" w:beforeAutospacing="0" w:after="0" w:afterAutospacing="0" w:line="240" w:lineRule="auto"/>
                    <w:ind w:left="0" w:right="0" w:rightChars="0" w:firstLine="0" w:firstLineChars="0"/>
                    <w:jc w:val="center"/>
                    <w:rPr>
                      <w:rFonts w:hint="default"/>
                      <w:b/>
                      <w:color w:val="auto"/>
                      <w:sz w:val="21"/>
                      <w:szCs w:val="21"/>
                      <w:highlight w:val="none"/>
                    </w:rPr>
                  </w:pPr>
                  <w:r>
                    <w:rPr>
                      <w:rFonts w:hint="default"/>
                      <w:b/>
                      <w:color w:val="auto"/>
                      <w:sz w:val="21"/>
                      <w:szCs w:val="21"/>
                      <w:highlight w:val="none"/>
                    </w:rPr>
                    <w:t>管控</w:t>
                  </w:r>
                </w:p>
                <w:p w14:paraId="54C1F41A">
                  <w:pPr>
                    <w:pStyle w:val="5"/>
                    <w:keepNext w:val="0"/>
                    <w:keepLines w:val="0"/>
                    <w:suppressLineNumbers w:val="0"/>
                    <w:spacing w:before="0" w:beforeAutospacing="0" w:after="0" w:afterAutospacing="0" w:line="240" w:lineRule="auto"/>
                    <w:ind w:left="0" w:right="0" w:rightChars="0" w:firstLine="0" w:firstLineChars="0"/>
                    <w:jc w:val="center"/>
                    <w:rPr>
                      <w:rFonts w:hint="default"/>
                      <w:b/>
                      <w:color w:val="auto"/>
                      <w:sz w:val="21"/>
                      <w:szCs w:val="21"/>
                      <w:highlight w:val="none"/>
                    </w:rPr>
                  </w:pPr>
                  <w:r>
                    <w:rPr>
                      <w:rFonts w:hint="default"/>
                      <w:b/>
                      <w:color w:val="auto"/>
                      <w:sz w:val="21"/>
                      <w:szCs w:val="21"/>
                      <w:highlight w:val="none"/>
                    </w:rPr>
                    <w:t>维度</w:t>
                  </w:r>
                </w:p>
              </w:tc>
              <w:tc>
                <w:tcPr>
                  <w:tcW w:w="1433" w:type="pct"/>
                  <w:noWrap w:val="0"/>
                  <w:vAlign w:val="center"/>
                </w:tcPr>
                <w:p w14:paraId="7D459204">
                  <w:pPr>
                    <w:pStyle w:val="5"/>
                    <w:keepNext w:val="0"/>
                    <w:keepLines w:val="0"/>
                    <w:suppressLineNumbers w:val="0"/>
                    <w:spacing w:before="0" w:beforeAutospacing="0" w:after="0" w:afterAutospacing="0" w:line="240" w:lineRule="auto"/>
                    <w:ind w:left="0" w:right="0" w:rightChars="0" w:firstLine="0" w:firstLineChars="0"/>
                    <w:jc w:val="center"/>
                    <w:rPr>
                      <w:rFonts w:hint="default"/>
                      <w:b/>
                      <w:color w:val="auto"/>
                      <w:sz w:val="21"/>
                      <w:szCs w:val="21"/>
                      <w:highlight w:val="none"/>
                    </w:rPr>
                  </w:pPr>
                  <w:r>
                    <w:rPr>
                      <w:rFonts w:hint="default"/>
                      <w:b/>
                      <w:color w:val="auto"/>
                      <w:sz w:val="21"/>
                      <w:szCs w:val="21"/>
                      <w:highlight w:val="none"/>
                    </w:rPr>
                    <w:t>管控要求</w:t>
                  </w:r>
                </w:p>
              </w:tc>
              <w:tc>
                <w:tcPr>
                  <w:tcW w:w="2553" w:type="pct"/>
                  <w:noWrap w:val="0"/>
                  <w:vAlign w:val="center"/>
                </w:tcPr>
                <w:p w14:paraId="0A4FCBCA">
                  <w:pPr>
                    <w:pStyle w:val="5"/>
                    <w:keepNext w:val="0"/>
                    <w:keepLines w:val="0"/>
                    <w:suppressLineNumbers w:val="0"/>
                    <w:spacing w:before="0" w:beforeAutospacing="0" w:after="0" w:afterAutospacing="0" w:line="240" w:lineRule="auto"/>
                    <w:ind w:left="0" w:right="0" w:rightChars="0" w:firstLine="0" w:firstLineChars="0"/>
                    <w:jc w:val="center"/>
                    <w:rPr>
                      <w:rFonts w:hint="default"/>
                      <w:b/>
                      <w:color w:val="auto"/>
                      <w:sz w:val="21"/>
                      <w:szCs w:val="21"/>
                      <w:highlight w:val="none"/>
                    </w:rPr>
                  </w:pPr>
                  <w:r>
                    <w:rPr>
                      <w:rFonts w:hint="default"/>
                      <w:b/>
                      <w:color w:val="auto"/>
                      <w:sz w:val="21"/>
                      <w:szCs w:val="21"/>
                      <w:highlight w:val="none"/>
                    </w:rPr>
                    <w:t>项目情况</w:t>
                  </w:r>
                </w:p>
              </w:tc>
              <w:tc>
                <w:tcPr>
                  <w:tcW w:w="537" w:type="pct"/>
                  <w:noWrap w:val="0"/>
                  <w:vAlign w:val="center"/>
                </w:tcPr>
                <w:p w14:paraId="01650B59">
                  <w:pPr>
                    <w:pStyle w:val="5"/>
                    <w:keepNext w:val="0"/>
                    <w:keepLines w:val="0"/>
                    <w:suppressLineNumbers w:val="0"/>
                    <w:spacing w:before="0" w:beforeAutospacing="0" w:after="0" w:afterAutospacing="0" w:line="240" w:lineRule="auto"/>
                    <w:ind w:left="0" w:right="0" w:rightChars="0" w:firstLine="0" w:firstLineChars="0"/>
                    <w:jc w:val="center"/>
                    <w:rPr>
                      <w:rFonts w:hint="default"/>
                      <w:b/>
                      <w:color w:val="auto"/>
                      <w:sz w:val="21"/>
                      <w:szCs w:val="21"/>
                      <w:highlight w:val="none"/>
                    </w:rPr>
                  </w:pPr>
                  <w:r>
                    <w:rPr>
                      <w:rFonts w:hint="default"/>
                      <w:b/>
                      <w:color w:val="auto"/>
                      <w:spacing w:val="-17"/>
                      <w:sz w:val="21"/>
                      <w:szCs w:val="21"/>
                      <w:highlight w:val="none"/>
                    </w:rPr>
                    <w:t>符合性分析</w:t>
                  </w:r>
                </w:p>
              </w:tc>
            </w:tr>
            <w:tr w14:paraId="020FB0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475" w:type="pct"/>
                  <w:noWrap w:val="0"/>
                  <w:vAlign w:val="center"/>
                </w:tcPr>
                <w:p w14:paraId="095A3F72">
                  <w:pPr>
                    <w:pStyle w:val="5"/>
                    <w:keepNext w:val="0"/>
                    <w:keepLines w:val="0"/>
                    <w:suppressLineNumbers w:val="0"/>
                    <w:spacing w:before="0" w:beforeAutospacing="0" w:after="0" w:afterAutospacing="0" w:line="240" w:lineRule="auto"/>
                    <w:ind w:left="0" w:right="0" w:rightChars="0" w:firstLine="0" w:firstLineChars="0"/>
                    <w:jc w:val="center"/>
                    <w:rPr>
                      <w:rFonts w:hint="default"/>
                      <w:bCs w:val="0"/>
                      <w:color w:val="auto"/>
                      <w:sz w:val="21"/>
                      <w:szCs w:val="21"/>
                      <w:highlight w:val="none"/>
                    </w:rPr>
                  </w:pPr>
                  <w:r>
                    <w:rPr>
                      <w:rFonts w:hint="default"/>
                      <w:b/>
                      <w:color w:val="auto"/>
                      <w:sz w:val="21"/>
                      <w:szCs w:val="21"/>
                      <w:highlight w:val="none"/>
                    </w:rPr>
                    <w:t>空间布局约束</w:t>
                  </w:r>
                </w:p>
              </w:tc>
              <w:tc>
                <w:tcPr>
                  <w:tcW w:w="1433" w:type="pct"/>
                  <w:noWrap w:val="0"/>
                  <w:vAlign w:val="top"/>
                </w:tcPr>
                <w:p w14:paraId="2AF3EC8C">
                  <w:pPr>
                    <w:pStyle w:val="5"/>
                    <w:keepNext w:val="0"/>
                    <w:keepLines w:val="0"/>
                    <w:numPr>
                      <w:ilvl w:val="0"/>
                      <w:numId w:val="2"/>
                    </w:numPr>
                    <w:suppressLineNumbers w:val="0"/>
                    <w:spacing w:before="0" w:beforeAutospacing="0" w:after="0" w:afterAutospacing="0" w:line="240" w:lineRule="auto"/>
                    <w:ind w:left="0" w:right="0" w:rightChars="0" w:firstLine="0" w:firstLineChars="0"/>
                    <w:rPr>
                      <w:rFonts w:hint="default"/>
                      <w:bCs w:val="0"/>
                      <w:color w:val="auto"/>
                      <w:sz w:val="21"/>
                      <w:szCs w:val="21"/>
                      <w:highlight w:val="none"/>
                    </w:rPr>
                  </w:pPr>
                  <w:r>
                    <w:rPr>
                      <w:rFonts w:hint="eastAsia"/>
                      <w:bCs w:val="0"/>
                      <w:color w:val="auto"/>
                      <w:sz w:val="21"/>
                      <w:szCs w:val="21"/>
                      <w:highlight w:val="none"/>
                      <w:lang w:val="en-US" w:eastAsia="zh-CN"/>
                    </w:rPr>
                    <w:t>执行山西省、重点区域（汾渭平原）、阳泉市空间布局准入的要求；2.排放大气污染物的工业项目应当按照规划和环境保护规定进入工业园区；3.禁止在邻近基本农田区域排放重金属和多环芳烃、石油烃等有机物的开发建设活动</w:t>
                  </w:r>
                </w:p>
              </w:tc>
              <w:tc>
                <w:tcPr>
                  <w:tcW w:w="2553" w:type="pct"/>
                  <w:noWrap w:val="0"/>
                  <w:vAlign w:val="top"/>
                </w:tcPr>
                <w:p w14:paraId="76BEE35D">
                  <w:pPr>
                    <w:pStyle w:val="5"/>
                    <w:keepNext w:val="0"/>
                    <w:keepLines w:val="0"/>
                    <w:suppressLineNumbers w:val="0"/>
                    <w:spacing w:before="0" w:beforeAutospacing="0" w:after="0" w:afterAutospacing="0" w:line="240" w:lineRule="auto"/>
                    <w:ind w:left="0" w:right="0" w:rightChars="0" w:firstLine="0" w:firstLineChars="0"/>
                    <w:rPr>
                      <w:rFonts w:hint="default"/>
                      <w:color w:val="auto"/>
                      <w:sz w:val="21"/>
                      <w:szCs w:val="21"/>
                      <w:highlight w:val="none"/>
                    </w:rPr>
                  </w:pPr>
                  <w:r>
                    <w:rPr>
                      <w:rFonts w:hint="default"/>
                      <w:color w:val="auto"/>
                      <w:sz w:val="21"/>
                      <w:szCs w:val="21"/>
                      <w:highlight w:val="none"/>
                    </w:rPr>
                    <w:t>1.</w:t>
                  </w:r>
                  <w:r>
                    <w:rPr>
                      <w:rFonts w:hint="eastAsia"/>
                      <w:color w:val="auto"/>
                      <w:sz w:val="21"/>
                      <w:szCs w:val="21"/>
                      <w:highlight w:val="none"/>
                      <w:lang w:val="en-US" w:eastAsia="zh-CN"/>
                    </w:rPr>
                    <w:t>本项目不位于</w:t>
                  </w:r>
                  <w:r>
                    <w:rPr>
                      <w:rFonts w:hint="eastAsia" w:ascii="Times New Roman" w:hAnsi="Times New Roman" w:eastAsia="宋体" w:cs="Times New Roman"/>
                      <w:bCs w:val="0"/>
                      <w:color w:val="auto"/>
                      <w:sz w:val="21"/>
                      <w:szCs w:val="21"/>
                      <w:highlight w:val="none"/>
                      <w:lang w:val="en-US" w:eastAsia="zh-CN"/>
                    </w:rPr>
                    <w:t>生态保护红线范围内，不在城镇开发边界范围内，未占用耕地及永久基本农田，因此符合山西省、重点</w:t>
                  </w:r>
                  <w:r>
                    <w:rPr>
                      <w:rFonts w:hint="eastAsia"/>
                      <w:color w:val="auto"/>
                      <w:sz w:val="21"/>
                      <w:szCs w:val="21"/>
                      <w:highlight w:val="none"/>
                      <w:lang w:val="en-US" w:eastAsia="zh-CN"/>
                    </w:rPr>
                    <w:t>区域（汾渭平原）、阳泉空间布局准入的要求</w:t>
                  </w:r>
                  <w:r>
                    <w:rPr>
                      <w:rFonts w:hint="default"/>
                      <w:color w:val="auto"/>
                      <w:sz w:val="21"/>
                      <w:szCs w:val="21"/>
                      <w:highlight w:val="none"/>
                    </w:rPr>
                    <w:t>；</w:t>
                  </w:r>
                </w:p>
                <w:p w14:paraId="1E67ECB2">
                  <w:pPr>
                    <w:pStyle w:val="5"/>
                    <w:keepNext w:val="0"/>
                    <w:keepLines w:val="0"/>
                    <w:suppressLineNumbers w:val="0"/>
                    <w:spacing w:before="0" w:beforeAutospacing="0" w:after="0" w:afterAutospacing="0" w:line="240" w:lineRule="auto"/>
                    <w:ind w:left="0" w:right="0" w:rightChars="0" w:firstLine="0" w:firstLineChars="0"/>
                    <w:rPr>
                      <w:rFonts w:hint="default"/>
                      <w:bCs w:val="0"/>
                      <w:color w:val="auto"/>
                      <w:sz w:val="21"/>
                      <w:szCs w:val="21"/>
                      <w:highlight w:val="none"/>
                    </w:rPr>
                  </w:pPr>
                  <w:r>
                    <w:rPr>
                      <w:rFonts w:hint="eastAsia" w:ascii="Times New Roman" w:hAnsi="Times New Roman" w:eastAsia="宋体" w:cs="Times New Roman"/>
                      <w:bCs w:val="0"/>
                      <w:color w:val="auto"/>
                      <w:sz w:val="21"/>
                      <w:szCs w:val="21"/>
                      <w:highlight w:val="none"/>
                      <w:lang w:val="en-US" w:eastAsia="zh-CN"/>
                    </w:rPr>
                    <w:t>2.本项目玻璃微珠利用兴裕煤矿低浓度瓦斯进行生产，</w:t>
                  </w:r>
                  <w:r>
                    <w:rPr>
                      <w:rFonts w:hint="eastAsia" w:ascii="Times New Roman" w:hAnsi="Times New Roman" w:eastAsia="宋体" w:cs="Times New Roman"/>
                      <w:bCs w:val="0"/>
                      <w:color w:val="auto"/>
                      <w:sz w:val="21"/>
                      <w:szCs w:val="21"/>
                      <w:highlight w:val="none"/>
                    </w:rPr>
                    <w:t>厂址选址于所属矿区范围内，瓦斯气源可通过已敷设完工的专用管道直接输送至项目厂区，气源供给便捷可靠</w:t>
                  </w:r>
                  <w:r>
                    <w:rPr>
                      <w:rFonts w:hint="eastAsia" w:ascii="Times New Roman" w:hAnsi="Times New Roman" w:eastAsia="宋体" w:cs="Times New Roman"/>
                      <w:bCs w:val="0"/>
                      <w:color w:val="auto"/>
                      <w:sz w:val="21"/>
                      <w:szCs w:val="21"/>
                      <w:highlight w:val="none"/>
                      <w:lang w:val="en-US" w:eastAsia="zh-CN"/>
                    </w:rPr>
                    <w:t>；</w:t>
                  </w:r>
                </w:p>
                <w:p w14:paraId="2BCAC216">
                  <w:pPr>
                    <w:pStyle w:val="5"/>
                    <w:keepNext w:val="0"/>
                    <w:keepLines w:val="0"/>
                    <w:suppressLineNumbers w:val="0"/>
                    <w:spacing w:before="0" w:beforeAutospacing="0" w:after="0" w:afterAutospacing="0" w:line="240" w:lineRule="auto"/>
                    <w:ind w:left="0" w:right="0" w:rightChars="0" w:firstLine="0" w:firstLineChars="0"/>
                    <w:rPr>
                      <w:rFonts w:hint="default"/>
                      <w:bCs w:val="0"/>
                      <w:color w:val="auto"/>
                      <w:sz w:val="21"/>
                      <w:szCs w:val="21"/>
                      <w:highlight w:val="none"/>
                    </w:rPr>
                  </w:pPr>
                  <w:r>
                    <w:rPr>
                      <w:rFonts w:hint="default"/>
                      <w:color w:val="auto"/>
                      <w:sz w:val="21"/>
                      <w:szCs w:val="21"/>
                      <w:highlight w:val="none"/>
                    </w:rPr>
                    <w:t>3.</w:t>
                  </w:r>
                  <w:r>
                    <w:rPr>
                      <w:rFonts w:hint="eastAsia"/>
                      <w:color w:val="auto"/>
                      <w:sz w:val="21"/>
                      <w:szCs w:val="21"/>
                      <w:highlight w:val="none"/>
                      <w:lang w:val="en-US" w:eastAsia="zh-CN"/>
                    </w:rPr>
                    <w:t>本项目排放污染物为颗粒物，不涉及</w:t>
                  </w:r>
                  <w:r>
                    <w:rPr>
                      <w:rFonts w:hint="eastAsia"/>
                      <w:bCs w:val="0"/>
                      <w:color w:val="auto"/>
                      <w:sz w:val="21"/>
                      <w:szCs w:val="21"/>
                      <w:highlight w:val="none"/>
                      <w:lang w:val="en-US" w:eastAsia="zh-CN"/>
                    </w:rPr>
                    <w:t>重金属和多环芳烃、石油烃等有机物的排放</w:t>
                  </w:r>
                  <w:r>
                    <w:rPr>
                      <w:rFonts w:hint="eastAsia"/>
                      <w:color w:val="auto"/>
                      <w:sz w:val="21"/>
                      <w:szCs w:val="21"/>
                      <w:highlight w:val="none"/>
                      <w:lang w:eastAsia="zh-CN"/>
                    </w:rPr>
                    <w:t>。</w:t>
                  </w:r>
                </w:p>
              </w:tc>
              <w:tc>
                <w:tcPr>
                  <w:tcW w:w="537" w:type="pct"/>
                  <w:noWrap w:val="0"/>
                  <w:vAlign w:val="center"/>
                </w:tcPr>
                <w:p w14:paraId="6D2BEECF">
                  <w:pPr>
                    <w:pStyle w:val="5"/>
                    <w:keepNext w:val="0"/>
                    <w:keepLines w:val="0"/>
                    <w:suppressLineNumbers w:val="0"/>
                    <w:spacing w:before="0" w:beforeAutospacing="0" w:after="0" w:afterAutospacing="0" w:line="240" w:lineRule="auto"/>
                    <w:ind w:left="0" w:right="0" w:rightChars="0" w:firstLine="0" w:firstLineChars="0"/>
                    <w:jc w:val="center"/>
                    <w:rPr>
                      <w:rFonts w:hint="default"/>
                      <w:bCs w:val="0"/>
                      <w:color w:val="auto"/>
                      <w:sz w:val="21"/>
                      <w:szCs w:val="21"/>
                      <w:highlight w:val="none"/>
                    </w:rPr>
                  </w:pPr>
                  <w:r>
                    <w:rPr>
                      <w:rFonts w:hint="default"/>
                      <w:bCs w:val="0"/>
                      <w:color w:val="auto"/>
                      <w:sz w:val="21"/>
                      <w:szCs w:val="21"/>
                      <w:highlight w:val="none"/>
                    </w:rPr>
                    <w:t>符合</w:t>
                  </w:r>
                </w:p>
              </w:tc>
            </w:tr>
            <w:tr w14:paraId="44EC85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475" w:type="pct"/>
                  <w:noWrap w:val="0"/>
                  <w:vAlign w:val="center"/>
                </w:tcPr>
                <w:p w14:paraId="392F3F7F">
                  <w:pPr>
                    <w:pStyle w:val="5"/>
                    <w:keepNext w:val="0"/>
                    <w:keepLines w:val="0"/>
                    <w:suppressLineNumbers w:val="0"/>
                    <w:spacing w:before="0" w:beforeAutospacing="0" w:after="0" w:afterAutospacing="0" w:line="240" w:lineRule="auto"/>
                    <w:ind w:left="0" w:right="0" w:rightChars="0" w:firstLine="0" w:firstLineChars="0"/>
                    <w:jc w:val="center"/>
                    <w:rPr>
                      <w:rFonts w:hint="default"/>
                      <w:bCs w:val="0"/>
                      <w:color w:val="auto"/>
                      <w:sz w:val="21"/>
                      <w:szCs w:val="21"/>
                      <w:highlight w:val="none"/>
                    </w:rPr>
                  </w:pPr>
                  <w:r>
                    <w:rPr>
                      <w:rFonts w:hint="default"/>
                      <w:b/>
                      <w:color w:val="auto"/>
                      <w:sz w:val="21"/>
                      <w:szCs w:val="21"/>
                      <w:highlight w:val="none"/>
                    </w:rPr>
                    <w:t>污染物排放管控</w:t>
                  </w:r>
                </w:p>
              </w:tc>
              <w:tc>
                <w:tcPr>
                  <w:tcW w:w="1433" w:type="pct"/>
                  <w:noWrap w:val="0"/>
                  <w:vAlign w:val="top"/>
                </w:tcPr>
                <w:p w14:paraId="63F2F353">
                  <w:pPr>
                    <w:keepNext w:val="0"/>
                    <w:keepLines w:val="0"/>
                    <w:widowControl/>
                    <w:suppressLineNumbers w:val="0"/>
                    <w:spacing w:before="0" w:beforeAutospacing="0" w:after="0" w:afterAutospacing="0"/>
                    <w:ind w:left="0" w:right="0"/>
                    <w:jc w:val="left"/>
                    <w:rPr>
                      <w:rFonts w:hint="default" w:ascii="Times New Roman" w:hAnsi="Times New Roman" w:cs="Times New Roman"/>
                      <w:bCs w:val="0"/>
                      <w:color w:val="auto"/>
                      <w:sz w:val="21"/>
                      <w:szCs w:val="21"/>
                      <w:highlight w:val="none"/>
                    </w:rPr>
                  </w:pPr>
                  <w:r>
                    <w:rPr>
                      <w:rFonts w:hint="eastAsia" w:ascii="Times New Roman" w:hAnsi="Times New Roman" w:eastAsia="宋体" w:cs="Times New Roman"/>
                      <w:bCs w:val="0"/>
                      <w:color w:val="auto"/>
                      <w:kern w:val="2"/>
                      <w:sz w:val="21"/>
                      <w:szCs w:val="21"/>
                      <w:highlight w:val="none"/>
                      <w:lang w:val="en-US" w:eastAsia="zh-CN" w:bidi="ar-SA"/>
                    </w:rPr>
                    <w:t>执行山西省、重点区域（汾渭平原）、阳泉市的污染物排放控制要求</w:t>
                  </w:r>
                </w:p>
              </w:tc>
              <w:tc>
                <w:tcPr>
                  <w:tcW w:w="2553" w:type="pct"/>
                  <w:noWrap w:val="0"/>
                  <w:vAlign w:val="top"/>
                </w:tcPr>
                <w:p w14:paraId="62CBC2EC">
                  <w:pPr>
                    <w:pStyle w:val="5"/>
                    <w:keepNext w:val="0"/>
                    <w:keepLines w:val="0"/>
                    <w:numPr>
                      <w:ilvl w:val="0"/>
                      <w:numId w:val="0"/>
                    </w:numPr>
                    <w:suppressLineNumbers w:val="0"/>
                    <w:spacing w:before="0" w:beforeAutospacing="0" w:after="0" w:afterAutospacing="0" w:line="240" w:lineRule="auto"/>
                    <w:ind w:left="0" w:leftChars="0" w:right="0" w:rightChars="0" w:firstLine="0" w:firstLineChars="0"/>
                    <w:rPr>
                      <w:rFonts w:hint="eastAsia"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1.</w:t>
                  </w:r>
                  <w:r>
                    <w:rPr>
                      <w:rFonts w:hint="eastAsia" w:cs="Times New Roman"/>
                      <w:bCs/>
                      <w:color w:val="auto"/>
                      <w:kern w:val="2"/>
                      <w:sz w:val="21"/>
                      <w:szCs w:val="21"/>
                      <w:highlight w:val="none"/>
                      <w:lang w:val="en-US" w:eastAsia="zh-CN" w:bidi="ar-SA"/>
                    </w:rPr>
                    <w:t>本项目</w:t>
                  </w:r>
                  <w:r>
                    <w:rPr>
                      <w:rFonts w:hint="default" w:ascii="Times New Roman" w:hAnsi="Times New Roman" w:eastAsia="宋体" w:cs="Times New Roman"/>
                      <w:b w:val="0"/>
                      <w:bCs w:val="0"/>
                      <w:color w:val="auto"/>
                      <w:kern w:val="0"/>
                      <w:sz w:val="21"/>
                      <w:szCs w:val="21"/>
                      <w:highlight w:val="none"/>
                      <w:lang w:val="en-US" w:eastAsia="zh-CN"/>
                    </w:rPr>
                    <w:t>生产过程中，</w:t>
                  </w:r>
                  <w:r>
                    <w:rPr>
                      <w:rFonts w:hint="eastAsia" w:ascii="Times New Roman" w:hAnsi="Times New Roman" w:eastAsia="宋体" w:cs="Times New Roman"/>
                      <w:b w:val="0"/>
                      <w:bCs/>
                      <w:color w:val="auto"/>
                      <w:kern w:val="2"/>
                      <w:sz w:val="21"/>
                      <w:szCs w:val="21"/>
                      <w:highlight w:val="none"/>
                      <w:lang w:val="en-US" w:eastAsia="zh-CN"/>
                    </w:rPr>
                    <w:t>污染物排放满足</w:t>
                  </w:r>
                  <w:r>
                    <w:rPr>
                      <w:rFonts w:hint="eastAsia"/>
                      <w:color w:val="auto"/>
                      <w:sz w:val="21"/>
                      <w:szCs w:val="21"/>
                      <w:highlight w:val="none"/>
                    </w:rPr>
                    <w:t>《山西省工业炉窑大气污染综合治理实施方案》（晋环大气〔2019〕164号）</w:t>
                  </w:r>
                </w:p>
                <w:p w14:paraId="1890CA71">
                  <w:pPr>
                    <w:pStyle w:val="5"/>
                    <w:keepNext w:val="0"/>
                    <w:keepLines w:val="0"/>
                    <w:numPr>
                      <w:ilvl w:val="0"/>
                      <w:numId w:val="0"/>
                    </w:numPr>
                    <w:suppressLineNumbers w:val="0"/>
                    <w:spacing w:before="0" w:beforeAutospacing="0" w:after="0" w:afterAutospacing="0" w:line="240" w:lineRule="auto"/>
                    <w:ind w:left="0" w:leftChars="0" w:right="0" w:rightChars="0" w:firstLine="0" w:firstLineChars="0"/>
                    <w:rPr>
                      <w:rFonts w:hint="default"/>
                      <w:bCs w:val="0"/>
                      <w:color w:val="auto"/>
                      <w:sz w:val="21"/>
                      <w:szCs w:val="21"/>
                      <w:highlight w:val="none"/>
                    </w:rPr>
                  </w:pPr>
                  <w:r>
                    <w:rPr>
                      <w:rFonts w:hint="eastAsia" w:cs="Times New Roman"/>
                      <w:bCs/>
                      <w:color w:val="auto"/>
                      <w:kern w:val="2"/>
                      <w:sz w:val="21"/>
                      <w:szCs w:val="21"/>
                      <w:highlight w:val="none"/>
                      <w:lang w:val="en-US" w:eastAsia="zh-CN" w:bidi="ar-SA"/>
                    </w:rPr>
                    <w:t>2.本项目需申请总量污染物为颗粒物、二氧化硫、氮氧化物，申请总量为</w:t>
                  </w:r>
                  <w:r>
                    <w:rPr>
                      <w:rFonts w:hint="eastAsia" w:ascii="Times New Roman" w:hAnsi="Times New Roman" w:eastAsia="宋体" w:cs="Times New Roman"/>
                      <w:color w:val="auto"/>
                      <w:sz w:val="21"/>
                      <w:szCs w:val="21"/>
                      <w:highlight w:val="none"/>
                      <w:lang w:val="en-US" w:eastAsia="zh-CN"/>
                    </w:rPr>
                    <w:t>颗粒物：</w:t>
                  </w:r>
                  <w:r>
                    <w:rPr>
                      <w:rFonts w:hint="eastAsia" w:cs="Times New Roman"/>
                      <w:color w:val="auto"/>
                      <w:sz w:val="21"/>
                      <w:szCs w:val="21"/>
                      <w:highlight w:val="none"/>
                      <w:lang w:val="en-US" w:eastAsia="zh-CN"/>
                    </w:rPr>
                    <w:t>1.895</w:t>
                  </w:r>
                  <w:r>
                    <w:rPr>
                      <w:rFonts w:hint="eastAsia" w:ascii="Times New Roman" w:hAnsi="Times New Roman" w:eastAsia="宋体" w:cs="Times New Roman"/>
                      <w:color w:val="auto"/>
                      <w:sz w:val="21"/>
                      <w:szCs w:val="21"/>
                      <w:highlight w:val="none"/>
                      <w:lang w:val="en-US" w:eastAsia="zh-CN"/>
                    </w:rPr>
                    <w:t>t/a，</w:t>
                  </w:r>
                  <w:r>
                    <w:rPr>
                      <w:rFonts w:hint="eastAsia" w:cs="Times New Roman"/>
                      <w:color w:val="auto"/>
                      <w:sz w:val="21"/>
                      <w:szCs w:val="21"/>
                      <w:highlight w:val="none"/>
                      <w:lang w:val="en-US" w:eastAsia="zh-CN"/>
                    </w:rPr>
                    <w:t>二氧化硫：0.057t/a，</w:t>
                  </w:r>
                  <w:r>
                    <w:rPr>
                      <w:rFonts w:hint="eastAsia" w:ascii="Times New Roman" w:hAnsi="Times New Roman" w:eastAsia="宋体" w:cs="Times New Roman"/>
                      <w:color w:val="auto"/>
                      <w:sz w:val="21"/>
                      <w:szCs w:val="21"/>
                      <w:highlight w:val="none"/>
                      <w:lang w:val="en-US" w:eastAsia="zh-CN"/>
                    </w:rPr>
                    <w:t>氮氧化物</w:t>
                  </w:r>
                  <w:r>
                    <w:rPr>
                      <w:rFonts w:hint="eastAsia" w:cs="Times New Roman"/>
                      <w:color w:val="auto"/>
                      <w:sz w:val="21"/>
                      <w:szCs w:val="21"/>
                      <w:highlight w:val="none"/>
                      <w:lang w:val="en-US" w:eastAsia="zh-CN"/>
                    </w:rPr>
                    <w:t>2.65</w:t>
                  </w:r>
                  <w:r>
                    <w:rPr>
                      <w:rFonts w:hint="eastAsia" w:ascii="Times New Roman" w:hAnsi="Times New Roman" w:eastAsia="宋体" w:cs="Times New Roman"/>
                      <w:color w:val="auto"/>
                      <w:sz w:val="21"/>
                      <w:szCs w:val="21"/>
                      <w:highlight w:val="none"/>
                      <w:lang w:val="en-US" w:eastAsia="zh-CN"/>
                    </w:rPr>
                    <w:t>t/a</w:t>
                  </w:r>
                  <w:r>
                    <w:rPr>
                      <w:rFonts w:hint="eastAsia" w:ascii="Times New Roman" w:hAnsi="Times New Roman" w:eastAsia="宋体" w:cs="Times New Roman"/>
                      <w:bCs/>
                      <w:color w:val="auto"/>
                      <w:kern w:val="2"/>
                      <w:sz w:val="21"/>
                      <w:szCs w:val="21"/>
                      <w:highlight w:val="none"/>
                      <w:lang w:val="en-US" w:eastAsia="zh-CN" w:bidi="ar-SA"/>
                    </w:rPr>
                    <w:t>。</w:t>
                  </w:r>
                </w:p>
              </w:tc>
              <w:tc>
                <w:tcPr>
                  <w:tcW w:w="537" w:type="pct"/>
                  <w:noWrap w:val="0"/>
                  <w:vAlign w:val="center"/>
                </w:tcPr>
                <w:p w14:paraId="68D50FF3">
                  <w:pPr>
                    <w:pStyle w:val="5"/>
                    <w:keepNext w:val="0"/>
                    <w:keepLines w:val="0"/>
                    <w:suppressLineNumbers w:val="0"/>
                    <w:spacing w:before="0" w:beforeAutospacing="0" w:after="0" w:afterAutospacing="0" w:line="240" w:lineRule="auto"/>
                    <w:ind w:left="0" w:right="0" w:rightChars="0" w:firstLine="0" w:firstLineChars="0"/>
                    <w:jc w:val="center"/>
                    <w:rPr>
                      <w:rFonts w:hint="default"/>
                      <w:bCs w:val="0"/>
                      <w:color w:val="auto"/>
                      <w:sz w:val="21"/>
                      <w:szCs w:val="21"/>
                      <w:highlight w:val="none"/>
                    </w:rPr>
                  </w:pPr>
                  <w:r>
                    <w:rPr>
                      <w:rFonts w:hint="default"/>
                      <w:bCs w:val="0"/>
                      <w:color w:val="auto"/>
                      <w:sz w:val="21"/>
                      <w:szCs w:val="21"/>
                      <w:highlight w:val="none"/>
                    </w:rPr>
                    <w:t>符合</w:t>
                  </w:r>
                </w:p>
              </w:tc>
            </w:tr>
          </w:tbl>
          <w:p w14:paraId="1F4CB5BE">
            <w:pPr>
              <w:pStyle w:val="16"/>
              <w:keepNext w:val="0"/>
              <w:keepLines w:val="0"/>
              <w:suppressLineNumbers w:val="0"/>
              <w:spacing w:before="0" w:beforeAutospacing="0" w:after="0" w:afterAutospacing="0"/>
              <w:ind w:left="0" w:right="0"/>
              <w:rPr>
                <w:rFonts w:hint="eastAsia" w:ascii="Times New Roman" w:hAnsi="Times New Roman" w:cs="Times New Roman"/>
                <w:color w:val="auto"/>
                <w:lang w:val="en-US" w:eastAsia="zh-CN"/>
              </w:rPr>
            </w:pPr>
          </w:p>
          <w:p w14:paraId="4B52F776">
            <w:pPr>
              <w:keepNext w:val="0"/>
              <w:keepLines w:val="0"/>
              <w:numPr>
                <w:ilvl w:val="0"/>
                <w:numId w:val="0"/>
              </w:numPr>
              <w:suppressLineNumbers w:val="0"/>
              <w:spacing w:before="0" w:beforeAutospacing="0" w:after="0" w:afterAutospacing="0" w:line="360" w:lineRule="auto"/>
              <w:ind w:left="0" w:right="0" w:firstLine="482" w:firstLineChars="200"/>
              <w:rPr>
                <w:rFonts w:hint="eastAsia" w:ascii="Times New Roman" w:hAnsi="Times New Roman" w:cs="Times New Roman"/>
                <w:b/>
                <w:color w:val="auto"/>
                <w:sz w:val="24"/>
                <w:highlight w:val="none"/>
                <w:lang w:eastAsia="zh-CN"/>
              </w:rPr>
            </w:pPr>
            <w:r>
              <w:rPr>
                <w:rFonts w:hint="eastAsia" w:cs="Times New Roman"/>
                <w:b/>
                <w:color w:val="auto"/>
                <w:kern w:val="2"/>
                <w:sz w:val="24"/>
                <w:szCs w:val="24"/>
                <w:lang w:val="en-US" w:eastAsia="zh-CN" w:bidi="ar-SA"/>
              </w:rPr>
              <w:t>4.</w:t>
            </w:r>
            <w:r>
              <w:rPr>
                <w:rFonts w:hint="eastAsia" w:ascii="Times New Roman" w:hAnsi="Times New Roman" w:cs="Times New Roman"/>
                <w:b/>
                <w:color w:val="auto"/>
                <w:sz w:val="24"/>
                <w:highlight w:val="none"/>
              </w:rPr>
              <w:t>与</w:t>
            </w:r>
            <w:r>
              <w:rPr>
                <w:rFonts w:hint="eastAsia" w:ascii="Times New Roman" w:hAnsi="Times New Roman" w:cs="Times New Roman"/>
                <w:b/>
                <w:color w:val="auto"/>
                <w:sz w:val="24"/>
                <w:highlight w:val="none"/>
                <w:lang w:eastAsia="zh-CN"/>
              </w:rPr>
              <w:t>《山西省工业炉窑大气污染综合治理实施方案》（晋环大气</w:t>
            </w:r>
            <w:r>
              <w:rPr>
                <w:rFonts w:hint="eastAsia" w:ascii="Times New Roman" w:hAnsi="Times New Roman" w:cs="Times New Roman"/>
                <w:b/>
                <w:color w:val="auto"/>
                <w:sz w:val="24"/>
                <w:highlight w:val="none"/>
              </w:rPr>
              <w:t>〔</w:t>
            </w:r>
            <w:r>
              <w:rPr>
                <w:rFonts w:hint="eastAsia" w:ascii="Times New Roman" w:hAnsi="Times New Roman" w:cs="Times New Roman"/>
                <w:b/>
                <w:color w:val="auto"/>
                <w:sz w:val="24"/>
                <w:highlight w:val="none"/>
                <w:lang w:val="en-US" w:eastAsia="zh-CN"/>
              </w:rPr>
              <w:t>2019</w:t>
            </w:r>
            <w:r>
              <w:rPr>
                <w:rFonts w:hint="eastAsia" w:ascii="Times New Roman" w:hAnsi="Times New Roman" w:cs="Times New Roman"/>
                <w:b/>
                <w:color w:val="auto"/>
                <w:sz w:val="24"/>
                <w:highlight w:val="none"/>
              </w:rPr>
              <w:t>〕</w:t>
            </w:r>
            <w:r>
              <w:rPr>
                <w:rFonts w:hint="eastAsia" w:ascii="Times New Roman" w:hAnsi="Times New Roman" w:cs="Times New Roman"/>
                <w:b/>
                <w:color w:val="auto"/>
                <w:sz w:val="24"/>
                <w:highlight w:val="none"/>
                <w:lang w:val="en-US" w:eastAsia="zh-CN"/>
              </w:rPr>
              <w:t>164号</w:t>
            </w:r>
            <w:r>
              <w:rPr>
                <w:rFonts w:hint="eastAsia" w:ascii="Times New Roman" w:hAnsi="Times New Roman" w:cs="Times New Roman"/>
                <w:b/>
                <w:color w:val="auto"/>
                <w:sz w:val="24"/>
                <w:highlight w:val="none"/>
                <w:lang w:eastAsia="zh-CN"/>
              </w:rPr>
              <w:t>）的符合性分析</w:t>
            </w:r>
          </w:p>
          <w:p w14:paraId="747FF181">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b/>
                <w:bCs w:val="0"/>
                <w:color w:val="auto"/>
                <w:kern w:val="0"/>
                <w:sz w:val="24"/>
                <w:szCs w:val="24"/>
                <w:highlight w:val="none"/>
                <w:lang w:val="en-US" w:eastAsia="zh-CN"/>
              </w:rPr>
            </w:pPr>
            <w:r>
              <w:rPr>
                <w:rFonts w:hint="eastAsia" w:ascii="Times New Roman" w:hAnsi="Times New Roman" w:eastAsia="宋体" w:cs="Times New Roman"/>
                <w:bCs/>
                <w:color w:val="auto"/>
                <w:sz w:val="24"/>
                <w:highlight w:val="none"/>
                <w:lang w:val="en-US" w:eastAsia="zh-CN"/>
              </w:rPr>
              <w:t>2019年10月18日，山西省生态环境厅、山西省发展和改革委员会、山西省工业和信息化厅、山西省财政厅联合下发了“关于印发《山西省工业炉窑大气污染综合治理实施方案》的通知”，本项目与《实施方案》的符合性分析详见表1</w:t>
            </w:r>
            <w:r>
              <w:rPr>
                <w:rFonts w:hint="eastAsia" w:cs="Times New Roman"/>
                <w:bCs/>
                <w:color w:val="auto"/>
                <w:sz w:val="24"/>
                <w:highlight w:val="none"/>
                <w:lang w:val="en-US" w:eastAsia="zh-CN"/>
              </w:rPr>
              <w:t>-3</w:t>
            </w:r>
            <w:r>
              <w:rPr>
                <w:rFonts w:hint="eastAsia" w:ascii="Times New Roman" w:hAnsi="Times New Roman" w:eastAsia="宋体" w:cs="Times New Roman"/>
                <w:bCs/>
                <w:color w:val="auto"/>
                <w:sz w:val="24"/>
                <w:highlight w:val="none"/>
                <w:lang w:val="en-US" w:eastAsia="zh-CN"/>
              </w:rPr>
              <w:t>。</w:t>
            </w:r>
          </w:p>
          <w:p w14:paraId="21482B50">
            <w:pPr>
              <w:keepNext w:val="0"/>
              <w:keepLines w:val="0"/>
              <w:widowControl/>
              <w:suppressLineNumbers w:val="0"/>
              <w:spacing w:before="0" w:beforeAutospacing="0" w:after="0" w:afterAutospacing="0" w:line="360" w:lineRule="auto"/>
              <w:ind w:left="0" w:right="0" w:firstLine="0" w:firstLineChars="0"/>
              <w:jc w:val="center"/>
              <w:rPr>
                <w:rFonts w:hint="eastAsia" w:ascii="Times New Roman" w:hAnsi="Times New Roman" w:eastAsia="宋体" w:cs="Times New Roman"/>
                <w:b/>
                <w:bCs/>
                <w:color w:val="auto"/>
                <w:kern w:val="2"/>
                <w:sz w:val="24"/>
                <w:szCs w:val="24"/>
                <w:highlight w:val="none"/>
                <w:lang w:val="en-US" w:eastAsia="zh-CN" w:bidi="ar"/>
              </w:rPr>
            </w:pPr>
            <w:r>
              <w:rPr>
                <w:rFonts w:hint="default" w:ascii="Times New Roman" w:hAnsi="Times New Roman" w:eastAsia="宋体" w:cs="Times New Roman"/>
                <w:b/>
                <w:bCs/>
                <w:color w:val="auto"/>
                <w:kern w:val="2"/>
                <w:sz w:val="24"/>
                <w:szCs w:val="24"/>
                <w:highlight w:val="none"/>
                <w:lang w:val="en-US" w:eastAsia="zh-CN" w:bidi="ar"/>
              </w:rPr>
              <w:t xml:space="preserve">表 </w:t>
            </w:r>
            <w:r>
              <w:rPr>
                <w:rFonts w:hint="eastAsia" w:ascii="Times New Roman" w:hAnsi="Times New Roman" w:eastAsia="宋体" w:cs="Times New Roman"/>
                <w:b/>
                <w:bCs/>
                <w:color w:val="auto"/>
                <w:kern w:val="2"/>
                <w:sz w:val="24"/>
                <w:szCs w:val="24"/>
                <w:highlight w:val="none"/>
                <w:lang w:val="en-US" w:eastAsia="zh-CN" w:bidi="ar"/>
              </w:rPr>
              <w:t>1-3本项目与《山西省工业炉窑大气污染综合治理实施方案》（晋环大气</w:t>
            </w:r>
            <w:r>
              <w:rPr>
                <w:rFonts w:hint="default" w:ascii="Times New Roman" w:hAnsi="Times New Roman" w:eastAsia="宋体" w:cs="Times New Roman"/>
                <w:b/>
                <w:bCs/>
                <w:color w:val="auto"/>
                <w:kern w:val="2"/>
                <w:sz w:val="24"/>
                <w:szCs w:val="24"/>
                <w:highlight w:val="none"/>
                <w:lang w:val="en-US" w:eastAsia="zh-CN" w:bidi="ar"/>
              </w:rPr>
              <w:t>〔2019〕1</w:t>
            </w:r>
            <w:r>
              <w:rPr>
                <w:rFonts w:hint="eastAsia" w:ascii="Times New Roman" w:hAnsi="Times New Roman" w:eastAsia="宋体" w:cs="Times New Roman"/>
                <w:b/>
                <w:bCs/>
                <w:color w:val="auto"/>
                <w:kern w:val="2"/>
                <w:sz w:val="24"/>
                <w:szCs w:val="24"/>
                <w:highlight w:val="none"/>
                <w:lang w:val="en-US" w:eastAsia="zh-CN" w:bidi="ar"/>
              </w:rPr>
              <w:t>64</w:t>
            </w:r>
            <w:r>
              <w:rPr>
                <w:rFonts w:hint="default" w:ascii="Times New Roman" w:hAnsi="Times New Roman" w:eastAsia="宋体" w:cs="Times New Roman"/>
                <w:b/>
                <w:bCs/>
                <w:color w:val="auto"/>
                <w:kern w:val="2"/>
                <w:sz w:val="24"/>
                <w:szCs w:val="24"/>
                <w:highlight w:val="none"/>
                <w:lang w:val="en-US" w:eastAsia="zh-CN" w:bidi="ar"/>
              </w:rPr>
              <w:t>号</w:t>
            </w:r>
            <w:r>
              <w:rPr>
                <w:rFonts w:hint="eastAsia" w:ascii="Times New Roman" w:hAnsi="Times New Roman" w:eastAsia="宋体" w:cs="Times New Roman"/>
                <w:b/>
                <w:bCs/>
                <w:color w:val="auto"/>
                <w:kern w:val="2"/>
                <w:sz w:val="24"/>
                <w:szCs w:val="24"/>
                <w:highlight w:val="none"/>
                <w:lang w:val="en-US" w:eastAsia="zh-CN" w:bidi="ar"/>
              </w:rPr>
              <w:t>）的符合性分析</w:t>
            </w:r>
          </w:p>
          <w:tbl>
            <w:tblPr>
              <w:tblStyle w:val="24"/>
              <w:tblW w:w="4997" w:type="pct"/>
              <w:tblInd w:w="-5" w:type="dxa"/>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Layout w:type="autofit"/>
              <w:tblCellMar>
                <w:top w:w="0" w:type="dxa"/>
                <w:left w:w="57" w:type="dxa"/>
                <w:bottom w:w="0" w:type="dxa"/>
                <w:right w:w="57" w:type="dxa"/>
              </w:tblCellMar>
            </w:tblPr>
            <w:tblGrid>
              <w:gridCol w:w="324"/>
              <w:gridCol w:w="470"/>
              <w:gridCol w:w="3883"/>
              <w:gridCol w:w="1246"/>
              <w:gridCol w:w="325"/>
            </w:tblGrid>
            <w:tr w14:paraId="38D5C326">
              <w:tblPrEx>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59" w:type="pct"/>
                  <w:tcBorders>
                    <w:tl2br w:val="nil"/>
                    <w:tr2bl w:val="nil"/>
                  </w:tcBorders>
                  <w:noWrap w:val="0"/>
                  <w:vAlign w:val="center"/>
                </w:tcPr>
                <w:p w14:paraId="2DA6C85E">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序号</w:t>
                  </w:r>
                </w:p>
              </w:tc>
              <w:tc>
                <w:tcPr>
                  <w:tcW w:w="376" w:type="pct"/>
                  <w:tcBorders>
                    <w:tl2br w:val="nil"/>
                    <w:tr2bl w:val="nil"/>
                  </w:tcBorders>
                  <w:noWrap w:val="0"/>
                  <w:vAlign w:val="center"/>
                </w:tcPr>
                <w:p w14:paraId="5E63FA35">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重点治理任务</w:t>
                  </w:r>
                </w:p>
              </w:tc>
              <w:tc>
                <w:tcPr>
                  <w:tcW w:w="3106" w:type="pct"/>
                  <w:tcBorders>
                    <w:tl2br w:val="nil"/>
                    <w:tr2bl w:val="nil"/>
                  </w:tcBorders>
                  <w:noWrap w:val="0"/>
                  <w:vAlign w:val="center"/>
                </w:tcPr>
                <w:p w14:paraId="4A5F3B1F">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主要内容</w:t>
                  </w:r>
                </w:p>
              </w:tc>
              <w:tc>
                <w:tcPr>
                  <w:tcW w:w="997" w:type="pct"/>
                  <w:tcBorders>
                    <w:tl2br w:val="nil"/>
                    <w:tr2bl w:val="nil"/>
                  </w:tcBorders>
                  <w:noWrap w:val="0"/>
                  <w:vAlign w:val="center"/>
                </w:tcPr>
                <w:p w14:paraId="1A8EE039">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本项目建设情况</w:t>
                  </w:r>
                </w:p>
              </w:tc>
              <w:tc>
                <w:tcPr>
                  <w:tcW w:w="260" w:type="pct"/>
                  <w:tcBorders>
                    <w:tl2br w:val="nil"/>
                    <w:tr2bl w:val="nil"/>
                  </w:tcBorders>
                  <w:noWrap w:val="0"/>
                  <w:vAlign w:val="center"/>
                </w:tcPr>
                <w:p w14:paraId="70E59DC1">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符合性</w:t>
                  </w:r>
                </w:p>
              </w:tc>
            </w:tr>
            <w:tr w14:paraId="49F9B37E">
              <w:tblPrEx>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90" w:hRule="atLeast"/>
              </w:trPr>
              <w:tc>
                <w:tcPr>
                  <w:tcW w:w="259" w:type="pct"/>
                  <w:tcBorders>
                    <w:tl2br w:val="nil"/>
                    <w:tr2bl w:val="nil"/>
                  </w:tcBorders>
                  <w:noWrap w:val="0"/>
                  <w:vAlign w:val="center"/>
                </w:tcPr>
                <w:p w14:paraId="204B0D46">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c>
                <w:tcPr>
                  <w:tcW w:w="376" w:type="pct"/>
                  <w:tcBorders>
                    <w:tl2br w:val="nil"/>
                    <w:tr2bl w:val="nil"/>
                  </w:tcBorders>
                  <w:noWrap w:val="0"/>
                  <w:vAlign w:val="center"/>
                </w:tcPr>
                <w:p w14:paraId="1B57A81F">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严格建设项目环境准入</w:t>
                  </w:r>
                </w:p>
              </w:tc>
              <w:tc>
                <w:tcPr>
                  <w:tcW w:w="3106" w:type="pct"/>
                  <w:tcBorders>
                    <w:tl2br w:val="nil"/>
                    <w:tr2bl w:val="nil"/>
                  </w:tcBorders>
                  <w:noWrap w:val="0"/>
                  <w:vAlign w:val="center"/>
                </w:tcPr>
                <w:p w14:paraId="0E1F8DB3">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新建涉工业炉窑的建设项目，原则上要入园区，并符合园区规划环境影响评价要求，配套建设高效环保治理设施。落实国家和我省相关产业政策及产能置换办法。重点区域严格控制涉工业炉窑建设项目，严禁新增钢铁、焦化、铸造、水泥、平板玻璃等产能。全省禁止建设燃料类煤气发生炉（园区现有企业统一建设的清洁煤制气中心除外）。</w:t>
                  </w:r>
                </w:p>
              </w:tc>
              <w:tc>
                <w:tcPr>
                  <w:tcW w:w="997" w:type="pct"/>
                  <w:tcBorders>
                    <w:tl2br w:val="nil"/>
                    <w:tr2bl w:val="nil"/>
                  </w:tcBorders>
                  <w:noWrap w:val="0"/>
                  <w:vAlign w:val="center"/>
                </w:tcPr>
                <w:p w14:paraId="7EDEB047">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olor w:val="auto"/>
                      <w:highlight w:val="none"/>
                    </w:rPr>
                    <w:t>本项目以兴裕煤矿低浓度瓦斯作为生产气源，该煤矿产出的瓦斯气除部分供给杨德环能电厂使用外，其余富余瓦斯均直接放空排放。</w:t>
                  </w:r>
                  <w:r>
                    <w:rPr>
                      <w:rFonts w:hint="eastAsia" w:ascii="Times New Roman" w:hAnsi="Times New Roman" w:eastAsia="宋体" w:cs="Times New Roman"/>
                      <w:color w:val="auto"/>
                      <w:sz w:val="21"/>
                      <w:szCs w:val="21"/>
                      <w:highlight w:val="none"/>
                    </w:rPr>
                    <w:t>本项目充分利用矿区现有场地条件，瓦斯输送管道已敷设至项目厂区，可对煤矿放空的富余瓦斯进行回收资源化利用，大幅减少瓦斯直接放空排放量，从源头削减大气污染物，实现污染物有效减排。</w:t>
                  </w:r>
                </w:p>
              </w:tc>
              <w:tc>
                <w:tcPr>
                  <w:tcW w:w="260" w:type="pct"/>
                  <w:tcBorders>
                    <w:tl2br w:val="nil"/>
                    <w:tr2bl w:val="nil"/>
                  </w:tcBorders>
                  <w:noWrap w:val="0"/>
                  <w:vAlign w:val="center"/>
                </w:tcPr>
                <w:p w14:paraId="15506CDF">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w:t>
                  </w:r>
                </w:p>
              </w:tc>
            </w:tr>
            <w:tr w14:paraId="1CA12273">
              <w:tblPrEx>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59" w:type="pct"/>
                  <w:tcBorders>
                    <w:tl2br w:val="nil"/>
                    <w:tr2bl w:val="nil"/>
                  </w:tcBorders>
                  <w:noWrap w:val="0"/>
                  <w:vAlign w:val="center"/>
                </w:tcPr>
                <w:p w14:paraId="1F04304E">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c>
                <w:tcPr>
                  <w:tcW w:w="376" w:type="pct"/>
                  <w:tcBorders>
                    <w:tl2br w:val="nil"/>
                    <w:tr2bl w:val="nil"/>
                  </w:tcBorders>
                  <w:noWrap w:val="0"/>
                  <w:vAlign w:val="center"/>
                </w:tcPr>
                <w:p w14:paraId="730C18F0">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加大过剩产能和不达标工业炉窑淘汰力度</w:t>
                  </w:r>
                </w:p>
              </w:tc>
              <w:tc>
                <w:tcPr>
                  <w:tcW w:w="3106" w:type="pct"/>
                  <w:tcBorders>
                    <w:tl2br w:val="nil"/>
                    <w:tr2bl w:val="nil"/>
                  </w:tcBorders>
                  <w:noWrap w:val="0"/>
                  <w:vAlign w:val="center"/>
                </w:tcPr>
                <w:p w14:paraId="0DB33B3A">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全面清理《产业结构调整指导目录》淘汰类工业炉窑，加快推进限制类工业炉窑升级改造。落实《山西省焦化行业压减过剩产能打好污染防治攻坚战行动方案》，加快炭化室高度5.3m及以下且运行寿命超过10年的焦炉淘汰步伐，对热效率低下、敞开未封闭，装备简易落后、自动化程度低，无组织排放突出，以及无治理设施或治理设施工艺落后等严重污染环境的工业炉窑，依法责令停业关闭。</w:t>
                  </w:r>
                </w:p>
              </w:tc>
              <w:tc>
                <w:tcPr>
                  <w:tcW w:w="997" w:type="pct"/>
                  <w:tcBorders>
                    <w:tl2br w:val="nil"/>
                    <w:tr2bl w:val="nil"/>
                  </w:tcBorders>
                  <w:noWrap w:val="0"/>
                  <w:vAlign w:val="center"/>
                </w:tcPr>
                <w:p w14:paraId="30E54AB6">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本项目所使用的工业炉窑不属于《产业结构调整指导目录》淘汰类，且不属于严重污染环境的工业炉窑</w:t>
                  </w:r>
                </w:p>
              </w:tc>
              <w:tc>
                <w:tcPr>
                  <w:tcW w:w="260" w:type="pct"/>
                  <w:tcBorders>
                    <w:tl2br w:val="nil"/>
                    <w:tr2bl w:val="nil"/>
                  </w:tcBorders>
                  <w:noWrap w:val="0"/>
                  <w:vAlign w:val="center"/>
                </w:tcPr>
                <w:p w14:paraId="08D14E5F">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w:t>
                  </w:r>
                </w:p>
              </w:tc>
            </w:tr>
            <w:tr w14:paraId="61C93FB2">
              <w:tblPrEx>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59" w:type="pct"/>
                  <w:tcBorders>
                    <w:tl2br w:val="nil"/>
                    <w:tr2bl w:val="nil"/>
                  </w:tcBorders>
                  <w:noWrap w:val="0"/>
                  <w:vAlign w:val="center"/>
                </w:tcPr>
                <w:p w14:paraId="1EF50DD0">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w:t>
                  </w:r>
                </w:p>
              </w:tc>
              <w:tc>
                <w:tcPr>
                  <w:tcW w:w="376" w:type="pct"/>
                  <w:tcBorders>
                    <w:tl2br w:val="nil"/>
                    <w:tr2bl w:val="nil"/>
                  </w:tcBorders>
                  <w:noWrap w:val="0"/>
                  <w:vAlign w:val="center"/>
                </w:tcPr>
                <w:p w14:paraId="15B8FA90">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b/>
                      <w:bCs/>
                      <w:color w:val="auto"/>
                      <w:szCs w:val="21"/>
                      <w:highlight w:val="none"/>
                      <w:lang w:val="en-US" w:eastAsia="zh-CN"/>
                    </w:rPr>
                    <w:t>加快燃料清洁低碳化替代</w:t>
                  </w:r>
                </w:p>
              </w:tc>
              <w:tc>
                <w:tcPr>
                  <w:tcW w:w="3106" w:type="pct"/>
                  <w:tcBorders>
                    <w:tl2br w:val="nil"/>
                    <w:tr2bl w:val="nil"/>
                  </w:tcBorders>
                  <w:noWrap w:val="0"/>
                  <w:vAlign w:val="center"/>
                </w:tcPr>
                <w:p w14:paraId="6678F245">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2020年6月底前，</w:t>
                  </w:r>
                  <w:r>
                    <w:rPr>
                      <w:rFonts w:hint="eastAsia" w:ascii="Times New Roman" w:hAnsi="Times New Roman" w:eastAsia="宋体" w:cs="Times New Roman"/>
                      <w:color w:val="auto"/>
                      <w:szCs w:val="21"/>
                      <w:highlight w:val="none"/>
                      <w:lang w:val="en-US" w:eastAsia="zh-CN"/>
                    </w:rPr>
                    <w:t>现有以煤、石油焦、渣油、重油为燃料的工业炉窑完成清洁低碳化燃料、技术和装备替代改造，全省铸造（10吨/小时及以下）岩棉等行业冲天炉改为电炉。</w:t>
                  </w:r>
                  <w:r>
                    <w:rPr>
                      <w:rFonts w:hint="default" w:ascii="Times New Roman" w:hAnsi="Times New Roman" w:eastAsia="宋体" w:cs="Times New Roman"/>
                      <w:color w:val="auto"/>
                      <w:szCs w:val="21"/>
                      <w:highlight w:val="none"/>
                      <w:lang w:val="en-US" w:eastAsia="zh-CN"/>
                    </w:rPr>
                    <w:t>禁止掺烧高硫石油焦（硫含量大于3%）</w:t>
                  </w:r>
                  <w:r>
                    <w:rPr>
                      <w:rFonts w:hint="eastAsia" w:ascii="Times New Roman" w:hAnsi="Times New Roman" w:eastAsia="宋体" w:cs="Times New Roman"/>
                      <w:color w:val="auto"/>
                      <w:szCs w:val="21"/>
                      <w:highlight w:val="none"/>
                      <w:lang w:val="en-US" w:eastAsia="zh-CN"/>
                    </w:rPr>
                    <w:t>，玻璃行业全面禁止掺烧高硫石油焦。</w:t>
                  </w:r>
                  <w:r>
                    <w:rPr>
                      <w:rFonts w:hint="default" w:ascii="Times New Roman" w:hAnsi="Times New Roman" w:eastAsia="宋体" w:cs="Times New Roman"/>
                      <w:color w:val="auto"/>
                      <w:szCs w:val="21"/>
                      <w:highlight w:val="none"/>
                      <w:lang w:val="en-US" w:eastAsia="zh-CN"/>
                    </w:rPr>
                    <w:t>加大煤气发生炉淘汰力度，2019年底前</w:t>
                  </w:r>
                  <w:r>
                    <w:rPr>
                      <w:rFonts w:hint="eastAsia" w:ascii="Times New Roman" w:hAnsi="Times New Roman" w:eastAsia="宋体" w:cs="Times New Roman"/>
                      <w:color w:val="auto"/>
                      <w:szCs w:val="21"/>
                      <w:highlight w:val="none"/>
                      <w:lang w:val="en-US" w:eastAsia="zh-CN"/>
                    </w:rPr>
                    <w:t>全省</w:t>
                  </w:r>
                  <w:r>
                    <w:rPr>
                      <w:rFonts w:hint="default" w:ascii="Times New Roman" w:hAnsi="Times New Roman" w:eastAsia="宋体" w:cs="Times New Roman"/>
                      <w:color w:val="auto"/>
                      <w:szCs w:val="21"/>
                      <w:highlight w:val="none"/>
                      <w:lang w:val="en-US" w:eastAsia="zh-CN"/>
                    </w:rPr>
                    <w:t>淘汰炉膛直径3米以下燃料类煤气发生炉；集中使用煤气发生炉的工业园区，暂不具备改用天然气条件的，以及化肥行业固定床间歇式煤气化炉集中区域，2019 年底前启动建设统一的清洁煤制气中心，取缔覆盖范围内的分散煤气发生炉，逐步淘汰化肥行业固定床间歇式煤气化炉。加快淘汰燃煤工业炉窑，重点区域 2019 年底取缔燃煤热风炉，基本淘汰热电联产供热管网覆盖范围内的燃煤加热、烘干炉（窑）。</w:t>
                  </w:r>
                </w:p>
              </w:tc>
              <w:tc>
                <w:tcPr>
                  <w:tcW w:w="997" w:type="pct"/>
                  <w:tcBorders>
                    <w:tl2br w:val="nil"/>
                    <w:tr2bl w:val="nil"/>
                  </w:tcBorders>
                  <w:noWrap w:val="0"/>
                  <w:vAlign w:val="center"/>
                </w:tcPr>
                <w:p w14:paraId="6C7FF03D">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本项目玻璃微珠烧制炉燃料采用瓦斯气，瓦斯气属于清洁能源；且不使用煤气发生炉、燃煤工业炉窑以及燃煤热风炉；本项目不属于有色行业、铸造行业。</w:t>
                  </w:r>
                </w:p>
              </w:tc>
              <w:tc>
                <w:tcPr>
                  <w:tcW w:w="260" w:type="pct"/>
                  <w:tcBorders>
                    <w:tl2br w:val="nil"/>
                    <w:tr2bl w:val="nil"/>
                  </w:tcBorders>
                  <w:noWrap w:val="0"/>
                  <w:vAlign w:val="center"/>
                </w:tcPr>
                <w:p w14:paraId="79EA2CC5">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w:t>
                  </w:r>
                </w:p>
              </w:tc>
            </w:tr>
            <w:tr w14:paraId="08C05EEB">
              <w:tblPrEx>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59" w:type="pct"/>
                  <w:vMerge w:val="restart"/>
                  <w:tcBorders>
                    <w:tl2br w:val="nil"/>
                    <w:tr2bl w:val="nil"/>
                  </w:tcBorders>
                  <w:noWrap w:val="0"/>
                  <w:vAlign w:val="center"/>
                </w:tcPr>
                <w:p w14:paraId="32B27E1F">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w:t>
                  </w:r>
                </w:p>
              </w:tc>
              <w:tc>
                <w:tcPr>
                  <w:tcW w:w="376" w:type="pct"/>
                  <w:vMerge w:val="restart"/>
                  <w:tcBorders>
                    <w:tl2br w:val="nil"/>
                    <w:tr2bl w:val="nil"/>
                  </w:tcBorders>
                  <w:noWrap w:val="0"/>
                  <w:vAlign w:val="center"/>
                </w:tcPr>
                <w:p w14:paraId="79A34FA3">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b/>
                      <w:bCs/>
                      <w:color w:val="auto"/>
                      <w:szCs w:val="21"/>
                      <w:highlight w:val="none"/>
                      <w:lang w:val="en-US" w:eastAsia="zh-CN"/>
                    </w:rPr>
                    <w:t>实施污染深度治理</w:t>
                  </w:r>
                </w:p>
              </w:tc>
              <w:tc>
                <w:tcPr>
                  <w:tcW w:w="3106" w:type="pct"/>
                  <w:tcBorders>
                    <w:tl2br w:val="nil"/>
                    <w:tr2bl w:val="nil"/>
                  </w:tcBorders>
                  <w:noWrap w:val="0"/>
                  <w:vAlign w:val="center"/>
                </w:tcPr>
                <w:p w14:paraId="0EB4760A">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推进重点行业污染深度治理。</w:t>
                  </w:r>
                </w:p>
                <w:p w14:paraId="1D6AA44C">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加快钢铁行业（含独立球团企业，有球团、烧结、高炉的铸造、铁合金企业）超低排放改造。积极推进电解铝、平板玻璃、水泥、焦化等行业污染治理升级改造。电解铝企业全面推进烟气脱硫脱硝设施建设，全面加大热残极冷却过程无组织排放治理力度，建设封闭高效的烟气收集系统，实现残极冷却烟气有效处理。平板玻璃、建筑陶瓷企业取消脱硫脱硝烟气旁路或设置备用脱硫脱硝等设施。鼓励水泥企业实施全流程污染深度治理。钢焦配套焦化企业按照钢铁行业炼焦工序超低排放指标要求全面实施超低排放改造，鼓励独立焦化企业实施全流程超低排放改造，推进焦化企业对炭化室 4.3 米以上焦炉（不含 4.3 米）实施干熄焦改造，审慎评估焦炉炉体加罩封闭试点情况，在保证安全生产前提下，稳妥推进重点区域城市建成区内焦炉实施炉体加罩封闭，并对废气进行收集处理。</w:t>
                  </w:r>
                </w:p>
              </w:tc>
              <w:tc>
                <w:tcPr>
                  <w:tcW w:w="997" w:type="pct"/>
                  <w:tcBorders>
                    <w:tl2br w:val="nil"/>
                    <w:tr2bl w:val="nil"/>
                  </w:tcBorders>
                  <w:noWrap w:val="0"/>
                  <w:vAlign w:val="center"/>
                </w:tcPr>
                <w:p w14:paraId="19039F6E">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本项目不属于铸造、钢铁以及水泥企业。</w:t>
                  </w:r>
                </w:p>
              </w:tc>
              <w:tc>
                <w:tcPr>
                  <w:tcW w:w="260" w:type="pct"/>
                  <w:tcBorders>
                    <w:tl2br w:val="nil"/>
                    <w:tr2bl w:val="nil"/>
                  </w:tcBorders>
                  <w:noWrap w:val="0"/>
                  <w:vAlign w:val="center"/>
                </w:tcPr>
                <w:p w14:paraId="414A4EF7">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w:t>
                  </w:r>
                </w:p>
              </w:tc>
            </w:tr>
            <w:tr w14:paraId="3CB2227D">
              <w:tblPrEx>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59" w:type="pct"/>
                  <w:vMerge w:val="continue"/>
                  <w:tcBorders>
                    <w:tl2br w:val="nil"/>
                    <w:tr2bl w:val="nil"/>
                  </w:tcBorders>
                  <w:noWrap w:val="0"/>
                  <w:vAlign w:val="center"/>
                </w:tcPr>
                <w:p w14:paraId="7A39C8A8">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color w:val="auto"/>
                      <w:highlight w:val="none"/>
                    </w:rPr>
                  </w:pPr>
                </w:p>
              </w:tc>
              <w:tc>
                <w:tcPr>
                  <w:tcW w:w="376" w:type="pct"/>
                  <w:vMerge w:val="continue"/>
                  <w:tcBorders>
                    <w:tl2br w:val="nil"/>
                    <w:tr2bl w:val="nil"/>
                  </w:tcBorders>
                  <w:noWrap w:val="0"/>
                  <w:vAlign w:val="center"/>
                </w:tcPr>
                <w:p w14:paraId="281753A0">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color w:val="auto"/>
                      <w:highlight w:val="none"/>
                    </w:rPr>
                  </w:pPr>
                </w:p>
              </w:tc>
              <w:tc>
                <w:tcPr>
                  <w:tcW w:w="3106" w:type="pct"/>
                  <w:tcBorders>
                    <w:tl2br w:val="nil"/>
                    <w:tr2bl w:val="nil"/>
                  </w:tcBorders>
                  <w:noWrap w:val="0"/>
                  <w:vAlign w:val="center"/>
                </w:tcPr>
                <w:p w14:paraId="51D7FD98">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推进工业炉窑全面达标排放。加大工业炉窑治理力度，配套建设高效脱硫脱硝除尘设施（附件 2）。已有行业排放标准的工业炉窑（附件 3），严格执行行业排放标准特别排放限值及相关规定。暂未制订行业排放标准的工业炉窑，按照颗粒物、二氧化硫、氮氧化物排放限值分别不高于 30、200、300 毫克/立方米考核评价，其中，日用玻璃、玻璃棉氮氧化物排放限值不高于400 毫克/立方米。各地有更严格管控要求的从严执行。以上工业炉窑治理任务 2019 年完成改造。</w:t>
                  </w:r>
                </w:p>
              </w:tc>
              <w:tc>
                <w:tcPr>
                  <w:tcW w:w="997" w:type="pct"/>
                  <w:tcBorders>
                    <w:tl2br w:val="nil"/>
                    <w:tr2bl w:val="nil"/>
                  </w:tcBorders>
                  <w:noWrap w:val="0"/>
                  <w:vAlign w:val="center"/>
                </w:tcPr>
                <w:p w14:paraId="00589FF6">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本项目在采取本环评提出的各项环保措施后，污染物实现达标排放。</w:t>
                  </w:r>
                </w:p>
              </w:tc>
              <w:tc>
                <w:tcPr>
                  <w:tcW w:w="260" w:type="pct"/>
                  <w:tcBorders>
                    <w:tl2br w:val="nil"/>
                    <w:tr2bl w:val="nil"/>
                  </w:tcBorders>
                  <w:noWrap w:val="0"/>
                  <w:vAlign w:val="center"/>
                </w:tcPr>
                <w:p w14:paraId="46C71BD3">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w:t>
                  </w:r>
                </w:p>
              </w:tc>
            </w:tr>
            <w:tr w14:paraId="28F627FD">
              <w:tblPrEx>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59" w:type="pct"/>
                  <w:vMerge w:val="continue"/>
                  <w:tcBorders>
                    <w:tl2br w:val="nil"/>
                    <w:tr2bl w:val="nil"/>
                  </w:tcBorders>
                  <w:noWrap w:val="0"/>
                  <w:vAlign w:val="center"/>
                </w:tcPr>
                <w:p w14:paraId="134DB6BD">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p>
              </w:tc>
              <w:tc>
                <w:tcPr>
                  <w:tcW w:w="376" w:type="pct"/>
                  <w:vMerge w:val="continue"/>
                  <w:tcBorders>
                    <w:tl2br w:val="nil"/>
                    <w:tr2bl w:val="nil"/>
                  </w:tcBorders>
                  <w:noWrap w:val="0"/>
                  <w:vAlign w:val="center"/>
                </w:tcPr>
                <w:p w14:paraId="2A3D41FB">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p>
              </w:tc>
              <w:tc>
                <w:tcPr>
                  <w:tcW w:w="3106" w:type="pct"/>
                  <w:tcBorders>
                    <w:tl2br w:val="nil"/>
                    <w:tr2bl w:val="nil"/>
                  </w:tcBorders>
                  <w:noWrap w:val="0"/>
                  <w:vAlign w:val="center"/>
                </w:tcPr>
                <w:p w14:paraId="3976A943">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全面加强颗粒物无组织排放管理。在保障生产安全的前提下，工业炉窑生产工艺过程及相关物料储存、输送等无组织排放环节采取密闭、封闭等有效措施（见附件 4），有效提高废气收集率，产尘点及车间不得有可见烟粉尘</w:t>
                  </w:r>
                  <w:r>
                    <w:rPr>
                      <w:rFonts w:hint="eastAsia" w:cs="Times New Roman"/>
                      <w:color w:val="auto"/>
                      <w:szCs w:val="21"/>
                      <w:highlight w:val="none"/>
                      <w:lang w:val="en-US" w:eastAsia="zh-CN"/>
                    </w:rPr>
                    <w:t>外溢</w:t>
                  </w:r>
                  <w:r>
                    <w:rPr>
                      <w:rFonts w:hint="default" w:ascii="Times New Roman" w:hAnsi="Times New Roman" w:eastAsia="宋体" w:cs="Times New Roman"/>
                      <w:color w:val="auto"/>
                      <w:szCs w:val="21"/>
                      <w:highlight w:val="none"/>
                      <w:lang w:val="en-US" w:eastAsia="zh-CN"/>
                    </w:rPr>
                    <w:t>。生产工艺产尘点（装置）应采取密闭、封闭或设置集气罩等措施。煤粉、粉煤灰、石灰、除尘灰、脱硫灰等粉状物料应密闭或封闭储存，采用密闭皮带、封闭通廊、管状带式输送机或密闭车厢、真空罐车、气力输送等方式输送。粒状、块状物料应采用入棚入仓或建设防风抑尘网等方式进行储存，粒状物料采用密闭、封闭等方式输送。物料输送过程中产尘点应采取有效抑尘措施。</w:t>
                  </w:r>
                </w:p>
              </w:tc>
              <w:tc>
                <w:tcPr>
                  <w:tcW w:w="997" w:type="pct"/>
                  <w:tcBorders>
                    <w:tl2br w:val="nil"/>
                    <w:tr2bl w:val="nil"/>
                  </w:tcBorders>
                  <w:noWrap w:val="0"/>
                  <w:vAlign w:val="center"/>
                </w:tcPr>
                <w:p w14:paraId="15501D6C">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本项目使用的原料储存、输送全封闭，全封闭生产车间内进行，生产工艺产尘点（装置）设置有集气罩，并配置有除尘器，除尘灰储存在全封闭生产车间内</w:t>
                  </w:r>
                </w:p>
              </w:tc>
              <w:tc>
                <w:tcPr>
                  <w:tcW w:w="260" w:type="pct"/>
                  <w:tcBorders>
                    <w:tl2br w:val="nil"/>
                    <w:tr2bl w:val="nil"/>
                  </w:tcBorders>
                  <w:noWrap w:val="0"/>
                  <w:vAlign w:val="center"/>
                </w:tcPr>
                <w:p w14:paraId="1D2169E1">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w:t>
                  </w:r>
                </w:p>
              </w:tc>
            </w:tr>
            <w:tr w14:paraId="7EBE4653">
              <w:tblPrEx>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608" w:hRule="atLeast"/>
              </w:trPr>
              <w:tc>
                <w:tcPr>
                  <w:tcW w:w="259" w:type="pct"/>
                  <w:vMerge w:val="continue"/>
                  <w:tcBorders>
                    <w:tl2br w:val="nil"/>
                    <w:tr2bl w:val="nil"/>
                  </w:tcBorders>
                  <w:noWrap w:val="0"/>
                  <w:vAlign w:val="center"/>
                </w:tcPr>
                <w:p w14:paraId="70FE26C5">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p>
              </w:tc>
              <w:tc>
                <w:tcPr>
                  <w:tcW w:w="376" w:type="pct"/>
                  <w:vMerge w:val="continue"/>
                  <w:tcBorders>
                    <w:tl2br w:val="nil"/>
                    <w:tr2bl w:val="nil"/>
                  </w:tcBorders>
                  <w:noWrap w:val="0"/>
                  <w:vAlign w:val="center"/>
                </w:tcPr>
                <w:p w14:paraId="628BAAF6">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p>
              </w:tc>
              <w:tc>
                <w:tcPr>
                  <w:tcW w:w="3106" w:type="pct"/>
                  <w:tcBorders>
                    <w:tl2br w:val="nil"/>
                    <w:tr2bl w:val="nil"/>
                  </w:tcBorders>
                  <w:noWrap w:val="0"/>
                  <w:vAlign w:val="center"/>
                </w:tcPr>
                <w:p w14:paraId="5289FEC3">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加强挥发性有机物综合治理</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全面落实相关行业标准和《挥发性有机物无组织排放控制标准》，加强焦炉、煤气发生炉VOCs治理力度。其中，炼焦煤气净化系统冷鼓各级贮槽 （罐）及其他区域焦油、苯等贮器有机废气接入压力平衡系统或收集净化处理，酚氰废水预处理设施（调节池、气浮池、隔油池）加盖并配备废气收集处理设施，开展设备和管线泄漏检测与修复（LDAR）工作。煤气发生炉酚水系统应封闭，产生的废气应收集处理</w:t>
                  </w:r>
                  <w:r>
                    <w:rPr>
                      <w:rFonts w:hint="eastAsia" w:ascii="Times New Roman" w:hAnsi="Times New Roman" w:eastAsia="宋体" w:cs="Times New Roman"/>
                      <w:color w:val="auto"/>
                      <w:szCs w:val="21"/>
                      <w:highlight w:val="none"/>
                      <w:lang w:val="en-US" w:eastAsia="zh-CN"/>
                    </w:rPr>
                    <w:t>，鼓励送至煤气发生炉鼓风机入口进行再利用；酚水应送至煤气发生炉处置，或回收酚、氨后深度处理，或送至水煤浆炉进行焚烧等。禁止含酚废水直接作为煤气水封水、冲渣水。氮肥等行业采用固定床间歇式煤气化炉的，加快推进煤气冷却由直接水洗改为间接冷却。吹风气、弛放气应全部收集利用</w:t>
                  </w:r>
                  <w:r>
                    <w:rPr>
                      <w:rFonts w:hint="default" w:ascii="Times New Roman" w:hAnsi="Times New Roman" w:eastAsia="宋体" w:cs="Times New Roman"/>
                      <w:color w:val="auto"/>
                      <w:szCs w:val="21"/>
                      <w:highlight w:val="none"/>
                      <w:lang w:val="en-US" w:eastAsia="zh-CN"/>
                    </w:rPr>
                    <w:t>。</w:t>
                  </w:r>
                </w:p>
              </w:tc>
              <w:tc>
                <w:tcPr>
                  <w:tcW w:w="997" w:type="pct"/>
                  <w:tcBorders>
                    <w:tl2br w:val="nil"/>
                    <w:tr2bl w:val="nil"/>
                  </w:tcBorders>
                  <w:noWrap w:val="0"/>
                  <w:vAlign w:val="center"/>
                </w:tcPr>
                <w:p w14:paraId="4B8D5C54">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本项目不涉及挥发性有机物。</w:t>
                  </w:r>
                </w:p>
              </w:tc>
              <w:tc>
                <w:tcPr>
                  <w:tcW w:w="260" w:type="pct"/>
                  <w:tcBorders>
                    <w:tl2br w:val="nil"/>
                    <w:tr2bl w:val="nil"/>
                  </w:tcBorders>
                  <w:noWrap w:val="0"/>
                  <w:vAlign w:val="center"/>
                </w:tcPr>
                <w:p w14:paraId="1B8A36B5">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w:t>
                  </w:r>
                </w:p>
              </w:tc>
            </w:tr>
            <w:tr w14:paraId="5B630A16">
              <w:tblPrEx>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59" w:type="pct"/>
                  <w:tcBorders>
                    <w:tl2br w:val="nil"/>
                    <w:tr2bl w:val="nil"/>
                  </w:tcBorders>
                  <w:noWrap w:val="0"/>
                  <w:vAlign w:val="center"/>
                </w:tcPr>
                <w:p w14:paraId="310D6F76">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w:t>
                  </w:r>
                </w:p>
              </w:tc>
              <w:tc>
                <w:tcPr>
                  <w:tcW w:w="376" w:type="pct"/>
                  <w:tcBorders>
                    <w:tl2br w:val="nil"/>
                    <w:tr2bl w:val="nil"/>
                  </w:tcBorders>
                  <w:noWrap w:val="0"/>
                  <w:vAlign w:val="center"/>
                </w:tcPr>
                <w:p w14:paraId="13A8443F">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开展工业园区和产业集群综合整治</w:t>
                  </w:r>
                </w:p>
              </w:tc>
              <w:tc>
                <w:tcPr>
                  <w:tcW w:w="3106" w:type="pct"/>
                  <w:tcBorders>
                    <w:tl2br w:val="nil"/>
                    <w:tr2bl w:val="nil"/>
                  </w:tcBorders>
                  <w:noWrap w:val="0"/>
                  <w:vAlign w:val="center"/>
                </w:tcPr>
                <w:p w14:paraId="0C07C3A3">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各市要加大涉工业炉窑类工业园区和产业集群的综合整治力度，结合</w:t>
                  </w:r>
                  <w:r>
                    <w:rPr>
                      <w:rFonts w:hint="eastAsia" w:ascii="Times New Roman" w:hAnsi="Times New Roman" w:eastAsia="宋体" w:cs="Times New Roman"/>
                      <w:color w:val="auto"/>
                      <w:szCs w:val="21"/>
                      <w:highlight w:val="none"/>
                      <w:lang w:val="en-US" w:eastAsia="zh-CN"/>
                    </w:rPr>
                    <w:t>“三线一单”</w:t>
                  </w:r>
                  <w:r>
                    <w:rPr>
                      <w:rFonts w:hint="default" w:ascii="Times New Roman" w:hAnsi="Times New Roman" w:eastAsia="宋体" w:cs="Times New Roman"/>
                      <w:color w:val="auto"/>
                      <w:szCs w:val="21"/>
                      <w:highlight w:val="none"/>
                      <w:lang w:val="en-US" w:eastAsia="zh-CN"/>
                    </w:rPr>
                    <w:t>（生态保护红线、环境质量底线、资源利用上线和生态环境准入清单）、规划环评等要求，进一步梳理确定园区和产业发展定位、规模及结构等。制定综合整治方案，对标先进企业，从生产工艺、产能规模、燃料类型、污染治理等方面提出明确要求，提升产业发展质量和环保治理水平。按照统一标准、统一时间表的要求，同步推进区域环境综合整治和企业升级改造。加强工业园区能源替代利用与资源共享，积极推广集中供汽供热或建设清洁低碳能源中心等，替代工业炉窑燃料用煤；充分利用园区内工厂余热、焦炉煤气等清洁低碳能源，加强分质与梯级利用，提高能源利用效率，促进形成清洁低碳高效产业链。</w:t>
                  </w:r>
                </w:p>
                <w:p w14:paraId="5EA7425E">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涉工业炉窑类产业集群主要包括陶瓷、玻璃（涉及玻璃器皿等产品）、砖瓦、耐火材料、石灰、矿物棉、铸造（涉及玛钢、法兰等产品）、独立球团、独立轧钢、铁合金、再生有色金属、炭素、化工等行业。</w:t>
                  </w:r>
                </w:p>
              </w:tc>
              <w:tc>
                <w:tcPr>
                  <w:tcW w:w="997" w:type="pct"/>
                  <w:tcBorders>
                    <w:tl2br w:val="nil"/>
                    <w:tr2bl w:val="nil"/>
                  </w:tcBorders>
                  <w:noWrap w:val="0"/>
                  <w:vAlign w:val="center"/>
                </w:tcPr>
                <w:p w14:paraId="4982571F">
                  <w:pPr>
                    <w:keepNext w:val="0"/>
                    <w:keepLines w:val="0"/>
                    <w:widowControl/>
                    <w:suppressLineNumbers w:val="0"/>
                    <w:adjustRightInd w:val="0"/>
                    <w:snapToGrid w:val="0"/>
                    <w:spacing w:before="0" w:beforeAutospacing="0" w:after="0" w:afterAutospacing="0"/>
                    <w:ind w:left="0" w:right="0"/>
                    <w:jc w:val="center"/>
                    <w:rPr>
                      <w:rFonts w:hint="default"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本项目不在工业园区范围内，使用燃料为清洁能源瓦斯气。</w:t>
                  </w:r>
                  <w:r>
                    <w:rPr>
                      <w:rFonts w:hint="eastAsia" w:ascii="Times New Roman" w:hAnsi="Times New Roman" w:eastAsia="宋体" w:cs="Times New Roman"/>
                      <w:color w:val="auto"/>
                      <w:sz w:val="21"/>
                      <w:szCs w:val="21"/>
                      <w:highlight w:val="none"/>
                    </w:rPr>
                    <w:t>利用</w:t>
                  </w:r>
                  <w:r>
                    <w:rPr>
                      <w:rFonts w:hint="eastAsia" w:ascii="Times New Roman" w:hAnsi="Times New Roman" w:eastAsia="宋体" w:cs="Times New Roman"/>
                      <w:color w:val="auto"/>
                      <w:sz w:val="21"/>
                      <w:szCs w:val="21"/>
                      <w:highlight w:val="none"/>
                      <w:lang w:val="en-US" w:eastAsia="zh-CN"/>
                    </w:rPr>
                    <w:t>兴裕</w:t>
                  </w:r>
                  <w:r>
                    <w:rPr>
                      <w:rFonts w:hint="eastAsia" w:ascii="Times New Roman" w:hAnsi="Times New Roman" w:eastAsia="宋体" w:cs="Times New Roman"/>
                      <w:color w:val="auto"/>
                      <w:sz w:val="21"/>
                      <w:szCs w:val="21"/>
                      <w:highlight w:val="none"/>
                    </w:rPr>
                    <w:t>煤矿排空富余瓦斯开展</w:t>
                  </w:r>
                  <w:r>
                    <w:rPr>
                      <w:rFonts w:hint="eastAsia" w:cs="Times New Roman"/>
                      <w:color w:val="auto"/>
                      <w:sz w:val="21"/>
                      <w:szCs w:val="21"/>
                      <w:highlight w:val="none"/>
                      <w:lang w:eastAsia="zh-CN"/>
                    </w:rPr>
                    <w:t>生产</w:t>
                  </w:r>
                  <w:r>
                    <w:rPr>
                      <w:rFonts w:hint="eastAsia" w:ascii="Times New Roman" w:hAnsi="Times New Roman" w:eastAsia="宋体" w:cs="Times New Roman"/>
                      <w:color w:val="auto"/>
                      <w:szCs w:val="21"/>
                      <w:highlight w:val="none"/>
                      <w:lang w:val="en-US" w:eastAsia="zh-CN"/>
                    </w:rPr>
                    <w:t>，厂址设置在依托的矿区范围内，</w:t>
                  </w:r>
                  <w:r>
                    <w:rPr>
                      <w:rFonts w:hint="eastAsia" w:ascii="Times New Roman" w:hAnsi="Times New Roman" w:eastAsia="宋体" w:cs="Times New Roman"/>
                      <w:color w:val="auto"/>
                      <w:sz w:val="21"/>
                      <w:szCs w:val="21"/>
                      <w:highlight w:val="none"/>
                    </w:rPr>
                    <w:t>瓦斯输送管道已敷设至项目厂区</w:t>
                  </w:r>
                  <w:r>
                    <w:rPr>
                      <w:rFonts w:hint="eastAsia" w:cs="Times New Roman"/>
                      <w:color w:val="auto"/>
                      <w:szCs w:val="21"/>
                      <w:highlight w:val="none"/>
                      <w:lang w:val="en-US" w:eastAsia="zh-CN"/>
                    </w:rPr>
                    <w:t>；</w:t>
                  </w:r>
                </w:p>
                <w:p w14:paraId="1CF772C5">
                  <w:pPr>
                    <w:keepNext w:val="0"/>
                    <w:keepLines w:val="0"/>
                    <w:widowControl/>
                    <w:suppressLineNumbers w:val="0"/>
                    <w:adjustRightInd w:val="0"/>
                    <w:snapToGrid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本项目不属于</w:t>
                  </w:r>
                  <w:r>
                    <w:rPr>
                      <w:rFonts w:hint="default" w:ascii="Times New Roman" w:hAnsi="Times New Roman" w:eastAsia="宋体" w:cs="Times New Roman"/>
                      <w:color w:val="auto"/>
                      <w:szCs w:val="21"/>
                      <w:highlight w:val="none"/>
                      <w:lang w:val="en-US" w:eastAsia="zh-CN"/>
                    </w:rPr>
                    <w:t>陶瓷、玻璃（涉及玻璃器皿等产品）、砖瓦、耐火材料、石灰、矿物棉、铸造（涉及玛钢、法兰等产品）、独立球团、独立轧钢、铁合金、再生有色金属、炭素、化工等行业</w:t>
                  </w:r>
                </w:p>
              </w:tc>
              <w:tc>
                <w:tcPr>
                  <w:tcW w:w="260" w:type="pct"/>
                  <w:tcBorders>
                    <w:tl2br w:val="nil"/>
                    <w:tr2bl w:val="nil"/>
                  </w:tcBorders>
                  <w:noWrap w:val="0"/>
                  <w:vAlign w:val="center"/>
                </w:tcPr>
                <w:p w14:paraId="23E70D38">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w:t>
                  </w:r>
                </w:p>
              </w:tc>
            </w:tr>
            <w:tr w14:paraId="5FB794CD">
              <w:tblPrEx>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59" w:type="pct"/>
                  <w:tcBorders>
                    <w:tl2br w:val="nil"/>
                    <w:tr2bl w:val="nil"/>
                  </w:tcBorders>
                  <w:noWrap w:val="0"/>
                  <w:vAlign w:val="center"/>
                </w:tcPr>
                <w:p w14:paraId="32292205">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w:t>
                  </w:r>
                </w:p>
              </w:tc>
              <w:tc>
                <w:tcPr>
                  <w:tcW w:w="376" w:type="pct"/>
                  <w:tcBorders>
                    <w:tl2br w:val="nil"/>
                    <w:tr2bl w:val="nil"/>
                  </w:tcBorders>
                  <w:noWrap w:val="0"/>
                  <w:vAlign w:val="center"/>
                </w:tcPr>
                <w:p w14:paraId="17B4848B">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加强涉工业炉窑企业运输结构调整</w:t>
                  </w:r>
                </w:p>
              </w:tc>
              <w:tc>
                <w:tcPr>
                  <w:tcW w:w="3106" w:type="pct"/>
                  <w:tcBorders>
                    <w:tl2br w:val="nil"/>
                    <w:tr2bl w:val="nil"/>
                  </w:tcBorders>
                  <w:noWrap w:val="0"/>
                  <w:vAlign w:val="center"/>
                </w:tcPr>
                <w:p w14:paraId="21A07D49">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2020 年，大宗货物年货运量 150 万吨及以上的，原则上全部修建铁路专用线；具有铁路专用线的，大宗货物铁路运输比例应达到 80%以上。新、改、扩建涉及大宗物料运输的建设项目</w:t>
                  </w:r>
                  <w:r>
                    <w:rPr>
                      <w:rFonts w:hint="eastAsia"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原则上不得采用公路运输。</w:t>
                  </w:r>
                </w:p>
              </w:tc>
              <w:tc>
                <w:tcPr>
                  <w:tcW w:w="997" w:type="pct"/>
                  <w:tcBorders>
                    <w:tl2br w:val="nil"/>
                    <w:tr2bl w:val="nil"/>
                  </w:tcBorders>
                  <w:noWrap w:val="0"/>
                  <w:vAlign w:val="center"/>
                </w:tcPr>
                <w:p w14:paraId="5CBD5A19">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本项目为玻璃制品制造，不涉及大宗物料运输，不属于钢铁、电解铝、焦化等重点行业</w:t>
                  </w:r>
                </w:p>
              </w:tc>
              <w:tc>
                <w:tcPr>
                  <w:tcW w:w="260" w:type="pct"/>
                  <w:tcBorders>
                    <w:tl2br w:val="nil"/>
                    <w:tr2bl w:val="nil"/>
                  </w:tcBorders>
                  <w:noWrap w:val="0"/>
                  <w:vAlign w:val="center"/>
                </w:tcPr>
                <w:p w14:paraId="38D2A7D3">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p>
              </w:tc>
            </w:tr>
            <w:tr w14:paraId="1D6E5683">
              <w:tblPrEx>
                <w:tblBorders>
                  <w:top w:val="single" w:color="auto" w:sz="12" w:space="0"/>
                  <w:left w:val="single" w:color="auto" w:sz="4"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59" w:type="pct"/>
                  <w:tcBorders>
                    <w:tl2br w:val="nil"/>
                    <w:tr2bl w:val="nil"/>
                  </w:tcBorders>
                  <w:noWrap w:val="0"/>
                  <w:vAlign w:val="center"/>
                </w:tcPr>
                <w:p w14:paraId="4BEA6A34">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7</w:t>
                  </w:r>
                </w:p>
              </w:tc>
              <w:tc>
                <w:tcPr>
                  <w:tcW w:w="376" w:type="pct"/>
                  <w:tcBorders>
                    <w:tl2br w:val="nil"/>
                    <w:tr2bl w:val="nil"/>
                  </w:tcBorders>
                  <w:noWrap w:val="0"/>
                  <w:vAlign w:val="center"/>
                </w:tcPr>
                <w:p w14:paraId="64DC3D48">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建立健全监测监控体系</w:t>
                  </w:r>
                </w:p>
              </w:tc>
              <w:tc>
                <w:tcPr>
                  <w:tcW w:w="3106" w:type="pct"/>
                  <w:tcBorders>
                    <w:tl2br w:val="nil"/>
                    <w:tr2bl w:val="nil"/>
                  </w:tcBorders>
                  <w:noWrap w:val="0"/>
                  <w:vAlign w:val="center"/>
                </w:tcPr>
                <w:p w14:paraId="597881DA">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排气口高度超过45米的高架源，钢铁、焦化、水泥、平板玻璃、陶瓷、氮肥、有色金属冶炼、再生有色金属等行业，严格按照排污许可管理规定安装和运行自动监控设施。加快其他行业工业炉窑大气污染物排放自动监控设施建设，冲天炉、玻璃熔窑、以煤和煤矸石为燃料的砖瓦烧结窑、耐火材料焙烧窑（电窑除外）、炭素焙（煅）烧炉（窑）、石灰窑、铬盐焙烧窑、磷化工焙烧窑、铁合金矿热炉和精炼炉等，应纳入重点排污单位名录，安装自动监控设施。具备条件的企业，应通过分布式控制系统（DCS）等，自动连续记录工业炉窑环保设施运行及相关生产过程主要参数。重点行业厂区布设空气质量监测微站、安装高清视频监控设施。重点运输单位建设门禁系统和视频监控</w:t>
                  </w:r>
                  <w:r>
                    <w:rPr>
                      <w:rFonts w:hint="eastAsia" w:cs="Times New Roman"/>
                      <w:color w:val="auto"/>
                      <w:szCs w:val="21"/>
                      <w:highlight w:val="none"/>
                      <w:lang w:val="en-US" w:eastAsia="zh-CN"/>
                    </w:rPr>
                    <w:t>系统</w:t>
                  </w:r>
                  <w:r>
                    <w:rPr>
                      <w:rFonts w:hint="eastAsia" w:ascii="Times New Roman" w:hAnsi="Times New Roman" w:eastAsia="宋体" w:cs="Times New Roman"/>
                      <w:color w:val="auto"/>
                      <w:szCs w:val="21"/>
                      <w:highlight w:val="none"/>
                      <w:lang w:val="en-US" w:eastAsia="zh-CN"/>
                    </w:rPr>
                    <w:t>，监控运输车辆进出情况。门禁系统、CEMS、DCS 等数据保存一年以上，视频监控数据保存三个月以上。强化监测数据质量控制，自动监控设施应与生态环境主管部门联网，数据传输有效率达到 90%。</w:t>
                  </w:r>
                </w:p>
              </w:tc>
              <w:tc>
                <w:tcPr>
                  <w:tcW w:w="997" w:type="pct"/>
                  <w:tcBorders>
                    <w:tl2br w:val="nil"/>
                    <w:tr2bl w:val="nil"/>
                  </w:tcBorders>
                  <w:noWrap w:val="0"/>
                  <w:vAlign w:val="center"/>
                </w:tcPr>
                <w:p w14:paraId="36E6FE24">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按照《固定污染源排污许可分类管理名录》（2019年版），本项目属于简化管理，不属于重点排污单位。</w:t>
                  </w:r>
                </w:p>
              </w:tc>
              <w:tc>
                <w:tcPr>
                  <w:tcW w:w="260" w:type="pct"/>
                  <w:tcBorders>
                    <w:tl2br w:val="nil"/>
                    <w:tr2bl w:val="nil"/>
                  </w:tcBorders>
                  <w:noWrap w:val="0"/>
                  <w:vAlign w:val="center"/>
                </w:tcPr>
                <w:p w14:paraId="7785A142">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w:t>
                  </w:r>
                </w:p>
              </w:tc>
            </w:tr>
          </w:tbl>
          <w:p w14:paraId="790D7146">
            <w:pPr>
              <w:keepNext w:val="0"/>
              <w:keepLines w:val="0"/>
              <w:suppressLineNumbers w:val="0"/>
              <w:autoSpaceDE/>
              <w:autoSpaceDN/>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rPr>
            </w:pPr>
            <w:r>
              <w:rPr>
                <w:rFonts w:hint="eastAsia" w:cs="Times New Roman"/>
                <w:b/>
                <w:bCs w:val="0"/>
                <w:color w:val="auto"/>
                <w:kern w:val="0"/>
                <w:sz w:val="24"/>
                <w:szCs w:val="24"/>
                <w:highlight w:val="none"/>
                <w:lang w:val="en-US" w:eastAsia="zh-CN"/>
              </w:rPr>
              <w:t>5.</w:t>
            </w:r>
            <w:r>
              <w:rPr>
                <w:rFonts w:hint="eastAsia" w:ascii="Times New Roman" w:hAnsi="Times New Roman" w:eastAsia="宋体" w:cs="Times New Roman"/>
                <w:b/>
                <w:bCs w:val="0"/>
                <w:color w:val="auto"/>
                <w:kern w:val="0"/>
                <w:sz w:val="24"/>
                <w:szCs w:val="24"/>
                <w:highlight w:val="none"/>
                <w:lang w:val="en-US" w:eastAsia="zh-CN"/>
              </w:rPr>
              <w:t>环境敏感性分析</w:t>
            </w:r>
          </w:p>
          <w:p w14:paraId="71E58441">
            <w:pPr>
              <w:keepNext w:val="0"/>
              <w:keepLines w:val="0"/>
              <w:widowControl/>
              <w:suppressLineNumbers w:val="0"/>
              <w:autoSpaceDE/>
              <w:autoSpaceDN/>
              <w:adjustRightInd/>
              <w:snapToGrid/>
              <w:spacing w:before="0" w:beforeAutospacing="0" w:after="0" w:afterAutospacing="0" w:line="360" w:lineRule="auto"/>
              <w:ind w:left="0" w:right="0" w:firstLine="482" w:firstLineChars="200"/>
              <w:jc w:val="left"/>
              <w:rPr>
                <w:rFonts w:hint="eastAsia" w:ascii="宋体" w:hAnsi="宋体" w:eastAsia="宋体" w:cs="宋体"/>
                <w:b/>
                <w:bCs w:val="0"/>
                <w:color w:val="auto"/>
                <w:kern w:val="2"/>
                <w:sz w:val="24"/>
                <w:szCs w:val="24"/>
                <w:highlight w:val="none"/>
                <w:lang w:val="en-US" w:eastAsia="zh-CN"/>
              </w:rPr>
            </w:pPr>
            <w:r>
              <w:rPr>
                <w:rFonts w:hint="eastAsia" w:ascii="宋体" w:hAnsi="宋体" w:eastAsia="宋体" w:cs="宋体"/>
                <w:b/>
                <w:bCs w:val="0"/>
                <w:color w:val="auto"/>
                <w:sz w:val="24"/>
                <w:highlight w:val="none"/>
                <w:lang w:val="en-US" w:eastAsia="zh-CN"/>
              </w:rPr>
              <w:t>（1）饮用水水源地</w:t>
            </w:r>
          </w:p>
          <w:p w14:paraId="49D21FF2">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盂县城区供水水源主要有兴道水源地和温池水源地两处城镇水源地。</w:t>
            </w:r>
          </w:p>
          <w:p w14:paraId="3782F64F">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①</w:t>
            </w:r>
            <w:r>
              <w:rPr>
                <w:rFonts w:hint="eastAsia" w:ascii="Times New Roman" w:hAnsi="Times New Roman" w:eastAsia="宋体" w:cs="Times New Roman"/>
                <w:color w:val="auto"/>
                <w:kern w:val="0"/>
                <w:sz w:val="24"/>
                <w:szCs w:val="24"/>
                <w:highlight w:val="none"/>
                <w:lang w:val="en-US" w:eastAsia="zh-CN"/>
              </w:rPr>
              <w:t>兴道饮用水水源地</w:t>
            </w:r>
          </w:p>
          <w:p w14:paraId="743FEB07">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兴道水源地位于县城东北18km的龙华河河谷地区，兴道泉的上游，属于兴道泉域的径流排泄区，兴道水源地共有水井5眼，盂县兴道供水站属于地下水型水源地，地下水开采类型为孔隙承压水，现有水井5眼，总供水能力为0.83万m</w:t>
            </w:r>
            <w:r>
              <w:rPr>
                <w:rFonts w:hint="eastAsia" w:ascii="Times New Roman" w:hAnsi="Times New Roman" w:eastAsia="宋体" w:cs="Times New Roman"/>
                <w:color w:val="auto"/>
                <w:kern w:val="0"/>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/d，其中开采井3眼，日供水0.4万m</w:t>
            </w:r>
            <w:r>
              <w:rPr>
                <w:rFonts w:hint="eastAsia" w:ascii="Times New Roman" w:hAnsi="Times New Roman" w:eastAsia="宋体" w:cs="Times New Roman"/>
                <w:color w:val="auto"/>
                <w:kern w:val="0"/>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，井深介于85m~110m，该水源地只划分一级保护区，保护区面积约1.5km</w:t>
            </w:r>
            <w:r>
              <w:rPr>
                <w:rFonts w:hint="eastAsia" w:ascii="Times New Roman" w:hAnsi="Times New Roman" w:eastAsia="宋体"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kern w:val="0"/>
                <w:sz w:val="24"/>
                <w:szCs w:val="24"/>
                <w:highlight w:val="none"/>
                <w:lang w:val="en-US" w:eastAsia="zh-CN"/>
              </w:rPr>
              <w:t>。</w:t>
            </w:r>
          </w:p>
          <w:p w14:paraId="1D7FEE2F">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②</w:t>
            </w:r>
            <w:r>
              <w:rPr>
                <w:rFonts w:hint="eastAsia" w:ascii="Times New Roman" w:hAnsi="Times New Roman" w:eastAsia="宋体" w:cs="Times New Roman"/>
                <w:color w:val="auto"/>
                <w:kern w:val="0"/>
                <w:sz w:val="24"/>
                <w:szCs w:val="24"/>
                <w:highlight w:val="none"/>
                <w:lang w:val="en-US" w:eastAsia="zh-CN"/>
              </w:rPr>
              <w:t>温池饮用水水源地</w:t>
            </w:r>
          </w:p>
          <w:p w14:paraId="1B2DA688">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盂县温池供水站位于盂县东9km处，207国道北侧，温池水源地范围：南到胡家沟以南，北至前元吉以北，西起乌玉，东至温池以西，面积3.5km</w:t>
            </w:r>
            <w:r>
              <w:rPr>
                <w:rFonts w:hint="eastAsia" w:ascii="Times New Roman" w:hAnsi="Times New Roman" w:eastAsia="宋体"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kern w:val="0"/>
                <w:sz w:val="24"/>
                <w:szCs w:val="24"/>
                <w:highlight w:val="none"/>
                <w:lang w:val="en-US" w:eastAsia="zh-CN"/>
              </w:rPr>
              <w:t>。</w:t>
            </w:r>
          </w:p>
          <w:p w14:paraId="56AA1826">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温池供水站属于地下水型水源地，地下水开采类型为岩溶裂隙承压水，2005年新增供水能力9000m</w:t>
            </w:r>
            <w:r>
              <w:rPr>
                <w:rFonts w:hint="eastAsia" w:ascii="Times New Roman" w:hAnsi="Times New Roman" w:eastAsia="宋体" w:cs="Times New Roman"/>
                <w:color w:val="auto"/>
                <w:kern w:val="0"/>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/d，现有岩溶水井5眼，日供水量1万m</w:t>
            </w:r>
            <w:r>
              <w:rPr>
                <w:rFonts w:hint="eastAsia" w:ascii="Times New Roman" w:hAnsi="Times New Roman" w:eastAsia="宋体" w:cs="Times New Roman"/>
                <w:color w:val="auto"/>
                <w:kern w:val="0"/>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，井深介于560~600m，分布于温和河谷，规划供水能力2万m</w:t>
            </w:r>
            <w:r>
              <w:rPr>
                <w:rFonts w:hint="eastAsia" w:ascii="Times New Roman" w:hAnsi="Times New Roman" w:eastAsia="宋体" w:cs="Times New Roman"/>
                <w:color w:val="auto"/>
                <w:kern w:val="0"/>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/d，从水井揭露的地层看，石灰系地层厚70~110m，其下围为奥陶系峰峰组及马家沟组石灰岩、白云质岩、泥灰岩及角砾状灰岩，该水源地只划分一级保护区，保护区面积约0.36km</w:t>
            </w:r>
            <w:r>
              <w:rPr>
                <w:rFonts w:hint="eastAsia" w:ascii="Times New Roman" w:hAnsi="Times New Roman" w:eastAsia="宋体"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kern w:val="0"/>
                <w:sz w:val="24"/>
                <w:szCs w:val="24"/>
                <w:highlight w:val="none"/>
                <w:lang w:val="en-US" w:eastAsia="zh-CN"/>
              </w:rPr>
              <w:t>。</w:t>
            </w:r>
          </w:p>
          <w:p w14:paraId="0F73B75F">
            <w:pPr>
              <w:pStyle w:val="61"/>
              <w:keepNext w:val="0"/>
              <w:keepLines w:val="0"/>
              <w:pageBreakBefore w:val="0"/>
              <w:widowControl w:val="0"/>
              <w:suppressLineNumbers w:val="0"/>
              <w:kinsoku/>
              <w:wordWrap/>
              <w:overflowPunct/>
              <w:topLinePunct w:val="0"/>
              <w:bidi w:val="0"/>
              <w:spacing w:before="0" w:beforeAutospacing="0" w:after="0" w:afterAutospacing="0" w:line="360" w:lineRule="auto"/>
              <w:ind w:left="0" w:firstLine="480" w:firstLineChars="200"/>
              <w:textAlignment w:val="auto"/>
              <w:rPr>
                <w:rFonts w:hint="default" w:eastAsia="宋体"/>
                <w:color w:val="auto"/>
                <w:sz w:val="24"/>
                <w:szCs w:val="24"/>
                <w:highlight w:val="none"/>
              </w:rPr>
            </w:pPr>
            <w:r>
              <w:rPr>
                <w:rFonts w:hint="eastAsia" w:ascii="Times New Roman" w:hAnsi="Times New Roman" w:eastAsia="宋体" w:cs="Times New Roman"/>
                <w:color w:val="auto"/>
                <w:kern w:val="0"/>
                <w:sz w:val="24"/>
                <w:szCs w:val="24"/>
                <w:highlight w:val="none"/>
                <w:lang w:val="en-US" w:eastAsia="zh-CN"/>
              </w:rPr>
              <w:t>本项目位于</w:t>
            </w:r>
            <w:r>
              <w:rPr>
                <w:rFonts w:hint="eastAsia" w:ascii="Times New Roman" w:hAnsi="Times New Roman" w:eastAsia="宋体" w:cs="Times New Roman"/>
                <w:color w:val="auto"/>
                <w:sz w:val="24"/>
                <w:szCs w:val="24"/>
                <w:highlight w:val="none"/>
                <w:lang w:val="en-US" w:eastAsia="zh-CN"/>
              </w:rPr>
              <w:t>山西省阳泉市盂县路家村镇石坡峪村（兴裕煤矿内）</w:t>
            </w:r>
            <w:r>
              <w:rPr>
                <w:rFonts w:hint="default" w:ascii="Times New Roman" w:hAnsi="Times New Roman" w:cs="Times New Roman"/>
                <w:bCs/>
                <w:color w:val="auto"/>
                <w:sz w:val="24"/>
                <w:szCs w:val="32"/>
                <w:highlight w:val="none"/>
                <w:lang w:val="en-US" w:eastAsia="zh-CN"/>
              </w:rPr>
              <w:t>，</w:t>
            </w:r>
            <w:r>
              <w:rPr>
                <w:rFonts w:hint="eastAsia" w:ascii="Times New Roman" w:hAnsi="Times New Roman" w:eastAsia="宋体" w:cs="Times New Roman"/>
                <w:bCs/>
                <w:color w:val="auto"/>
                <w:kern w:val="0"/>
                <w:sz w:val="24"/>
                <w:szCs w:val="24"/>
                <w:highlight w:val="none"/>
                <w:lang w:val="en-US" w:eastAsia="zh-CN"/>
              </w:rPr>
              <w:t>不在</w:t>
            </w:r>
            <w:r>
              <w:rPr>
                <w:rFonts w:hint="eastAsia" w:ascii="Times New Roman" w:hAnsi="Times New Roman" w:eastAsia="宋体" w:cs="Times New Roman"/>
                <w:color w:val="auto"/>
                <w:kern w:val="0"/>
                <w:sz w:val="24"/>
                <w:szCs w:val="24"/>
                <w:highlight w:val="none"/>
                <w:lang w:val="en-US" w:eastAsia="zh-CN"/>
              </w:rPr>
              <w:t>兴道</w:t>
            </w:r>
            <w:r>
              <w:rPr>
                <w:rFonts w:hint="default" w:ascii="Times New Roman" w:hAnsi="Times New Roman" w:eastAsia="宋体" w:cs="Times New Roman"/>
                <w:color w:val="auto"/>
                <w:kern w:val="0"/>
                <w:sz w:val="24"/>
                <w:szCs w:val="24"/>
                <w:highlight w:val="none"/>
                <w:lang w:val="en-US" w:eastAsia="zh-CN"/>
              </w:rPr>
              <w:t>饮用水水源地及温池饮用水水源地一级保护区范围内，本项目距离兴道饮用水水源地约</w:t>
            </w:r>
            <w:r>
              <w:rPr>
                <w:rFonts w:hint="eastAsia" w:ascii="Times New Roman" w:hAnsi="Times New Roman" w:eastAsia="宋体" w:cs="Times New Roman"/>
                <w:color w:val="auto"/>
                <w:kern w:val="0"/>
                <w:sz w:val="24"/>
                <w:szCs w:val="24"/>
                <w:highlight w:val="none"/>
                <w:lang w:val="en-US" w:eastAsia="zh-CN"/>
              </w:rPr>
              <w:t>24.4</w:t>
            </w:r>
            <w:r>
              <w:rPr>
                <w:rFonts w:hint="default" w:ascii="Times New Roman" w:hAnsi="Times New Roman" w:eastAsia="宋体" w:cs="Times New Roman"/>
                <w:color w:val="auto"/>
                <w:kern w:val="0"/>
                <w:sz w:val="24"/>
                <w:szCs w:val="24"/>
                <w:highlight w:val="none"/>
                <w:lang w:val="en-US" w:eastAsia="zh-CN"/>
              </w:rPr>
              <w:t>km处，距离温池饮用水水源地一级保护区</w:t>
            </w:r>
            <w:r>
              <w:rPr>
                <w:rFonts w:hint="eastAsia" w:ascii="Times New Roman" w:hAnsi="Times New Roman" w:eastAsia="宋体" w:cs="Times New Roman"/>
                <w:color w:val="auto"/>
                <w:kern w:val="0"/>
                <w:sz w:val="24"/>
                <w:szCs w:val="24"/>
                <w:highlight w:val="none"/>
                <w:lang w:val="en-US" w:eastAsia="zh-CN"/>
              </w:rPr>
              <w:t>8.5</w:t>
            </w:r>
            <w:r>
              <w:rPr>
                <w:rFonts w:hint="default" w:ascii="Times New Roman" w:hAnsi="Times New Roman" w:eastAsia="宋体" w:cs="Times New Roman"/>
                <w:color w:val="auto"/>
                <w:kern w:val="0"/>
                <w:sz w:val="24"/>
                <w:szCs w:val="24"/>
                <w:highlight w:val="none"/>
                <w:lang w:val="en-US" w:eastAsia="zh-CN"/>
              </w:rPr>
              <w:t>km处。</w:t>
            </w:r>
          </w:p>
          <w:p w14:paraId="08104BBC">
            <w:pPr>
              <w:pStyle w:val="61"/>
              <w:keepNext w:val="0"/>
              <w:keepLines w:val="0"/>
              <w:pageBreakBefore w:val="0"/>
              <w:widowControl w:val="0"/>
              <w:suppressLineNumbers w:val="0"/>
              <w:kinsoku/>
              <w:wordWrap/>
              <w:overflowPunct/>
              <w:topLinePunct w:val="0"/>
              <w:bidi w:val="0"/>
              <w:spacing w:before="0" w:beforeAutospacing="0" w:after="0" w:afterAutospacing="0" w:line="360" w:lineRule="auto"/>
              <w:ind w:left="0" w:firstLine="480" w:firstLineChars="200"/>
              <w:textAlignment w:val="auto"/>
              <w:rPr>
                <w:rFonts w:hint="default" w:eastAsia="宋体"/>
                <w:color w:val="auto"/>
                <w:sz w:val="24"/>
                <w:szCs w:val="24"/>
                <w:highlight w:val="none"/>
                <w:lang w:val="en-US" w:eastAsia="zh-CN"/>
              </w:rPr>
            </w:pPr>
            <w:r>
              <w:rPr>
                <w:rFonts w:hint="eastAsia" w:eastAsia="宋体"/>
                <w:color w:val="auto"/>
                <w:sz w:val="24"/>
                <w:szCs w:val="24"/>
                <w:highlight w:val="none"/>
                <w:lang w:eastAsia="zh-CN"/>
              </w:rPr>
              <w:t>（</w:t>
            </w:r>
            <w:r>
              <w:rPr>
                <w:rFonts w:hint="eastAsia" w:eastAsia="宋体"/>
                <w:color w:val="auto"/>
                <w:sz w:val="24"/>
                <w:szCs w:val="24"/>
                <w:highlight w:val="none"/>
                <w:lang w:val="en-US" w:eastAsia="zh-CN"/>
              </w:rPr>
              <w:t>2</w:t>
            </w:r>
            <w:r>
              <w:rPr>
                <w:rFonts w:hint="eastAsia" w:eastAsia="宋体"/>
                <w:color w:val="auto"/>
                <w:sz w:val="24"/>
                <w:szCs w:val="24"/>
                <w:highlight w:val="none"/>
                <w:lang w:eastAsia="zh-CN"/>
              </w:rPr>
              <w:t>）</w:t>
            </w:r>
            <w:r>
              <w:rPr>
                <w:rFonts w:hint="eastAsia" w:eastAsia="宋体"/>
                <w:color w:val="auto"/>
                <w:sz w:val="24"/>
                <w:szCs w:val="24"/>
                <w:highlight w:val="none"/>
                <w:lang w:val="en-US" w:eastAsia="zh-CN"/>
              </w:rPr>
              <w:t>乡镇水源地</w:t>
            </w:r>
          </w:p>
          <w:p w14:paraId="5EF77A08">
            <w:pPr>
              <w:pStyle w:val="61"/>
              <w:keepNext w:val="0"/>
              <w:keepLines w:val="0"/>
              <w:pageBreakBefore w:val="0"/>
              <w:widowControl w:val="0"/>
              <w:suppressLineNumbers w:val="0"/>
              <w:kinsoku/>
              <w:wordWrap/>
              <w:overflowPunct/>
              <w:topLinePunct w:val="0"/>
              <w:bidi w:val="0"/>
              <w:spacing w:before="0" w:beforeAutospacing="0" w:after="0" w:afterAutospacing="0" w:line="360" w:lineRule="auto"/>
              <w:ind w:left="0" w:firstLine="480" w:firstLineChars="200"/>
              <w:textAlignment w:val="auto"/>
              <w:rPr>
                <w:rFonts w:hint="eastAsia" w:eastAsia="宋体"/>
                <w:b/>
                <w:bCs w:val="0"/>
                <w:color w:val="auto"/>
                <w:sz w:val="24"/>
                <w:szCs w:val="24"/>
                <w:highlight w:val="none"/>
              </w:rPr>
            </w:pPr>
            <w:r>
              <w:rPr>
                <w:rFonts w:hint="default" w:eastAsia="宋体"/>
                <w:color w:val="auto"/>
                <w:sz w:val="24"/>
                <w:szCs w:val="24"/>
                <w:highlight w:val="none"/>
              </w:rPr>
              <w:t>盂县有10个乡镇级饮用水源地，分别是孙家庄镇、路家村镇、南娄镇、牛村镇、</w:t>
            </w:r>
            <w:r>
              <w:rPr>
                <w:rFonts w:hint="eastAsia" w:eastAsia="宋体"/>
                <w:color w:val="auto"/>
                <w:sz w:val="24"/>
                <w:szCs w:val="24"/>
                <w:highlight w:val="none"/>
              </w:rPr>
              <w:t>下</w:t>
            </w:r>
            <w:r>
              <w:rPr>
                <w:rFonts w:hint="default" w:eastAsia="宋体"/>
                <w:color w:val="auto"/>
                <w:sz w:val="24"/>
                <w:szCs w:val="24"/>
                <w:highlight w:val="none"/>
              </w:rPr>
              <w:t>社镇、西烟镇、</w:t>
            </w:r>
            <w:r>
              <w:rPr>
                <w:rFonts w:hint="eastAsia" w:eastAsia="宋体"/>
                <w:color w:val="auto"/>
                <w:sz w:val="24"/>
                <w:szCs w:val="24"/>
                <w:highlight w:val="none"/>
              </w:rPr>
              <w:t>上社镇</w:t>
            </w:r>
            <w:r>
              <w:rPr>
                <w:rFonts w:hint="default" w:eastAsia="宋体"/>
                <w:color w:val="auto"/>
                <w:sz w:val="24"/>
                <w:szCs w:val="24"/>
                <w:highlight w:val="none"/>
              </w:rPr>
              <w:t>、梁家寨、西潘村、东梁村集中供水水源地。</w:t>
            </w:r>
          </w:p>
          <w:p w14:paraId="047F9CF2">
            <w:pPr>
              <w:keepNext w:val="0"/>
              <w:keepLines w:val="0"/>
              <w:suppressLineNumbers w:val="0"/>
              <w:autoSpaceDE/>
              <w:autoSpaceDN/>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sz w:val="24"/>
                <w:szCs w:val="24"/>
                <w:highlight w:val="none"/>
              </w:rPr>
              <w:t>距离本项目最近的乡镇级饮用水源地为</w:t>
            </w:r>
            <w:r>
              <w:rPr>
                <w:rFonts w:hint="default" w:ascii="Times New Roman" w:hAnsi="Times New Roman" w:eastAsia="宋体" w:cs="Times New Roman"/>
                <w:color w:val="auto"/>
                <w:kern w:val="2"/>
                <w:sz w:val="24"/>
                <w:szCs w:val="24"/>
                <w:highlight w:val="none"/>
              </w:rPr>
              <w:t>盂县路家村镇集中供水水源</w:t>
            </w:r>
            <w:r>
              <w:rPr>
                <w:rFonts w:hint="eastAsia" w:ascii="Times New Roman" w:hAnsi="Times New Roman" w:eastAsia="宋体" w:cs="Times New Roman"/>
                <w:color w:val="auto"/>
                <w:sz w:val="24"/>
                <w:szCs w:val="24"/>
                <w:highlight w:val="none"/>
              </w:rPr>
              <w:t>地，</w:t>
            </w:r>
            <w:r>
              <w:rPr>
                <w:rFonts w:hint="default" w:ascii="Times New Roman" w:hAnsi="Times New Roman" w:eastAsia="宋体" w:cs="Times New Roman"/>
                <w:color w:val="auto"/>
                <w:sz w:val="24"/>
                <w:szCs w:val="24"/>
                <w:highlight w:val="none"/>
              </w:rPr>
              <w:t>该水源地编码为</w:t>
            </w:r>
            <w:r>
              <w:rPr>
                <w:rFonts w:hint="eastAsia" w:ascii="Times New Roman" w:hAnsi="Times New Roman" w:eastAsia="宋体" w:cs="Times New Roman"/>
                <w:color w:val="auto"/>
                <w:kern w:val="2"/>
                <w:sz w:val="24"/>
                <w:szCs w:val="24"/>
                <w:highlight w:val="none"/>
              </w:rPr>
              <w:t>CB0401140322101G02</w:t>
            </w:r>
            <w:r>
              <w:rPr>
                <w:rFonts w:hint="default" w:ascii="Times New Roman" w:hAnsi="Times New Roman" w:eastAsia="宋体" w:cs="Times New Roman"/>
                <w:color w:val="auto"/>
                <w:sz w:val="24"/>
                <w:szCs w:val="24"/>
                <w:highlight w:val="none"/>
              </w:rPr>
              <w:t>，水井编号1#，井深</w:t>
            </w:r>
            <w:r>
              <w:rPr>
                <w:rFonts w:hint="default" w:ascii="Times New Roman" w:hAnsi="Times New Roman" w:eastAsia="宋体" w:cs="Times New Roman"/>
                <w:color w:val="auto"/>
                <w:sz w:val="24"/>
                <w:szCs w:val="24"/>
                <w:highlight w:val="none"/>
                <w:lang w:val="en-US" w:eastAsia="zh-CN"/>
              </w:rPr>
              <w:t>700</w:t>
            </w:r>
            <w:r>
              <w:rPr>
                <w:rFonts w:hint="default" w:ascii="Times New Roman" w:hAnsi="Times New Roman" w:eastAsia="宋体" w:cs="Times New Roman"/>
                <w:color w:val="auto"/>
                <w:sz w:val="24"/>
                <w:szCs w:val="24"/>
                <w:highlight w:val="none"/>
              </w:rPr>
              <w:t>m，含水层类型为</w:t>
            </w:r>
            <w:r>
              <w:rPr>
                <w:rFonts w:hint="default" w:ascii="Times New Roman" w:hAnsi="Times New Roman" w:eastAsia="宋体" w:cs="Times New Roman"/>
                <w:color w:val="auto"/>
                <w:kern w:val="2"/>
                <w:sz w:val="24"/>
                <w:szCs w:val="24"/>
                <w:highlight w:val="none"/>
              </w:rPr>
              <w:t>岩溶水</w:t>
            </w:r>
            <w:r>
              <w:rPr>
                <w:rFonts w:hint="default" w:ascii="Times New Roman" w:hAnsi="Times New Roman" w:eastAsia="宋体" w:cs="Times New Roman"/>
                <w:color w:val="auto"/>
                <w:sz w:val="24"/>
                <w:szCs w:val="24"/>
                <w:highlight w:val="none"/>
              </w:rPr>
              <w:t>，保护区级别为一级，半径</w:t>
            </w:r>
            <w:r>
              <w:rPr>
                <w:rFonts w:hint="default" w:ascii="Times New Roman" w:hAnsi="Times New Roman" w:eastAsia="宋体"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rPr>
              <w:t>m，保护区面积</w:t>
            </w:r>
            <w:r>
              <w:rPr>
                <w:rFonts w:hint="default" w:ascii="Times New Roman" w:hAnsi="Times New Roman" w:eastAsia="宋体" w:cs="Times New Roman"/>
                <w:color w:val="auto"/>
                <w:kern w:val="2"/>
                <w:sz w:val="24"/>
                <w:szCs w:val="24"/>
                <w:highlight w:val="none"/>
              </w:rPr>
              <w:t>0.00283</w:t>
            </w:r>
            <w:r>
              <w:rPr>
                <w:rFonts w:hint="default" w:ascii="Times New Roman" w:hAnsi="Times New Roman" w:eastAsia="宋体" w:cs="Times New Roman"/>
                <w:color w:val="auto"/>
                <w:sz w:val="24"/>
                <w:szCs w:val="24"/>
                <w:highlight w:val="none"/>
              </w:rPr>
              <w:t>平方千米，保护区周长</w:t>
            </w:r>
            <w:r>
              <w:rPr>
                <w:rFonts w:hint="default" w:ascii="Times New Roman" w:hAnsi="Times New Roman" w:eastAsia="宋体" w:cs="Times New Roman"/>
                <w:color w:val="auto"/>
                <w:kern w:val="2"/>
                <w:sz w:val="24"/>
                <w:szCs w:val="24"/>
                <w:highlight w:val="none"/>
              </w:rPr>
              <w:t>0.188</w:t>
            </w:r>
            <w:r>
              <w:rPr>
                <w:rFonts w:hint="default" w:ascii="Times New Roman" w:hAnsi="Times New Roman" w:eastAsia="宋体" w:cs="Times New Roman"/>
                <w:color w:val="auto"/>
                <w:sz w:val="24"/>
                <w:szCs w:val="24"/>
                <w:highlight w:val="none"/>
              </w:rPr>
              <w:t>km，本项目位于该水源地</w:t>
            </w:r>
            <w:r>
              <w:rPr>
                <w:rFonts w:hint="eastAsia" w:ascii="Times New Roman" w:hAnsi="Times New Roman" w:eastAsia="宋体" w:cs="Times New Roman"/>
                <w:color w:val="auto"/>
                <w:sz w:val="24"/>
                <w:szCs w:val="24"/>
                <w:highlight w:val="none"/>
                <w:lang w:val="en-US" w:eastAsia="zh-CN"/>
              </w:rPr>
              <w:t>西南</w:t>
            </w:r>
            <w:r>
              <w:rPr>
                <w:rFonts w:hint="default" w:ascii="Times New Roman" w:hAnsi="Times New Roman" w:eastAsia="宋体" w:cs="Times New Roman"/>
                <w:color w:val="auto"/>
                <w:sz w:val="24"/>
                <w:szCs w:val="24"/>
                <w:highlight w:val="none"/>
              </w:rPr>
              <w:t>侧，本项目距其一级保护区边界约</w:t>
            </w:r>
            <w:r>
              <w:rPr>
                <w:rFonts w:hint="eastAsia" w:ascii="Times New Roman" w:hAnsi="Times New Roman" w:eastAsia="宋体" w:cs="Times New Roman"/>
                <w:color w:val="auto"/>
                <w:sz w:val="24"/>
                <w:szCs w:val="24"/>
                <w:highlight w:val="none"/>
                <w:lang w:val="en-US" w:eastAsia="zh-CN"/>
              </w:rPr>
              <w:t>5.0</w:t>
            </w:r>
            <w:r>
              <w:rPr>
                <w:rFonts w:hint="default" w:ascii="Times New Roman" w:hAnsi="Times New Roman" w:eastAsia="宋体" w:cs="Times New Roman"/>
                <w:color w:val="auto"/>
                <w:sz w:val="24"/>
                <w:szCs w:val="24"/>
                <w:highlight w:val="none"/>
              </w:rPr>
              <w:t>km，且项目运营期无废水外排，因此，本项目基本不会对该水源地产生影响。</w:t>
            </w:r>
          </w:p>
          <w:p w14:paraId="062AD9D0">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cs="Times New Roman"/>
                <w:b/>
                <w:bCs w:val="0"/>
                <w:color w:val="auto"/>
                <w:kern w:val="0"/>
                <w:sz w:val="24"/>
                <w:szCs w:val="24"/>
                <w:highlight w:val="none"/>
                <w:lang w:val="en-US" w:eastAsia="zh-CN"/>
              </w:rPr>
            </w:pPr>
            <w:r>
              <w:rPr>
                <w:rFonts w:hint="eastAsia" w:cs="Times New Roman"/>
                <w:b/>
                <w:bCs w:val="0"/>
                <w:color w:val="auto"/>
                <w:kern w:val="0"/>
                <w:sz w:val="24"/>
                <w:szCs w:val="20"/>
                <w:highlight w:val="none"/>
                <w:lang w:val="en-US" w:eastAsia="zh-CN"/>
              </w:rPr>
              <w:t>6.</w:t>
            </w:r>
            <w:r>
              <w:rPr>
                <w:rFonts w:hint="eastAsia" w:ascii="Times New Roman" w:hAnsi="Times New Roman" w:cs="Times New Roman"/>
                <w:b/>
                <w:bCs w:val="0"/>
                <w:color w:val="auto"/>
                <w:kern w:val="0"/>
                <w:sz w:val="24"/>
                <w:szCs w:val="24"/>
                <w:highlight w:val="none"/>
                <w:lang w:val="en-US" w:eastAsia="zh-CN"/>
              </w:rPr>
              <w:t>选址可行性分析</w:t>
            </w:r>
          </w:p>
          <w:p w14:paraId="78CCA8DF">
            <w:pPr>
              <w:keepNext w:val="0"/>
              <w:keepLines w:val="0"/>
              <w:numPr>
                <w:ilvl w:val="0"/>
                <w:numId w:val="0"/>
              </w:numPr>
              <w:suppressLineNumbers w:val="0"/>
              <w:autoSpaceDE/>
              <w:autoSpaceDN/>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cs="Times New Roman"/>
                <w:color w:val="auto"/>
                <w:sz w:val="24"/>
                <w:szCs w:val="24"/>
                <w:highlight w:val="none"/>
              </w:rPr>
              <w:t>本项目选址位于</w:t>
            </w:r>
            <w:r>
              <w:rPr>
                <w:rFonts w:hint="eastAsia" w:ascii="Times New Roman" w:hAnsi="Times New Roman" w:eastAsia="宋体" w:cs="Times New Roman"/>
                <w:color w:val="auto"/>
                <w:sz w:val="24"/>
                <w:szCs w:val="24"/>
                <w:highlight w:val="none"/>
                <w:lang w:val="en-US" w:eastAsia="zh-CN"/>
              </w:rPr>
              <w:t>山西省阳泉市盂县路家村镇石坡峪村（兴裕煤矿内）</w:t>
            </w:r>
            <w:r>
              <w:rPr>
                <w:rFonts w:hint="default"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利用兴裕煤矿低浓度瓦斯进行生产，</w:t>
            </w:r>
            <w:r>
              <w:rPr>
                <w:rFonts w:hint="default" w:ascii="宋体" w:hAnsi="宋体" w:eastAsia="宋体" w:cs="宋体"/>
                <w:color w:val="auto"/>
                <w:sz w:val="24"/>
                <w:szCs w:val="24"/>
              </w:rPr>
              <w:t>兴裕煤矿瓦斯气除部分供应杨德环能电厂外，剩余富余瓦斯均直接排空。本项目依托矿区现有场地及输气管道，回收利用煤矿排空富余瓦斯开展生产，大幅减少瓦斯废气直接外排，有效降低大气污染物排放，生态环境效益显著</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土地性质为工业用地，</w:t>
            </w:r>
            <w:r>
              <w:rPr>
                <w:rFonts w:hint="eastAsia" w:ascii="Times New Roman" w:hAnsi="Times New Roman" w:cs="Times New Roman"/>
                <w:color w:val="auto"/>
                <w:sz w:val="24"/>
                <w:szCs w:val="24"/>
                <w:highlight w:val="none"/>
              </w:rPr>
              <w:t>该区域不涉及自然保护区、风景名胜区、森林公园、文物古迹、地质遗迹保护区、生态功能保护区等环境敏感区域，不在乡镇水源地保护区内，无特殊保护的野生动物、珍</w:t>
            </w:r>
            <w:r>
              <w:rPr>
                <w:rFonts w:hint="eastAsia" w:ascii="Times New Roman" w:hAnsi="Times New Roman" w:cs="Times New Roman"/>
                <w:color w:val="auto"/>
                <w:sz w:val="24"/>
                <w:szCs w:val="24"/>
                <w:highlight w:val="none"/>
                <w:lang w:val="en-US" w:eastAsia="zh-CN"/>
              </w:rPr>
              <w:t>稀</w:t>
            </w:r>
            <w:r>
              <w:rPr>
                <w:rFonts w:hint="eastAsia" w:ascii="Times New Roman" w:hAnsi="Times New Roman" w:cs="Times New Roman"/>
                <w:color w:val="auto"/>
                <w:sz w:val="24"/>
                <w:szCs w:val="24"/>
                <w:highlight w:val="none"/>
              </w:rPr>
              <w:t>植物。评价认为项目选址可行。</w:t>
            </w:r>
          </w:p>
        </w:tc>
      </w:tr>
    </w:tbl>
    <w:p w14:paraId="3F776C2A">
      <w:pPr>
        <w:spacing w:line="360" w:lineRule="auto"/>
        <w:outlineLvl w:val="0"/>
        <w:rPr>
          <w:rFonts w:eastAsia="黑体"/>
          <w:color w:val="auto"/>
          <w:sz w:val="30"/>
          <w:highlight w:val="none"/>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5D364C91">
      <w:pPr>
        <w:pStyle w:val="20"/>
        <w:numPr>
          <w:ilvl w:val="0"/>
          <w:numId w:val="3"/>
        </w:numPr>
        <w:jc w:val="center"/>
        <w:outlineLvl w:val="0"/>
        <w:rPr>
          <w:rFonts w:hint="eastAsia"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建设项目工程分析</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8243"/>
      </w:tblGrid>
      <w:tr w14:paraId="4FD033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3" w:type="dxa"/>
            <w:noWrap w:val="0"/>
            <w:vAlign w:val="center"/>
          </w:tcPr>
          <w:p w14:paraId="6FE9002B">
            <w:pPr>
              <w:pStyle w:val="20"/>
              <w:keepNext w:val="0"/>
              <w:keepLines w:val="0"/>
              <w:suppressLineNumbers w:val="0"/>
              <w:adjustRightInd w:val="0"/>
              <w:snapToGrid w:val="0"/>
              <w:spacing w:before="0" w:beforeAutospacing="0" w:after="0" w:afterAutospacing="0"/>
              <w:ind w:left="0" w:right="0"/>
              <w:jc w:val="center"/>
              <w:rPr>
                <w:rFonts w:hint="eastAsia" w:cs="宋体"/>
                <w:color w:val="auto"/>
                <w:sz w:val="24"/>
                <w:szCs w:val="24"/>
                <w:highlight w:val="none"/>
              </w:rPr>
            </w:pPr>
            <w:r>
              <w:rPr>
                <w:rFonts w:hint="eastAsia" w:cs="宋体"/>
                <w:color w:val="auto"/>
                <w:sz w:val="24"/>
                <w:szCs w:val="24"/>
                <w:highlight w:val="none"/>
              </w:rPr>
              <w:t>建设内容</w:t>
            </w:r>
          </w:p>
        </w:tc>
        <w:tc>
          <w:tcPr>
            <w:tcW w:w="8161" w:type="dxa"/>
            <w:noWrap w:val="0"/>
            <w:vAlign w:val="top"/>
          </w:tcPr>
          <w:p w14:paraId="0F881816">
            <w:pPr>
              <w:keepNext w:val="0"/>
              <w:keepLines w:val="0"/>
              <w:suppressLineNumbers w:val="0"/>
              <w:spacing w:before="0" w:beforeAutospacing="0" w:after="0" w:afterAutospacing="0" w:line="360" w:lineRule="auto"/>
              <w:ind w:left="0" w:right="0"/>
              <w:rPr>
                <w:rFonts w:hint="default" w:ascii="Times New Roman" w:hAnsi="Times New Roman" w:cs="宋体"/>
                <w:b/>
                <w:bCs/>
                <w:color w:val="auto"/>
                <w:sz w:val="24"/>
                <w:highlight w:val="none"/>
                <w:lang w:val="en-US" w:eastAsia="zh-CN"/>
              </w:rPr>
            </w:pPr>
            <w:r>
              <w:rPr>
                <w:rFonts w:hint="eastAsia" w:cs="宋体"/>
                <w:b/>
                <w:bCs/>
                <w:color w:val="auto"/>
                <w:sz w:val="24"/>
                <w:highlight w:val="none"/>
                <w:lang w:val="en-US" w:eastAsia="zh-CN"/>
              </w:rPr>
              <w:t>2.1项目背景</w:t>
            </w:r>
          </w:p>
          <w:p w14:paraId="01ABDA1C">
            <w:pPr>
              <w:keepNext w:val="0"/>
              <w:keepLines w:val="0"/>
              <w:widowControl/>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rPr>
            </w:pPr>
            <w:r>
              <w:rPr>
                <w:rFonts w:hint="default" w:ascii="Times New Roman" w:hAnsi="Times New Roman" w:eastAsia="宋体" w:cs="Times New Roman"/>
                <w:b w:val="0"/>
                <w:bCs/>
                <w:color w:val="auto"/>
                <w:kern w:val="0"/>
                <w:sz w:val="24"/>
                <w:szCs w:val="24"/>
                <w:lang w:val="en-US" w:eastAsia="zh-CN" w:bidi="ar"/>
              </w:rPr>
              <w:t>兴裕煤矿井下生产过程中会持续抽采产生大量煤层瓦斯气，矿井</w:t>
            </w:r>
            <w:r>
              <w:rPr>
                <w:rFonts w:hint="eastAsia" w:ascii="Times New Roman" w:hAnsi="Times New Roman" w:eastAsia="宋体" w:cs="Times New Roman"/>
                <w:b w:val="0"/>
                <w:bCs/>
                <w:color w:val="auto"/>
                <w:kern w:val="0"/>
                <w:sz w:val="24"/>
                <w:szCs w:val="24"/>
                <w:lang w:val="en-US" w:eastAsia="zh-CN" w:bidi="ar"/>
              </w:rPr>
              <w:t>低浓度</w:t>
            </w:r>
            <w:r>
              <w:rPr>
                <w:rFonts w:hint="default" w:ascii="Times New Roman" w:hAnsi="Times New Roman" w:eastAsia="宋体" w:cs="Times New Roman"/>
                <w:b w:val="0"/>
                <w:bCs/>
                <w:color w:val="auto"/>
                <w:kern w:val="0"/>
                <w:sz w:val="24"/>
                <w:szCs w:val="24"/>
                <w:lang w:val="en-US" w:eastAsia="zh-CN" w:bidi="ar"/>
              </w:rPr>
              <w:t>瓦斯抽采量约</w:t>
            </w:r>
            <w:r>
              <w:rPr>
                <w:rFonts w:hint="default" w:ascii="Times New Roman" w:hAnsi="Times New Roman" w:eastAsia="宋体" w:cs="Times New Roman"/>
                <w:b w:val="0"/>
                <w:bCs/>
                <w:color w:val="auto"/>
                <w:kern w:val="2"/>
                <w:sz w:val="24"/>
                <w:szCs w:val="21"/>
                <w:highlight w:val="none"/>
                <w:lang w:val="en-US" w:eastAsia="zh-CN"/>
              </w:rPr>
              <w:t>10.08万m</w:t>
            </w:r>
            <w:r>
              <w:rPr>
                <w:rFonts w:hint="default" w:ascii="Times New Roman" w:hAnsi="Times New Roman" w:eastAsia="宋体" w:cs="Times New Roman"/>
                <w:b w:val="0"/>
                <w:bCs/>
                <w:color w:val="auto"/>
                <w:kern w:val="2"/>
                <w:sz w:val="24"/>
                <w:szCs w:val="21"/>
                <w:highlight w:val="none"/>
                <w:vertAlign w:val="superscript"/>
                <w:lang w:val="en-US" w:eastAsia="zh-CN"/>
              </w:rPr>
              <w:t>3</w:t>
            </w:r>
            <w:r>
              <w:rPr>
                <w:rFonts w:hint="default" w:ascii="Times New Roman" w:hAnsi="Times New Roman" w:eastAsia="宋体" w:cs="Times New Roman"/>
                <w:b w:val="0"/>
                <w:bCs/>
                <w:color w:val="auto"/>
                <w:kern w:val="0"/>
                <w:sz w:val="24"/>
                <w:szCs w:val="24"/>
                <w:lang w:val="en-US" w:eastAsia="zh-CN" w:bidi="ar"/>
              </w:rPr>
              <w:t>。目前矿井抽采瓦斯采用分区利用模式，其中</w:t>
            </w:r>
            <w:r>
              <w:rPr>
                <w:rFonts w:hint="eastAsia" w:ascii="Times New Roman" w:hAnsi="Times New Roman" w:eastAsia="宋体" w:cs="Times New Roman"/>
                <w:b w:val="0"/>
                <w:bCs/>
                <w:color w:val="auto"/>
                <w:kern w:val="0"/>
                <w:sz w:val="24"/>
                <w:szCs w:val="24"/>
                <w:lang w:val="en-US" w:eastAsia="zh-CN" w:bidi="ar"/>
              </w:rPr>
              <w:t>部分</w:t>
            </w:r>
            <w:r>
              <w:rPr>
                <w:rFonts w:hint="default" w:ascii="Times New Roman" w:hAnsi="Times New Roman" w:eastAsia="宋体" w:cs="Times New Roman"/>
                <w:b w:val="0"/>
                <w:bCs/>
                <w:color w:val="auto"/>
                <w:kern w:val="0"/>
                <w:sz w:val="24"/>
                <w:szCs w:val="24"/>
                <w:lang w:val="en-US" w:eastAsia="zh-CN" w:bidi="ar"/>
              </w:rPr>
              <w:t>稳定供给杨德环能电厂作为燃料综合利用，日利用瓦斯量约</w:t>
            </w:r>
            <w:r>
              <w:rPr>
                <w:rStyle w:val="26"/>
                <w:rFonts w:hint="default" w:ascii="Times New Roman" w:hAnsi="Times New Roman" w:eastAsia="宋体" w:cs="Times New Roman"/>
                <w:b w:val="0"/>
                <w:bCs/>
                <w:color w:val="auto"/>
                <w:kern w:val="0"/>
                <w:sz w:val="24"/>
                <w:szCs w:val="24"/>
                <w:lang w:val="en-US" w:eastAsia="zh-CN" w:bidi="ar"/>
              </w:rPr>
              <w:t>5万</w:t>
            </w:r>
            <w:r>
              <w:rPr>
                <w:rFonts w:hint="eastAsia" w:ascii="Times New Roman" w:hAnsi="Times New Roman" w:eastAsia="宋体" w:cs="Times New Roman"/>
                <w:bCs w:val="0"/>
                <w:color w:val="auto"/>
                <w:kern w:val="2"/>
                <w:sz w:val="24"/>
                <w:szCs w:val="21"/>
                <w:highlight w:val="none"/>
                <w:lang w:val="en-US" w:eastAsia="zh-CN"/>
              </w:rPr>
              <w:t>m</w:t>
            </w:r>
            <w:r>
              <w:rPr>
                <w:rFonts w:hint="eastAsia" w:ascii="Times New Roman" w:hAnsi="Times New Roman" w:eastAsia="宋体" w:cs="Times New Roman"/>
                <w:bCs w:val="0"/>
                <w:color w:val="auto"/>
                <w:kern w:val="2"/>
                <w:sz w:val="24"/>
                <w:szCs w:val="21"/>
                <w:highlight w:val="none"/>
                <w:vertAlign w:val="superscript"/>
                <w:lang w:val="en-US" w:eastAsia="zh-CN"/>
              </w:rPr>
              <w:t>3</w:t>
            </w:r>
            <w:r>
              <w:rPr>
                <w:rStyle w:val="26"/>
                <w:rFonts w:hint="default" w:ascii="Times New Roman" w:hAnsi="Times New Roman" w:eastAsia="宋体" w:cs="Times New Roman"/>
                <w:b w:val="0"/>
                <w:bCs/>
                <w:color w:val="auto"/>
                <w:kern w:val="0"/>
                <w:sz w:val="24"/>
                <w:szCs w:val="24"/>
                <w:lang w:val="en-US" w:eastAsia="zh-CN" w:bidi="ar"/>
              </w:rPr>
              <w:t>/d</w:t>
            </w:r>
            <w:r>
              <w:rPr>
                <w:rFonts w:hint="default" w:ascii="Times New Roman" w:hAnsi="Times New Roman" w:eastAsia="宋体" w:cs="Times New Roman"/>
                <w:b w:val="0"/>
                <w:bCs/>
                <w:color w:val="auto"/>
                <w:kern w:val="0"/>
                <w:sz w:val="24"/>
                <w:szCs w:val="24"/>
                <w:lang w:val="en-US" w:eastAsia="zh-CN" w:bidi="ar"/>
              </w:rPr>
              <w:t>，用于电厂发电及配套生产用能；剩余富余瓦斯气量约</w:t>
            </w:r>
            <w:r>
              <w:rPr>
                <w:rStyle w:val="26"/>
                <w:rFonts w:hint="default" w:ascii="Times New Roman" w:hAnsi="Times New Roman" w:eastAsia="宋体" w:cs="Times New Roman"/>
                <w:b w:val="0"/>
                <w:bCs/>
                <w:color w:val="auto"/>
                <w:kern w:val="0"/>
                <w:sz w:val="24"/>
                <w:szCs w:val="24"/>
                <w:lang w:val="en-US" w:eastAsia="zh-CN" w:bidi="ar"/>
              </w:rPr>
              <w:t>5.08万</w:t>
            </w:r>
            <w:r>
              <w:rPr>
                <w:rFonts w:hint="eastAsia" w:ascii="Times New Roman" w:hAnsi="Times New Roman" w:eastAsia="宋体" w:cs="Times New Roman"/>
                <w:bCs w:val="0"/>
                <w:color w:val="auto"/>
                <w:kern w:val="2"/>
                <w:sz w:val="24"/>
                <w:szCs w:val="21"/>
                <w:highlight w:val="none"/>
                <w:lang w:val="en-US" w:eastAsia="zh-CN"/>
              </w:rPr>
              <w:t>m</w:t>
            </w:r>
            <w:r>
              <w:rPr>
                <w:rFonts w:hint="eastAsia" w:ascii="Times New Roman" w:hAnsi="Times New Roman" w:eastAsia="宋体" w:cs="Times New Roman"/>
                <w:bCs w:val="0"/>
                <w:color w:val="auto"/>
                <w:kern w:val="2"/>
                <w:sz w:val="24"/>
                <w:szCs w:val="21"/>
                <w:highlight w:val="none"/>
                <w:vertAlign w:val="superscript"/>
                <w:lang w:val="en-US" w:eastAsia="zh-CN"/>
              </w:rPr>
              <w:t>3</w:t>
            </w:r>
            <w:r>
              <w:rPr>
                <w:rStyle w:val="26"/>
                <w:rFonts w:hint="default" w:ascii="Times New Roman" w:hAnsi="Times New Roman" w:eastAsia="宋体" w:cs="Times New Roman"/>
                <w:b w:val="0"/>
                <w:bCs/>
                <w:color w:val="auto"/>
                <w:kern w:val="0"/>
                <w:sz w:val="24"/>
                <w:szCs w:val="24"/>
                <w:lang w:val="en-US" w:eastAsia="zh-CN" w:bidi="ar"/>
              </w:rPr>
              <w:t>/d</w:t>
            </w:r>
            <w:r>
              <w:rPr>
                <w:rFonts w:hint="default" w:ascii="Times New Roman" w:hAnsi="Times New Roman" w:eastAsia="宋体" w:cs="Times New Roman"/>
                <w:b w:val="0"/>
                <w:bCs/>
                <w:color w:val="auto"/>
                <w:kern w:val="0"/>
                <w:sz w:val="24"/>
                <w:szCs w:val="24"/>
                <w:lang w:val="en-US" w:eastAsia="zh-CN" w:bidi="ar"/>
              </w:rPr>
              <w:t>受现有消纳设施规模限制，无配套利用途径，长期直接排空排放。</w:t>
            </w:r>
          </w:p>
          <w:p w14:paraId="334CB5E0">
            <w:pPr>
              <w:keepNext w:val="0"/>
              <w:keepLines w:val="0"/>
              <w:widowControl/>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bCs/>
                <w:color w:val="auto"/>
                <w:kern w:val="0"/>
                <w:sz w:val="24"/>
                <w:szCs w:val="24"/>
                <w:lang w:val="en-US" w:eastAsia="zh-CN" w:bidi="ar"/>
              </w:rPr>
              <w:t>瓦斯主要成分为甲烷，属于强温室气体，矿井瓦斯无法实现全部利用，富余瓦斯直接排空，既造成优质清洁能源的严重浪费，加剧区域温室气体排放，对大气环境造成不利影响，同时也是煤矿瓦斯治理和环保管控的突出问题。为有效盘活废弃瓦斯资源、实现瓦斯变废为宝、降低区域大气污染与温室效应影响，本项目依托兴裕煤矿5.08万</w:t>
            </w:r>
            <w:r>
              <w:rPr>
                <w:rFonts w:hint="eastAsia" w:ascii="Times New Roman" w:hAnsi="Times New Roman" w:eastAsia="宋体" w:cs="Times New Roman"/>
                <w:bCs w:val="0"/>
                <w:color w:val="auto"/>
                <w:kern w:val="2"/>
                <w:sz w:val="24"/>
                <w:szCs w:val="21"/>
                <w:highlight w:val="none"/>
                <w:lang w:val="en-US" w:eastAsia="zh-CN"/>
              </w:rPr>
              <w:t>m</w:t>
            </w:r>
            <w:r>
              <w:rPr>
                <w:rFonts w:hint="eastAsia" w:ascii="Times New Roman" w:hAnsi="Times New Roman" w:eastAsia="宋体" w:cs="Times New Roman"/>
                <w:bCs w:val="0"/>
                <w:color w:val="auto"/>
                <w:kern w:val="2"/>
                <w:sz w:val="24"/>
                <w:szCs w:val="21"/>
                <w:highlight w:val="none"/>
                <w:vertAlign w:val="superscript"/>
                <w:lang w:val="en-US" w:eastAsia="zh-CN"/>
              </w:rPr>
              <w:t>3</w:t>
            </w:r>
            <w:r>
              <w:rPr>
                <w:rFonts w:hint="default" w:ascii="Times New Roman" w:hAnsi="Times New Roman" w:eastAsia="宋体" w:cs="Times New Roman"/>
                <w:bCs/>
                <w:color w:val="auto"/>
                <w:kern w:val="0"/>
                <w:sz w:val="24"/>
                <w:szCs w:val="24"/>
                <w:lang w:val="en-US" w:eastAsia="zh-CN" w:bidi="ar"/>
              </w:rPr>
              <w:t>/</w:t>
            </w:r>
            <w:r>
              <w:rPr>
                <w:rFonts w:hint="eastAsia" w:ascii="Times New Roman" w:hAnsi="Times New Roman" w:eastAsia="宋体" w:cs="Times New Roman"/>
                <w:bCs/>
                <w:color w:val="auto"/>
                <w:kern w:val="0"/>
                <w:sz w:val="24"/>
                <w:szCs w:val="24"/>
                <w:lang w:val="en-US" w:eastAsia="zh-CN" w:bidi="ar"/>
              </w:rPr>
              <w:t>d</w:t>
            </w:r>
            <w:r>
              <w:rPr>
                <w:rFonts w:hint="default" w:ascii="Times New Roman" w:hAnsi="Times New Roman" w:eastAsia="宋体" w:cs="Times New Roman"/>
                <w:bCs/>
                <w:color w:val="auto"/>
                <w:kern w:val="0"/>
                <w:sz w:val="24"/>
                <w:szCs w:val="24"/>
                <w:lang w:val="en-US" w:eastAsia="zh-CN" w:bidi="ar"/>
              </w:rPr>
              <w:t>未被利用的排空富余瓦斯规划建设</w:t>
            </w:r>
            <w:r>
              <w:rPr>
                <w:rFonts w:hint="default" w:ascii="Times New Roman" w:hAnsi="Times New Roman" w:eastAsia="宋体" w:cs="Times New Roman"/>
                <w:color w:val="auto"/>
                <w:kern w:val="0"/>
                <w:sz w:val="24"/>
                <w:szCs w:val="24"/>
                <w:lang w:val="en-US" w:eastAsia="zh-CN" w:bidi="ar"/>
              </w:rPr>
              <w:t>低浓度瓦斯玻璃微珠项目，</w:t>
            </w:r>
            <w:r>
              <w:rPr>
                <w:rFonts w:hint="default" w:ascii="Times New Roman" w:hAnsi="Times New Roman" w:eastAsia="宋体" w:cs="Times New Roman"/>
                <w:bCs/>
                <w:color w:val="auto"/>
                <w:kern w:val="0"/>
                <w:sz w:val="24"/>
                <w:szCs w:val="24"/>
                <w:lang w:val="en-US" w:eastAsia="zh-CN" w:bidi="ar"/>
              </w:rPr>
              <w:t>有效削减矿井瓦斯排空量。</w:t>
            </w:r>
          </w:p>
          <w:p w14:paraId="1E7019A9">
            <w:pPr>
              <w:keepNext w:val="0"/>
              <w:keepLines w:val="0"/>
              <w:widowControl/>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bCs/>
                <w:color w:val="auto"/>
                <w:kern w:val="0"/>
                <w:sz w:val="24"/>
                <w:szCs w:val="24"/>
                <w:lang w:val="en-US" w:eastAsia="zh-CN" w:bidi="ar"/>
              </w:rPr>
              <w:t>本项目选址于兴裕煤矿现有矿区用地范围内，不新增占地，选址区位优势显著。项目可直接依托矿区现有完善的瓦斯收集、输送管网系统，将煤矿富余排空瓦斯精准输送至本项目生产装置区，输送路径短、损耗低、配套完善。既省去新建长距离输送管线的投资成本，又能保障瓦斯气源稳定、连续供应，实现煤矿富余瓦斯的资源化、集约化、无害化综合利用。</w:t>
            </w:r>
          </w:p>
          <w:p w14:paraId="46C40153">
            <w:pPr>
              <w:keepNext w:val="0"/>
              <w:keepLines w:val="0"/>
              <w:suppressLineNumbers w:val="0"/>
              <w:spacing w:before="0" w:beforeAutospacing="0" w:after="0" w:afterAutospacing="0" w:line="360" w:lineRule="auto"/>
              <w:ind w:left="0" w:right="0"/>
              <w:rPr>
                <w:rFonts w:hint="eastAsia" w:ascii="宋体" w:hAnsi="宋体" w:eastAsia="宋体" w:cs="宋体"/>
                <w:b/>
                <w:bCs/>
                <w:color w:val="auto"/>
                <w:sz w:val="24"/>
                <w:highlight w:val="none"/>
                <w:lang w:eastAsia="zh-CN"/>
              </w:rPr>
            </w:pPr>
            <w:r>
              <w:rPr>
                <w:rFonts w:hint="eastAsia" w:ascii="Times New Roman" w:hAnsi="Times New Roman" w:cs="宋体"/>
                <w:b/>
                <w:bCs/>
                <w:color w:val="auto"/>
                <w:sz w:val="24"/>
                <w:highlight w:val="none"/>
                <w:lang w:val="en-US" w:eastAsia="zh-CN"/>
              </w:rPr>
              <w:t>2.</w:t>
            </w:r>
            <w:r>
              <w:rPr>
                <w:rFonts w:hint="eastAsia" w:cs="宋体"/>
                <w:b/>
                <w:bCs/>
                <w:color w:val="auto"/>
                <w:sz w:val="24"/>
                <w:highlight w:val="none"/>
                <w:lang w:val="en-US" w:eastAsia="zh-CN"/>
              </w:rPr>
              <w:t>2</w:t>
            </w:r>
            <w:r>
              <w:rPr>
                <w:rFonts w:hint="eastAsia" w:ascii="宋体" w:hAnsi="宋体" w:cs="宋体"/>
                <w:b/>
                <w:bCs/>
                <w:color w:val="auto"/>
                <w:sz w:val="24"/>
                <w:highlight w:val="none"/>
                <w:lang w:val="en-US" w:eastAsia="zh-CN"/>
              </w:rPr>
              <w:t>工程组成</w:t>
            </w:r>
          </w:p>
          <w:p w14:paraId="4EC1CA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32"/>
                <w:highlight w:val="none"/>
              </w:rPr>
              <w:t>本项目厂址位于</w:t>
            </w:r>
            <w:r>
              <w:rPr>
                <w:rFonts w:hint="eastAsia" w:ascii="Times New Roman" w:hAnsi="Times New Roman" w:eastAsia="宋体" w:cs="Times New Roman"/>
                <w:color w:val="auto"/>
                <w:sz w:val="24"/>
                <w:szCs w:val="24"/>
                <w:highlight w:val="none"/>
                <w:lang w:val="en-US" w:eastAsia="zh-CN"/>
              </w:rPr>
              <w:t>山西省阳泉市盂县路家村镇石坡峪村（兴裕煤矿内）</w:t>
            </w:r>
            <w:r>
              <w:rPr>
                <w:rFonts w:hint="default" w:ascii="Times New Roman" w:hAnsi="Times New Roman" w:cs="Times New Roman"/>
                <w:color w:val="auto"/>
                <w:sz w:val="24"/>
                <w:szCs w:val="32"/>
                <w:highlight w:val="none"/>
              </w:rPr>
              <w:t>，</w:t>
            </w:r>
            <w:r>
              <w:rPr>
                <w:rFonts w:hint="default" w:ascii="Times New Roman" w:hAnsi="Times New Roman" w:cs="Times New Roman"/>
                <w:color w:val="auto"/>
                <w:sz w:val="24"/>
                <w:szCs w:val="24"/>
                <w:highlight w:val="none"/>
                <w:lang w:val="en-US" w:eastAsia="zh-CN"/>
              </w:rPr>
              <w:t>中心地理坐标为东经</w:t>
            </w:r>
            <w:r>
              <w:rPr>
                <w:rFonts w:hint="default" w:ascii="Times New Roman" w:hAnsi="Times New Roman" w:cs="Times New Roman"/>
                <w:color w:val="auto"/>
                <w:sz w:val="24"/>
                <w:szCs w:val="24"/>
                <w:highlight w:val="none"/>
              </w:rPr>
              <w:t>113度</w:t>
            </w:r>
            <w:r>
              <w:rPr>
                <w:rFonts w:hint="eastAsia" w:ascii="Times New Roman" w:hAnsi="Times New Roman" w:cs="Times New Roman"/>
                <w:color w:val="auto"/>
                <w:sz w:val="24"/>
                <w:szCs w:val="24"/>
                <w:highlight w:val="none"/>
                <w:lang w:eastAsia="zh-CN"/>
              </w:rPr>
              <w:t>2</w:t>
            </w: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val="en-US" w:eastAsia="zh-CN"/>
              </w:rPr>
              <w:t>9.579</w:t>
            </w:r>
            <w:r>
              <w:rPr>
                <w:rFonts w:hint="default" w:ascii="Times New Roman" w:hAnsi="Times New Roman" w:cs="Times New Roman"/>
                <w:color w:val="auto"/>
                <w:sz w:val="24"/>
                <w:szCs w:val="24"/>
                <w:highlight w:val="none"/>
              </w:rPr>
              <w:t>秒，北纬：38度</w:t>
            </w:r>
            <w:r>
              <w:rPr>
                <w:rFonts w:hint="eastAsia" w:ascii="Times New Roman" w:hAnsi="Times New Roman" w:cs="Times New Roman"/>
                <w:color w:val="auto"/>
                <w:sz w:val="24"/>
                <w:szCs w:val="24"/>
                <w:highlight w:val="none"/>
                <w:lang w:eastAsia="zh-CN"/>
              </w:rPr>
              <w:t>0</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eastAsia="zh-CN"/>
              </w:rPr>
              <w:t>3</w:t>
            </w:r>
            <w:r>
              <w:rPr>
                <w:rFonts w:hint="eastAsia" w:ascii="Times New Roman" w:hAnsi="Times New Roman" w:cs="Times New Roman"/>
                <w:color w:val="auto"/>
                <w:sz w:val="24"/>
                <w:szCs w:val="24"/>
                <w:highlight w:val="none"/>
                <w:lang w:val="en-US" w:eastAsia="zh-CN"/>
              </w:rPr>
              <w:t>2.416</w:t>
            </w:r>
            <w:r>
              <w:rPr>
                <w:rFonts w:hint="default" w:ascii="Times New Roman" w:hAnsi="Times New Roman" w:cs="Times New Roman"/>
                <w:color w:val="auto"/>
                <w:sz w:val="24"/>
                <w:szCs w:val="24"/>
                <w:highlight w:val="none"/>
              </w:rPr>
              <w:t>秒</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val="en-US" w:eastAsia="zh-CN"/>
              </w:rPr>
              <w:t>附图1</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。本项目场地为兴裕煤矿原电站，未进行生产活动，厂内遗留建筑物为配电间，</w:t>
            </w:r>
            <w:r>
              <w:rPr>
                <w:rFonts w:hint="default" w:ascii="宋体" w:hAnsi="宋体" w:eastAsia="宋体" w:cs="宋体"/>
                <w:bCs/>
                <w:color w:val="auto"/>
                <w:kern w:val="0"/>
                <w:sz w:val="24"/>
                <w:szCs w:val="24"/>
                <w:lang w:val="en-US" w:eastAsia="zh-CN" w:bidi="ar"/>
              </w:rPr>
              <w:t>本次项目实施前仅需对场地内废弃配电</w:t>
            </w:r>
            <w:r>
              <w:rPr>
                <w:rFonts w:hint="eastAsia" w:ascii="宋体" w:hAnsi="宋体" w:eastAsia="宋体" w:cs="宋体"/>
                <w:bCs/>
                <w:color w:val="auto"/>
                <w:kern w:val="0"/>
                <w:sz w:val="24"/>
                <w:szCs w:val="24"/>
                <w:lang w:val="en-US" w:eastAsia="zh-CN" w:bidi="ar"/>
              </w:rPr>
              <w:t>间进行拆除</w:t>
            </w:r>
            <w:r>
              <w:rPr>
                <w:rFonts w:hint="eastAsia" w:ascii="Times New Roman" w:hAnsi="Times New Roman" w:eastAsia="宋体" w:cs="Times New Roman"/>
                <w:color w:val="auto"/>
                <w:kern w:val="2"/>
                <w:sz w:val="24"/>
                <w:szCs w:val="24"/>
                <w:highlight w:val="none"/>
                <w:lang w:val="en-US" w:eastAsia="zh-CN" w:bidi="ar-SA"/>
              </w:rPr>
              <w:t>。</w:t>
            </w:r>
          </w:p>
          <w:p w14:paraId="49214F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p>
          <w:p w14:paraId="3F58EC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p>
          <w:p w14:paraId="199462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p>
          <w:p w14:paraId="61AD7D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p>
          <w:p w14:paraId="4BB8FF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p>
          <w:p w14:paraId="0B25856B">
            <w:pPr>
              <w:keepNext w:val="0"/>
              <w:keepLines w:val="0"/>
              <w:suppressLineNumbers w:val="0"/>
              <w:spacing w:before="0" w:beforeAutospacing="0" w:after="0" w:afterAutospacing="0" w:line="360" w:lineRule="auto"/>
              <w:ind w:left="0" w:right="0" w:firstLine="482" w:firstLineChars="200"/>
              <w:jc w:val="center"/>
              <w:rPr>
                <w:rFonts w:hint="default" w:ascii="宋体" w:hAnsi="宋体" w:cs="宋体"/>
                <w:b/>
                <w:bCs/>
                <w:color w:val="auto"/>
                <w:sz w:val="21"/>
                <w:szCs w:val="21"/>
                <w:highlight w:val="none"/>
              </w:rPr>
            </w:pPr>
            <w:r>
              <w:rPr>
                <w:rFonts w:hint="default" w:ascii="Times New Roman" w:hAnsi="Times New Roman" w:eastAsia="宋体" w:cs="Times New Roman"/>
                <w:b/>
                <w:bCs/>
                <w:color w:val="auto"/>
                <w:sz w:val="24"/>
                <w:szCs w:val="24"/>
                <w:highlight w:val="none"/>
              </w:rPr>
              <w:t>表</w:t>
            </w:r>
            <w:r>
              <w:rPr>
                <w:rFonts w:hint="eastAsia" w:ascii="Times New Roman" w:hAnsi="Times New Roman" w:cs="Times New Roman"/>
                <w:b/>
                <w:bCs/>
                <w:color w:val="auto"/>
                <w:sz w:val="24"/>
                <w:szCs w:val="24"/>
                <w:highlight w:val="none"/>
                <w:lang w:val="en-US" w:eastAsia="zh-CN"/>
              </w:rPr>
              <w:t>2-1</w:t>
            </w:r>
            <w:r>
              <w:rPr>
                <w:rFonts w:hint="default" w:ascii="Times New Roman" w:hAnsi="Times New Roman" w:eastAsia="宋体" w:cs="Times New Roman"/>
                <w:b/>
                <w:bCs/>
                <w:color w:val="auto"/>
                <w:sz w:val="24"/>
                <w:szCs w:val="24"/>
                <w:highlight w:val="none"/>
                <w:lang w:val="en-US" w:eastAsia="zh-CN"/>
              </w:rPr>
              <w:t>工程组成</w:t>
            </w:r>
            <w:r>
              <w:rPr>
                <w:rFonts w:hint="default" w:ascii="Times New Roman" w:hAnsi="Times New Roman" w:eastAsia="宋体" w:cs="Times New Roman"/>
                <w:b/>
                <w:bCs/>
                <w:color w:val="auto"/>
                <w:sz w:val="24"/>
                <w:szCs w:val="24"/>
                <w:highlight w:val="none"/>
              </w:rPr>
              <w:t>表</w:t>
            </w:r>
          </w:p>
          <w:tbl>
            <w:tblPr>
              <w:tblStyle w:val="23"/>
              <w:tblW w:w="4996"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018"/>
              <w:gridCol w:w="2039"/>
              <w:gridCol w:w="4359"/>
            </w:tblGrid>
            <w:tr w14:paraId="2138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07" w:type="pct"/>
                  <w:gridSpan w:val="2"/>
                  <w:noWrap w:val="0"/>
                  <w:vAlign w:val="center"/>
                </w:tcPr>
                <w:p w14:paraId="6C6FB91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工程名称</w:t>
                  </w:r>
                </w:p>
              </w:tc>
              <w:tc>
                <w:tcPr>
                  <w:tcW w:w="3992" w:type="pct"/>
                  <w:gridSpan w:val="2"/>
                  <w:noWrap w:val="0"/>
                  <w:vAlign w:val="center"/>
                </w:tcPr>
                <w:p w14:paraId="4BA5004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主要建设内容</w:t>
                  </w:r>
                </w:p>
              </w:tc>
            </w:tr>
            <w:tr w14:paraId="39248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pct"/>
                  <w:noWrap w:val="0"/>
                  <w:vAlign w:val="center"/>
                </w:tcPr>
                <w:p w14:paraId="10D5CB4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主体</w:t>
                  </w:r>
                </w:p>
                <w:p w14:paraId="0DF7122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工程</w:t>
                  </w:r>
                </w:p>
              </w:tc>
              <w:tc>
                <w:tcPr>
                  <w:tcW w:w="634" w:type="pct"/>
                  <w:noWrap w:val="0"/>
                  <w:vAlign w:val="center"/>
                </w:tcPr>
                <w:p w14:paraId="234B92B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生产</w:t>
                  </w:r>
                </w:p>
                <w:p w14:paraId="61FA9E8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车间</w:t>
                  </w:r>
                </w:p>
              </w:tc>
              <w:tc>
                <w:tcPr>
                  <w:tcW w:w="3992" w:type="pct"/>
                  <w:gridSpan w:val="2"/>
                  <w:noWrap w:val="0"/>
                  <w:vAlign w:val="center"/>
                </w:tcPr>
                <w:p w14:paraId="79352E5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default" w:ascii="Times New Roman" w:hAnsi="Times New Roman" w:eastAsia="宋体" w:cs="Times New Roman"/>
                      <w:bCs/>
                      <w:color w:val="auto"/>
                      <w:sz w:val="21"/>
                      <w:szCs w:val="21"/>
                      <w:highlight w:val="none"/>
                      <w:lang w:val="en-US" w:eastAsia="zh-CN"/>
                    </w:rPr>
                    <w:t>为全封闭厂房，</w:t>
                  </w:r>
                  <w:r>
                    <w:rPr>
                      <w:rFonts w:hint="eastAsia" w:ascii="Times New Roman" w:hAnsi="Times New Roman" w:eastAsia="宋体" w:cs="Times New Roman"/>
                      <w:bCs/>
                      <w:color w:val="auto"/>
                      <w:sz w:val="21"/>
                      <w:szCs w:val="21"/>
                      <w:highlight w:val="none"/>
                      <w:lang w:val="en-US" w:eastAsia="zh-CN"/>
                    </w:rPr>
                    <w:t>占地面积300m</w:t>
                  </w:r>
                  <w:r>
                    <w:rPr>
                      <w:rFonts w:hint="eastAsia" w:ascii="Times New Roman" w:hAnsi="Times New Roman" w:eastAsia="宋体" w:cs="Times New Roman"/>
                      <w:bCs/>
                      <w:color w:val="auto"/>
                      <w:sz w:val="21"/>
                      <w:szCs w:val="21"/>
                      <w:highlight w:val="none"/>
                      <w:vertAlign w:val="superscript"/>
                      <w:lang w:val="en-US" w:eastAsia="zh-CN"/>
                    </w:rPr>
                    <w:t>2</w:t>
                  </w:r>
                  <w:r>
                    <w:rPr>
                      <w:rFonts w:hint="eastAsia" w:ascii="Times New Roman" w:hAnsi="Times New Roman" w:eastAsia="宋体" w:cs="Times New Roman"/>
                      <w:bCs/>
                      <w:color w:val="auto"/>
                      <w:sz w:val="21"/>
                      <w:szCs w:val="21"/>
                      <w:highlight w:val="none"/>
                      <w:vertAlign w:val="baseline"/>
                      <w:lang w:val="en-US" w:eastAsia="zh-CN"/>
                    </w:rPr>
                    <w:t>，</w:t>
                  </w:r>
                  <w:r>
                    <w:rPr>
                      <w:rFonts w:hint="eastAsia" w:ascii="Times New Roman" w:hAnsi="Times New Roman" w:cs="Times New Roman"/>
                      <w:color w:val="auto"/>
                      <w:highlight w:val="none"/>
                      <w:lang w:val="en-US" w:eastAsia="zh-CN"/>
                    </w:rPr>
                    <w:t>建设玻璃微珠生产线3条，每条生产线包含玻璃微珠烧制炉及其配套的上料、出料设施等</w:t>
                  </w:r>
                </w:p>
              </w:tc>
            </w:tr>
            <w:tr w14:paraId="6281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372" w:type="pct"/>
                  <w:vMerge w:val="restart"/>
                  <w:noWrap w:val="0"/>
                  <w:vAlign w:val="center"/>
                </w:tcPr>
                <w:p w14:paraId="057AFA9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储运</w:t>
                  </w:r>
                </w:p>
                <w:p w14:paraId="0DF8B44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工程</w:t>
                  </w:r>
                </w:p>
              </w:tc>
              <w:tc>
                <w:tcPr>
                  <w:tcW w:w="634" w:type="pct"/>
                  <w:noWrap w:val="0"/>
                  <w:vAlign w:val="center"/>
                </w:tcPr>
                <w:p w14:paraId="71D967B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Times New Roman" w:hAnsi="Times New Roman" w:eastAsia="宋体"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val="en-US" w:eastAsia="zh-CN"/>
                    </w:rPr>
                    <w:t>原料库</w:t>
                  </w:r>
                </w:p>
              </w:tc>
              <w:tc>
                <w:tcPr>
                  <w:tcW w:w="3992" w:type="pct"/>
                  <w:gridSpan w:val="2"/>
                  <w:noWrap w:val="0"/>
                  <w:vAlign w:val="center"/>
                </w:tcPr>
                <w:p w14:paraId="5B71537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原料库，层高8m，</w:t>
                  </w:r>
                  <w:r>
                    <w:rPr>
                      <w:rFonts w:hint="default" w:ascii="Times New Roman" w:hAnsi="Times New Roman" w:eastAsia="宋体" w:cs="Times New Roman"/>
                      <w:bCs/>
                      <w:color w:val="auto"/>
                      <w:sz w:val="21"/>
                      <w:szCs w:val="21"/>
                      <w:highlight w:val="none"/>
                    </w:rPr>
                    <w:t>占地面积</w:t>
                  </w:r>
                  <w:r>
                    <w:rPr>
                      <w:rFonts w:hint="eastAsia" w:ascii="Times New Roman" w:hAnsi="Times New Roman" w:eastAsia="宋体" w:cs="Times New Roman"/>
                      <w:bCs/>
                      <w:color w:val="auto"/>
                      <w:sz w:val="21"/>
                      <w:szCs w:val="21"/>
                      <w:highlight w:val="none"/>
                      <w:lang w:val="en-US" w:eastAsia="zh-CN"/>
                    </w:rPr>
                    <w:t>为200</w:t>
                  </w:r>
                  <w:r>
                    <w:rPr>
                      <w:rFonts w:hint="default" w:ascii="Times New Roman" w:hAnsi="Times New Roman" w:eastAsia="宋体" w:cs="Times New Roman"/>
                      <w:bCs/>
                      <w:color w:val="auto"/>
                      <w:sz w:val="21"/>
                      <w:szCs w:val="21"/>
                      <w:highlight w:val="none"/>
                    </w:rPr>
                    <w:t>m</w:t>
                  </w:r>
                  <w:r>
                    <w:rPr>
                      <w:rFonts w:hint="default" w:ascii="Times New Roman" w:hAnsi="Times New Roman" w:eastAsia="宋体" w:cs="Times New Roman"/>
                      <w:bCs/>
                      <w:color w:val="auto"/>
                      <w:sz w:val="21"/>
                      <w:szCs w:val="21"/>
                      <w:highlight w:val="none"/>
                      <w:vertAlign w:val="superscript"/>
                    </w:rPr>
                    <w:t>2</w:t>
                  </w:r>
                  <w:r>
                    <w:rPr>
                      <w:rFonts w:hint="eastAsia" w:ascii="Times New Roman" w:hAnsi="Times New Roman" w:eastAsia="宋体" w:cs="Times New Roman"/>
                      <w:bCs/>
                      <w:color w:val="auto"/>
                      <w:sz w:val="21"/>
                      <w:szCs w:val="21"/>
                      <w:highlight w:val="none"/>
                      <w:vertAlign w:val="baseline"/>
                      <w:lang w:eastAsia="zh-CN"/>
                    </w:rPr>
                    <w:t>。</w:t>
                  </w:r>
                </w:p>
              </w:tc>
            </w:tr>
            <w:tr w14:paraId="6940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72" w:type="pct"/>
                  <w:vMerge w:val="continue"/>
                  <w:noWrap w:val="0"/>
                  <w:vAlign w:val="center"/>
                </w:tcPr>
                <w:p w14:paraId="2AFFFEF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noWrap w:val="0"/>
                  <w:vAlign w:val="center"/>
                </w:tcPr>
                <w:p w14:paraId="353D192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rPr>
                    <w:t>成品</w:t>
                  </w:r>
                  <w:r>
                    <w:rPr>
                      <w:rFonts w:hint="default" w:ascii="Times New Roman" w:hAnsi="Times New Roman" w:eastAsia="宋体" w:cs="Times New Roman"/>
                      <w:bCs/>
                      <w:color w:val="auto"/>
                      <w:sz w:val="21"/>
                      <w:szCs w:val="21"/>
                      <w:highlight w:val="none"/>
                      <w:lang w:val="en-US" w:eastAsia="zh-CN"/>
                    </w:rPr>
                    <w:t>库</w:t>
                  </w:r>
                </w:p>
              </w:tc>
              <w:tc>
                <w:tcPr>
                  <w:tcW w:w="3992" w:type="pct"/>
                  <w:gridSpan w:val="2"/>
                  <w:noWrap w:val="0"/>
                  <w:vAlign w:val="center"/>
                </w:tcPr>
                <w:p w14:paraId="75010A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eastAsia="宋体" w:cs="Times New Roman"/>
                      <w:bCs/>
                      <w:color w:val="auto"/>
                      <w:sz w:val="21"/>
                      <w:szCs w:val="21"/>
                      <w:highlight w:val="none"/>
                      <w:lang w:val="en-US" w:eastAsia="zh-CN"/>
                    </w:rPr>
                    <w:t>成品库</w:t>
                  </w:r>
                  <w:r>
                    <w:rPr>
                      <w:rFonts w:hint="eastAsia" w:ascii="Times New Roman" w:hAnsi="Times New Roman" w:cs="Times New Roman"/>
                      <w:bCs/>
                      <w:color w:val="auto"/>
                      <w:sz w:val="21"/>
                      <w:szCs w:val="21"/>
                      <w:highlight w:val="none"/>
                      <w:lang w:val="en-US" w:eastAsia="zh-CN"/>
                    </w:rPr>
                    <w:t>，层高8m，</w:t>
                  </w:r>
                  <w:r>
                    <w:rPr>
                      <w:rFonts w:hint="default" w:ascii="Times New Roman" w:hAnsi="Times New Roman" w:eastAsia="宋体" w:cs="Times New Roman"/>
                      <w:bCs/>
                      <w:color w:val="auto"/>
                      <w:sz w:val="21"/>
                      <w:szCs w:val="21"/>
                      <w:highlight w:val="none"/>
                    </w:rPr>
                    <w:t>占地面积</w:t>
                  </w:r>
                  <w:r>
                    <w:rPr>
                      <w:rFonts w:hint="eastAsia" w:ascii="Times New Roman" w:hAnsi="Times New Roman" w:eastAsia="宋体" w:cs="Times New Roman"/>
                      <w:bCs/>
                      <w:color w:val="auto"/>
                      <w:sz w:val="21"/>
                      <w:szCs w:val="21"/>
                      <w:highlight w:val="none"/>
                      <w:lang w:val="en-US" w:eastAsia="zh-CN"/>
                    </w:rPr>
                    <w:t>200</w:t>
                  </w:r>
                  <w:r>
                    <w:rPr>
                      <w:rFonts w:hint="default" w:ascii="Times New Roman" w:hAnsi="Times New Roman" w:eastAsia="宋体" w:cs="Times New Roman"/>
                      <w:bCs/>
                      <w:color w:val="auto"/>
                      <w:sz w:val="21"/>
                      <w:szCs w:val="21"/>
                      <w:highlight w:val="none"/>
                    </w:rPr>
                    <w:t>m</w:t>
                  </w:r>
                  <w:r>
                    <w:rPr>
                      <w:rFonts w:hint="default" w:ascii="Times New Roman" w:hAnsi="Times New Roman" w:eastAsia="宋体" w:cs="Times New Roman"/>
                      <w:bCs/>
                      <w:color w:val="auto"/>
                      <w:sz w:val="21"/>
                      <w:szCs w:val="21"/>
                      <w:highlight w:val="none"/>
                      <w:vertAlign w:val="superscript"/>
                    </w:rPr>
                    <w:t>2</w:t>
                  </w:r>
                  <w:r>
                    <w:rPr>
                      <w:rFonts w:hint="eastAsia" w:ascii="Times New Roman" w:hAnsi="Times New Roman" w:cs="Times New Roman"/>
                      <w:bCs/>
                      <w:color w:val="auto"/>
                      <w:sz w:val="21"/>
                      <w:szCs w:val="21"/>
                      <w:highlight w:val="none"/>
                      <w:vertAlign w:val="baseline"/>
                      <w:lang w:val="en-US" w:eastAsia="zh-CN"/>
                    </w:rPr>
                    <w:t>。</w:t>
                  </w:r>
                </w:p>
              </w:tc>
            </w:tr>
            <w:tr w14:paraId="5476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2" w:type="pct"/>
                  <w:vMerge w:val="continue"/>
                  <w:noWrap w:val="0"/>
                  <w:vAlign w:val="center"/>
                </w:tcPr>
                <w:p w14:paraId="2DD6CEB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noWrap w:val="0"/>
                  <w:vAlign w:val="center"/>
                </w:tcPr>
                <w:p w14:paraId="5509824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厂内</w:t>
                  </w:r>
                </w:p>
                <w:p w14:paraId="7A51EEB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运输</w:t>
                  </w:r>
                </w:p>
              </w:tc>
              <w:tc>
                <w:tcPr>
                  <w:tcW w:w="3992" w:type="pct"/>
                  <w:gridSpan w:val="2"/>
                  <w:noWrap w:val="0"/>
                  <w:vAlign w:val="center"/>
                </w:tcPr>
                <w:p w14:paraId="05F1A1E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auto"/>
                      <w:sz w:val="21"/>
                      <w:szCs w:val="21"/>
                      <w:highlight w:val="none"/>
                    </w:rPr>
                    <w:t>道路面积约为</w:t>
                  </w:r>
                  <w:r>
                    <w:rPr>
                      <w:rFonts w:hint="eastAsia" w:ascii="Times New Roman" w:hAnsi="Times New Roman" w:eastAsia="宋体" w:cs="Times New Roman"/>
                      <w:color w:val="auto"/>
                      <w:sz w:val="21"/>
                      <w:szCs w:val="21"/>
                      <w:highlight w:val="none"/>
                      <w:lang w:val="en-US" w:eastAsia="zh-CN"/>
                    </w:rPr>
                    <w:t>100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p>
              </w:tc>
            </w:tr>
            <w:tr w14:paraId="3F343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2" w:type="pct"/>
                  <w:vMerge w:val="continue"/>
                  <w:noWrap w:val="0"/>
                  <w:vAlign w:val="center"/>
                </w:tcPr>
                <w:p w14:paraId="69C700B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noWrap w:val="0"/>
                  <w:vAlign w:val="center"/>
                </w:tcPr>
                <w:p w14:paraId="755C05C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尿素储罐</w:t>
                  </w:r>
                </w:p>
              </w:tc>
              <w:tc>
                <w:tcPr>
                  <w:tcW w:w="3992" w:type="pct"/>
                  <w:gridSpan w:val="2"/>
                  <w:noWrap w:val="0"/>
                  <w:vAlign w:val="center"/>
                </w:tcPr>
                <w:p w14:paraId="1A99F25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color w:val="auto"/>
                      <w:highlight w:val="none"/>
                    </w:rPr>
                    <w:t>尿素溶液配制罐</w:t>
                  </w:r>
                  <w:r>
                    <w:rPr>
                      <w:rFonts w:hint="eastAsia"/>
                      <w:color w:val="auto"/>
                      <w:highlight w:val="none"/>
                      <w:lang w:eastAsia="zh-CN"/>
                    </w:rPr>
                    <w:t>1</w:t>
                  </w:r>
                  <w:r>
                    <w:rPr>
                      <w:rFonts w:hint="default"/>
                      <w:color w:val="auto"/>
                      <w:highlight w:val="none"/>
                    </w:rPr>
                    <w:t>个，容积为</w:t>
                  </w:r>
                  <w:r>
                    <w:rPr>
                      <w:rFonts w:hint="eastAsia"/>
                      <w:color w:val="auto"/>
                      <w:highlight w:val="none"/>
                      <w:lang w:val="en-US" w:eastAsia="zh-CN"/>
                    </w:rPr>
                    <w:t>10m</w:t>
                  </w:r>
                  <w:r>
                    <w:rPr>
                      <w:rFonts w:hint="eastAsia"/>
                      <w:color w:val="auto"/>
                      <w:highlight w:val="none"/>
                      <w:vertAlign w:val="superscript"/>
                      <w:lang w:val="en-US" w:eastAsia="zh-CN"/>
                    </w:rPr>
                    <w:t>3</w:t>
                  </w:r>
                  <w:r>
                    <w:rPr>
                      <w:rFonts w:hint="default"/>
                      <w:color w:val="auto"/>
                      <w:highlight w:val="none"/>
                    </w:rPr>
                    <w:t>，储罐区周围设置</w:t>
                  </w:r>
                  <w:r>
                    <w:rPr>
                      <w:rFonts w:hint="eastAsia"/>
                      <w:color w:val="auto"/>
                      <w:highlight w:val="none"/>
                      <w:lang w:val="en-US" w:eastAsia="zh-CN"/>
                    </w:rPr>
                    <w:t>0.4m高围堰</w:t>
                  </w:r>
                </w:p>
              </w:tc>
            </w:tr>
            <w:tr w14:paraId="0EF73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2" w:type="pct"/>
                  <w:vMerge w:val="continue"/>
                  <w:noWrap w:val="0"/>
                  <w:vAlign w:val="center"/>
                </w:tcPr>
                <w:p w14:paraId="450EFAA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noWrap w:val="0"/>
                  <w:vAlign w:val="center"/>
                </w:tcPr>
                <w:p w14:paraId="5582072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瓦斯输送</w:t>
                  </w:r>
                </w:p>
              </w:tc>
              <w:tc>
                <w:tcPr>
                  <w:tcW w:w="3992" w:type="pct"/>
                  <w:gridSpan w:val="2"/>
                  <w:noWrap w:val="0"/>
                  <w:vAlign w:val="center"/>
                </w:tcPr>
                <w:p w14:paraId="710421D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瓦斯输送管道起点为兴裕煤矿瓦斯气站预留对外供气接口，目前管道</w:t>
                  </w:r>
                  <w:r>
                    <w:rPr>
                      <w:rFonts w:hint="eastAsia"/>
                      <w:color w:val="auto"/>
                      <w:highlight w:val="none"/>
                    </w:rPr>
                    <w:t>已接入本项目厂区内</w:t>
                  </w:r>
                  <w:r>
                    <w:rPr>
                      <w:rFonts w:hint="eastAsia" w:cs="Times New Roman"/>
                      <w:color w:val="auto"/>
                      <w:sz w:val="21"/>
                      <w:szCs w:val="21"/>
                      <w:highlight w:val="none"/>
                      <w:lang w:val="en-US" w:eastAsia="zh-CN"/>
                    </w:rPr>
                    <w:t>，管道长度为240m，管线管径为D800mm。输送管道架空敷设</w:t>
                  </w:r>
                </w:p>
              </w:tc>
            </w:tr>
            <w:tr w14:paraId="136B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pct"/>
                  <w:vMerge w:val="restart"/>
                  <w:noWrap w:val="0"/>
                  <w:vAlign w:val="center"/>
                </w:tcPr>
                <w:p w14:paraId="3CAD947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辅助</w:t>
                  </w:r>
                </w:p>
                <w:p w14:paraId="693AF2E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工程</w:t>
                  </w:r>
                </w:p>
              </w:tc>
              <w:tc>
                <w:tcPr>
                  <w:tcW w:w="634" w:type="pct"/>
                  <w:noWrap w:val="0"/>
                  <w:vAlign w:val="center"/>
                </w:tcPr>
                <w:p w14:paraId="5064F34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Times New Roman" w:hAnsi="Times New Roman" w:eastAsia="宋体"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val="en-US" w:eastAsia="zh-CN"/>
                    </w:rPr>
                    <w:t>操作室</w:t>
                  </w:r>
                </w:p>
              </w:tc>
              <w:tc>
                <w:tcPr>
                  <w:tcW w:w="3992" w:type="pct"/>
                  <w:gridSpan w:val="2"/>
                  <w:noWrap w:val="0"/>
                  <w:vAlign w:val="center"/>
                </w:tcPr>
                <w:p w14:paraId="1265594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占地面积</w:t>
                  </w:r>
                  <w:r>
                    <w:rPr>
                      <w:rFonts w:hint="eastAsia" w:cs="Times New Roman"/>
                      <w:bCs/>
                      <w:color w:val="auto"/>
                      <w:sz w:val="21"/>
                      <w:szCs w:val="21"/>
                      <w:highlight w:val="none"/>
                      <w:lang w:val="en-US" w:eastAsia="zh-CN"/>
                    </w:rPr>
                    <w:t>15</w:t>
                  </w:r>
                  <w:r>
                    <w:rPr>
                      <w:rFonts w:hint="default" w:ascii="Times New Roman" w:hAnsi="Times New Roman" w:eastAsia="宋体" w:cs="Times New Roman"/>
                      <w:bCs/>
                      <w:color w:val="auto"/>
                      <w:sz w:val="21"/>
                      <w:szCs w:val="21"/>
                      <w:highlight w:val="none"/>
                    </w:rPr>
                    <w:t>m</w:t>
                  </w:r>
                  <w:r>
                    <w:rPr>
                      <w:rFonts w:hint="default" w:ascii="Times New Roman" w:hAnsi="Times New Roman" w:eastAsia="宋体" w:cs="Times New Roman"/>
                      <w:bCs/>
                      <w:color w:val="auto"/>
                      <w:sz w:val="21"/>
                      <w:szCs w:val="21"/>
                      <w:highlight w:val="none"/>
                      <w:vertAlign w:val="superscript"/>
                    </w:rPr>
                    <w:t>2</w:t>
                  </w:r>
                  <w:r>
                    <w:rPr>
                      <w:rFonts w:hint="default" w:ascii="Times New Roman" w:hAnsi="Times New Roman" w:eastAsia="宋体" w:cs="Times New Roman"/>
                      <w:bCs/>
                      <w:color w:val="auto"/>
                      <w:sz w:val="21"/>
                      <w:szCs w:val="21"/>
                      <w:highlight w:val="none"/>
                    </w:rPr>
                    <w:t>，</w:t>
                  </w:r>
                  <w:r>
                    <w:rPr>
                      <w:rFonts w:hint="eastAsia" w:cs="Times New Roman"/>
                      <w:bCs/>
                      <w:color w:val="auto"/>
                      <w:sz w:val="21"/>
                      <w:szCs w:val="21"/>
                      <w:highlight w:val="none"/>
                      <w:lang w:val="en-US" w:eastAsia="zh-CN"/>
                    </w:rPr>
                    <w:t>位于成品库内</w:t>
                  </w:r>
                </w:p>
              </w:tc>
            </w:tr>
            <w:tr w14:paraId="5CA2F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pct"/>
                  <w:vMerge w:val="continue"/>
                  <w:noWrap w:val="0"/>
                  <w:vAlign w:val="center"/>
                </w:tcPr>
                <w:p w14:paraId="7E8250D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noWrap w:val="0"/>
                  <w:vAlign w:val="center"/>
                </w:tcPr>
                <w:p w14:paraId="648AA1F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宿舍</w:t>
                  </w:r>
                </w:p>
              </w:tc>
              <w:tc>
                <w:tcPr>
                  <w:tcW w:w="3992" w:type="pct"/>
                  <w:gridSpan w:val="2"/>
                  <w:noWrap w:val="0"/>
                  <w:vAlign w:val="center"/>
                </w:tcPr>
                <w:p w14:paraId="76E40F5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rPr>
                    <w:t>厂区内配套建设员工宿舍，并设置专门员工休息区域，满足职工住宿及休憩需求</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占地面积30m</w:t>
                  </w:r>
                  <w:r>
                    <w:rPr>
                      <w:rFonts w:hint="eastAsia" w:ascii="Times New Roman" w:hAnsi="Times New Roman" w:eastAsia="宋体" w:cs="Times New Roman"/>
                      <w:color w:val="auto"/>
                      <w:sz w:val="21"/>
                      <w:szCs w:val="21"/>
                      <w:highlight w:val="none"/>
                      <w:vertAlign w:val="superscript"/>
                      <w:lang w:val="en-US" w:eastAsia="zh-CN"/>
                    </w:rPr>
                    <w:t>2</w:t>
                  </w:r>
                  <w:r>
                    <w:rPr>
                      <w:rFonts w:hint="eastAsia" w:ascii="Times New Roman" w:hAnsi="Times New Roman" w:eastAsia="宋体" w:cs="Times New Roman"/>
                      <w:color w:val="auto"/>
                      <w:sz w:val="21"/>
                      <w:szCs w:val="21"/>
                      <w:highlight w:val="none"/>
                      <w:lang w:val="en-US" w:eastAsia="zh-CN"/>
                    </w:rPr>
                    <w:t>。</w:t>
                  </w:r>
                </w:p>
              </w:tc>
            </w:tr>
            <w:tr w14:paraId="6D80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372" w:type="pct"/>
                  <w:vMerge w:val="restart"/>
                  <w:noWrap w:val="0"/>
                  <w:vAlign w:val="center"/>
                </w:tcPr>
                <w:p w14:paraId="6C0F47F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公用</w:t>
                  </w:r>
                </w:p>
                <w:p w14:paraId="2C1627A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工程</w:t>
                  </w:r>
                </w:p>
              </w:tc>
              <w:tc>
                <w:tcPr>
                  <w:tcW w:w="634" w:type="pct"/>
                  <w:noWrap w:val="0"/>
                  <w:vAlign w:val="center"/>
                </w:tcPr>
                <w:p w14:paraId="7B9A33E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供水</w:t>
                  </w:r>
                </w:p>
              </w:tc>
              <w:tc>
                <w:tcPr>
                  <w:tcW w:w="3992" w:type="pct"/>
                  <w:gridSpan w:val="2"/>
                  <w:noWrap w:val="0"/>
                  <w:vAlign w:val="center"/>
                </w:tcPr>
                <w:p w14:paraId="0E66703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用水为外购，采用罐车拉运</w:t>
                  </w:r>
                </w:p>
              </w:tc>
            </w:tr>
            <w:tr w14:paraId="6C7B5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pct"/>
                  <w:vMerge w:val="continue"/>
                  <w:noWrap w:val="0"/>
                  <w:vAlign w:val="center"/>
                </w:tcPr>
                <w:p w14:paraId="394238F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noWrap w:val="0"/>
                  <w:vAlign w:val="center"/>
                </w:tcPr>
                <w:p w14:paraId="01CAAD5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供电</w:t>
                  </w:r>
                </w:p>
              </w:tc>
              <w:tc>
                <w:tcPr>
                  <w:tcW w:w="3992" w:type="pct"/>
                  <w:gridSpan w:val="2"/>
                  <w:noWrap w:val="0"/>
                  <w:vAlign w:val="center"/>
                </w:tcPr>
                <w:p w14:paraId="752DC4B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auto"/>
                      <w:sz w:val="21"/>
                      <w:szCs w:val="21"/>
                      <w:highlight w:val="none"/>
                    </w:rPr>
                    <w:t>由当地电网提供</w:t>
                  </w:r>
                </w:p>
              </w:tc>
            </w:tr>
            <w:tr w14:paraId="0BEA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372" w:type="pct"/>
                  <w:vMerge w:val="continue"/>
                  <w:noWrap w:val="0"/>
                  <w:vAlign w:val="center"/>
                </w:tcPr>
                <w:p w14:paraId="2C3FDC4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noWrap w:val="0"/>
                  <w:vAlign w:val="center"/>
                </w:tcPr>
                <w:p w14:paraId="1F328D7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供热</w:t>
                  </w:r>
                </w:p>
              </w:tc>
              <w:tc>
                <w:tcPr>
                  <w:tcW w:w="3992" w:type="pct"/>
                  <w:gridSpan w:val="2"/>
                  <w:noWrap w:val="0"/>
                  <w:vAlign w:val="center"/>
                </w:tcPr>
                <w:p w14:paraId="6AC5B8F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本项目生产区无需采暖，</w:t>
                  </w:r>
                  <w:r>
                    <w:rPr>
                      <w:rFonts w:hint="eastAsia" w:ascii="Times New Roman" w:hAnsi="Times New Roman" w:eastAsia="宋体" w:cs="Times New Roman"/>
                      <w:bCs/>
                      <w:color w:val="auto"/>
                      <w:sz w:val="21"/>
                      <w:szCs w:val="21"/>
                      <w:highlight w:val="none"/>
                      <w:lang w:val="en-US" w:eastAsia="zh-CN"/>
                    </w:rPr>
                    <w:t>生产用热利用兴裕煤矿低浓度瓦斯，操作室及宿舍</w:t>
                  </w:r>
                  <w:r>
                    <w:rPr>
                      <w:rFonts w:hint="default" w:ascii="Times New Roman" w:hAnsi="Times New Roman" w:eastAsia="宋体" w:cs="Times New Roman"/>
                      <w:bCs/>
                      <w:color w:val="auto"/>
                      <w:sz w:val="21"/>
                      <w:szCs w:val="21"/>
                      <w:highlight w:val="none"/>
                    </w:rPr>
                    <w:t>冬季采暖采用电暖器</w:t>
                  </w:r>
                </w:p>
              </w:tc>
            </w:tr>
            <w:tr w14:paraId="60CE1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72" w:type="pct"/>
                  <w:vMerge w:val="restart"/>
                  <w:noWrap w:val="0"/>
                  <w:vAlign w:val="center"/>
                </w:tcPr>
                <w:p w14:paraId="29B24C9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环保</w:t>
                  </w:r>
                </w:p>
                <w:p w14:paraId="0F96971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工程</w:t>
                  </w:r>
                </w:p>
              </w:tc>
              <w:tc>
                <w:tcPr>
                  <w:tcW w:w="634" w:type="pct"/>
                  <w:vMerge w:val="restart"/>
                  <w:noWrap w:val="0"/>
                  <w:vAlign w:val="center"/>
                </w:tcPr>
                <w:p w14:paraId="4B8702E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废气</w:t>
                  </w:r>
                </w:p>
              </w:tc>
              <w:tc>
                <w:tcPr>
                  <w:tcW w:w="1272" w:type="pct"/>
                  <w:noWrap w:val="0"/>
                  <w:vAlign w:val="center"/>
                </w:tcPr>
                <w:p w14:paraId="4B8BEA5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清洁运输</w:t>
                  </w:r>
                </w:p>
              </w:tc>
              <w:tc>
                <w:tcPr>
                  <w:tcW w:w="2720" w:type="pct"/>
                  <w:noWrap w:val="0"/>
                  <w:vAlign w:val="center"/>
                </w:tcPr>
                <w:p w14:paraId="1FD694B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要求采用新能源或满足国六标准运输车辆</w:t>
                  </w:r>
                </w:p>
              </w:tc>
            </w:tr>
            <w:tr w14:paraId="110EE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pct"/>
                  <w:vMerge w:val="continue"/>
                  <w:noWrap w:val="0"/>
                  <w:vAlign w:val="center"/>
                </w:tcPr>
                <w:p w14:paraId="7E97DAD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634" w:type="pct"/>
                  <w:vMerge w:val="continue"/>
                  <w:noWrap w:val="0"/>
                  <w:vAlign w:val="center"/>
                </w:tcPr>
                <w:p w14:paraId="3039721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1272" w:type="pct"/>
                  <w:noWrap w:val="0"/>
                  <w:vAlign w:val="center"/>
                </w:tcPr>
                <w:p w14:paraId="3F9853B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玻璃微珠生产线</w:t>
                  </w:r>
                </w:p>
              </w:tc>
              <w:tc>
                <w:tcPr>
                  <w:tcW w:w="2720" w:type="pct"/>
                  <w:noWrap w:val="0"/>
                  <w:vAlign w:val="center"/>
                </w:tcPr>
                <w:p w14:paraId="53A29A9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olor w:val="auto"/>
                      <w:szCs w:val="21"/>
                      <w:lang w:val="en-US" w:eastAsia="zh-CN"/>
                    </w:rPr>
                    <w:t>玻璃烧制炉</w:t>
                  </w:r>
                  <w:r>
                    <w:rPr>
                      <w:rFonts w:hint="eastAsia" w:ascii="Times New Roman" w:hAnsi="Times New Roman" w:eastAsia="宋体" w:cs="Times New Roman"/>
                      <w:color w:val="auto"/>
                      <w:sz w:val="21"/>
                      <w:szCs w:val="21"/>
                    </w:rPr>
                    <w:t>配置低氮多</w:t>
                  </w:r>
                  <w:r>
                    <w:rPr>
                      <w:rFonts w:hint="eastAsia" w:cs="Times New Roman"/>
                      <w:color w:val="auto"/>
                      <w:sz w:val="21"/>
                      <w:szCs w:val="21"/>
                      <w:lang w:val="en-US" w:eastAsia="zh-CN"/>
                    </w:rPr>
                    <w:t>孔</w:t>
                  </w:r>
                  <w:r>
                    <w:rPr>
                      <w:rFonts w:hint="eastAsia" w:ascii="Times New Roman" w:hAnsi="Times New Roman" w:eastAsia="宋体" w:cs="Times New Roman"/>
                      <w:color w:val="auto"/>
                      <w:sz w:val="21"/>
                      <w:szCs w:val="21"/>
                    </w:rPr>
                    <w:t>介质燃烧器</w:t>
                  </w:r>
                  <w:r>
                    <w:rPr>
                      <w:rFonts w:hint="eastAsia"/>
                      <w:color w:val="auto"/>
                      <w:szCs w:val="21"/>
                      <w:lang w:val="en-US" w:eastAsia="zh-CN"/>
                    </w:rPr>
                    <w:t>（</w:t>
                  </w:r>
                  <w:r>
                    <w:rPr>
                      <w:rFonts w:hint="eastAsia" w:ascii="Times New Roman" w:hAnsi="Times New Roman" w:eastAsia="宋体" w:cs="Times New Roman"/>
                      <w:color w:val="auto"/>
                      <w:sz w:val="21"/>
                      <w:szCs w:val="21"/>
                    </w:rPr>
                    <w:t>燃气与空气形成预混气流后进入多孔介质基体，于基体孔隙空间内完成燃烧反应，该燃烧方式属于低氮高效燃烧技术</w:t>
                  </w:r>
                  <w:r>
                    <w:rPr>
                      <w:rFonts w:hint="eastAsia"/>
                      <w:color w:val="auto"/>
                      <w:szCs w:val="21"/>
                      <w:lang w:val="en-US" w:eastAsia="zh-CN"/>
                    </w:rPr>
                    <w:t>），</w:t>
                  </w:r>
                  <w:r>
                    <w:rPr>
                      <w:rFonts w:hint="eastAsia" w:ascii="Times New Roman" w:hAnsi="Times New Roman" w:eastAsia="宋体" w:cs="Times New Roman"/>
                      <w:color w:val="auto"/>
                      <w:kern w:val="2"/>
                      <w:sz w:val="21"/>
                      <w:szCs w:val="21"/>
                      <w:highlight w:val="none"/>
                      <w:lang w:val="en-US" w:eastAsia="zh-CN" w:bidi="ar-SA"/>
                    </w:rPr>
                    <w:t>烧制炉废气</w:t>
                  </w:r>
                  <w:r>
                    <w:rPr>
                      <w:rFonts w:hint="eastAsia" w:cs="Times New Roman"/>
                      <w:color w:val="auto"/>
                      <w:kern w:val="2"/>
                      <w:sz w:val="21"/>
                      <w:szCs w:val="21"/>
                      <w:highlight w:val="none"/>
                      <w:lang w:val="en-US" w:eastAsia="zh-CN" w:bidi="ar-SA"/>
                    </w:rPr>
                    <w:t>经SCR脱硝+</w:t>
                  </w:r>
                  <w:r>
                    <w:rPr>
                      <w:rFonts w:hint="eastAsia" w:ascii="Times New Roman" w:hAnsi="Times New Roman" w:eastAsia="宋体" w:cs="Times New Roman"/>
                      <w:color w:val="auto"/>
                      <w:kern w:val="2"/>
                      <w:sz w:val="21"/>
                      <w:szCs w:val="21"/>
                      <w:highlight w:val="none"/>
                      <w:lang w:val="en-US" w:eastAsia="zh-CN" w:bidi="ar-SA"/>
                    </w:rPr>
                    <w:t>布袋除尘器进行处理，处理后经15m高的排气筒（DA001）排放</w:t>
                  </w:r>
                </w:p>
              </w:tc>
            </w:tr>
            <w:tr w14:paraId="479E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pct"/>
                  <w:vMerge w:val="continue"/>
                  <w:noWrap w:val="0"/>
                  <w:vAlign w:val="center"/>
                </w:tcPr>
                <w:p w14:paraId="5C985D3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634" w:type="pct"/>
                  <w:vMerge w:val="continue"/>
                  <w:noWrap w:val="0"/>
                  <w:vAlign w:val="center"/>
                </w:tcPr>
                <w:p w14:paraId="7FAF72D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1272" w:type="pct"/>
                  <w:noWrap w:val="0"/>
                  <w:vAlign w:val="center"/>
                </w:tcPr>
                <w:p w14:paraId="1F3026E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yellow"/>
                      <w:lang w:val="en-US" w:eastAsia="zh-CN"/>
                    </w:rPr>
                  </w:pPr>
                  <w:r>
                    <w:rPr>
                      <w:rFonts w:hint="eastAsia" w:ascii="Times New Roman" w:hAnsi="Times New Roman" w:eastAsia="宋体" w:cs="Times New Roman"/>
                      <w:color w:val="auto"/>
                      <w:sz w:val="21"/>
                      <w:szCs w:val="21"/>
                      <w:highlight w:val="none"/>
                      <w:lang w:val="en-US" w:eastAsia="zh-CN"/>
                    </w:rPr>
                    <w:t>进料、筛分工序粉尘</w:t>
                  </w:r>
                </w:p>
              </w:tc>
              <w:tc>
                <w:tcPr>
                  <w:tcW w:w="2720" w:type="pct"/>
                  <w:noWrap w:val="0"/>
                  <w:vAlign w:val="center"/>
                </w:tcPr>
                <w:p w14:paraId="5DD5581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cs="Times New Roman"/>
                      <w:b w:val="0"/>
                      <w:bCs/>
                      <w:color w:val="auto"/>
                      <w:sz w:val="21"/>
                      <w:szCs w:val="21"/>
                      <w:highlight w:val="yellow"/>
                      <w:lang w:val="en-US" w:eastAsia="zh-CN"/>
                    </w:rPr>
                  </w:pPr>
                  <w:r>
                    <w:rPr>
                      <w:rFonts w:hint="eastAsia" w:ascii="Times New Roman" w:hAnsi="Times New Roman" w:eastAsia="宋体" w:cs="Times New Roman"/>
                      <w:color w:val="auto"/>
                      <w:kern w:val="2"/>
                      <w:sz w:val="21"/>
                      <w:szCs w:val="21"/>
                      <w:highlight w:val="none"/>
                      <w:lang w:val="en-US" w:eastAsia="zh-CN" w:bidi="ar-SA"/>
                    </w:rPr>
                    <w:t>玻璃微珠生产线受料仓设置集气罩（</w:t>
                  </w:r>
                  <w:r>
                    <w:rPr>
                      <w:rFonts w:hint="eastAsia" w:ascii="Times New Roman" w:hAnsi="Times New Roman" w:eastAsia="宋体" w:cs="Times New Roman"/>
                      <w:color w:val="auto"/>
                      <w:highlight w:val="none"/>
                    </w:rPr>
                    <w:t>进料口三侧封闭、顶部集气，进料一侧设置软帘</w:t>
                  </w:r>
                  <w:r>
                    <w:rPr>
                      <w:rFonts w:hint="eastAsia" w:ascii="Times New Roman" w:hAnsi="Times New Roman" w:eastAsia="宋体" w:cs="Times New Roman"/>
                      <w:color w:val="auto"/>
                      <w:kern w:val="2"/>
                      <w:sz w:val="21"/>
                      <w:szCs w:val="21"/>
                      <w:highlight w:val="none"/>
                      <w:lang w:val="en-US" w:eastAsia="zh-CN" w:bidi="ar-SA"/>
                    </w:rPr>
                    <w:t>），筛分机设置密闭集气罩，经收集后进入1套布袋除尘器，经处理后经15m高的排气筒（DA002）排放</w:t>
                  </w:r>
                </w:p>
              </w:tc>
            </w:tr>
            <w:tr w14:paraId="77F8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pct"/>
                  <w:vMerge w:val="continue"/>
                  <w:noWrap w:val="0"/>
                  <w:vAlign w:val="center"/>
                </w:tcPr>
                <w:p w14:paraId="6F91A94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vMerge w:val="restart"/>
                  <w:noWrap w:val="0"/>
                  <w:vAlign w:val="center"/>
                </w:tcPr>
                <w:p w14:paraId="56C7DB7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废水</w:t>
                  </w:r>
                </w:p>
              </w:tc>
              <w:tc>
                <w:tcPr>
                  <w:tcW w:w="1272" w:type="pct"/>
                  <w:noWrap w:val="0"/>
                  <w:vAlign w:val="center"/>
                </w:tcPr>
                <w:p w14:paraId="56F2C89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循环冷却水</w:t>
                  </w:r>
                </w:p>
              </w:tc>
              <w:tc>
                <w:tcPr>
                  <w:tcW w:w="2720" w:type="pct"/>
                  <w:noWrap w:val="0"/>
                  <w:vAlign w:val="center"/>
                </w:tcPr>
                <w:p w14:paraId="249CEE8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color w:val="auto"/>
                      <w:highlight w:val="none"/>
                      <w:lang w:eastAsia="zh-CN"/>
                    </w:rPr>
                    <w:t>本项目的生产用水主要为循环冷却水，循环使用不外排。</w:t>
                  </w:r>
                  <w:r>
                    <w:rPr>
                      <w:rFonts w:hint="eastAsia" w:cs="Times New Roman"/>
                      <w:color w:val="auto"/>
                      <w:highlight w:val="none"/>
                      <w:lang w:val="en-US" w:eastAsia="zh-CN"/>
                    </w:rPr>
                    <w:t>设置20m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循环水池。</w:t>
                  </w:r>
                </w:p>
              </w:tc>
            </w:tr>
            <w:tr w14:paraId="7BC6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pct"/>
                  <w:vMerge w:val="continue"/>
                  <w:noWrap w:val="0"/>
                  <w:vAlign w:val="center"/>
                </w:tcPr>
                <w:p w14:paraId="1AE6186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vMerge w:val="continue"/>
                  <w:noWrap w:val="0"/>
                  <w:vAlign w:val="center"/>
                </w:tcPr>
                <w:p w14:paraId="7667315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1272" w:type="pct"/>
                  <w:noWrap w:val="0"/>
                  <w:vAlign w:val="center"/>
                </w:tcPr>
                <w:p w14:paraId="7CA229E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盥洗废水</w:t>
                  </w:r>
                </w:p>
              </w:tc>
              <w:tc>
                <w:tcPr>
                  <w:tcW w:w="2720" w:type="pct"/>
                  <w:noWrap w:val="0"/>
                  <w:vAlign w:val="center"/>
                </w:tcPr>
                <w:p w14:paraId="0F9F882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盥洗废水用于</w:t>
                  </w:r>
                  <w:r>
                    <w:rPr>
                      <w:rFonts w:hint="default" w:ascii="Times New Roman" w:hAnsi="Times New Roman" w:eastAsia="宋体" w:cs="Times New Roman"/>
                      <w:bCs/>
                      <w:color w:val="auto"/>
                      <w:sz w:val="21"/>
                      <w:szCs w:val="21"/>
                      <w:highlight w:val="none"/>
                      <w:lang w:val="en-US" w:eastAsia="zh-CN"/>
                    </w:rPr>
                    <w:t>厂区增湿抑尘，如厕采用卫生旱厕，</w:t>
                  </w:r>
                  <w:r>
                    <w:rPr>
                      <w:rFonts w:hint="eastAsia" w:ascii="Times New Roman" w:hAnsi="Times New Roman" w:cs="Times New Roman"/>
                      <w:bCs/>
                      <w:color w:val="auto"/>
                      <w:sz w:val="21"/>
                      <w:szCs w:val="21"/>
                      <w:highlight w:val="none"/>
                      <w:lang w:val="en-US" w:eastAsia="zh-CN"/>
                    </w:rPr>
                    <w:t>环卫部门</w:t>
                  </w:r>
                  <w:r>
                    <w:rPr>
                      <w:rFonts w:hint="default" w:ascii="Times New Roman" w:hAnsi="Times New Roman" w:eastAsia="宋体" w:cs="Times New Roman"/>
                      <w:bCs/>
                      <w:color w:val="auto"/>
                      <w:sz w:val="21"/>
                      <w:szCs w:val="21"/>
                      <w:highlight w:val="none"/>
                      <w:lang w:val="en-US" w:eastAsia="zh-CN"/>
                    </w:rPr>
                    <w:t>定期清掏</w:t>
                  </w:r>
                </w:p>
              </w:tc>
            </w:tr>
            <w:tr w14:paraId="71708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pct"/>
                  <w:vMerge w:val="continue"/>
                  <w:noWrap w:val="0"/>
                  <w:vAlign w:val="center"/>
                </w:tcPr>
                <w:p w14:paraId="3A91245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vMerge w:val="continue"/>
                  <w:noWrap w:val="0"/>
                  <w:vAlign w:val="center"/>
                </w:tcPr>
                <w:p w14:paraId="2EE1604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1272" w:type="pct"/>
                  <w:noWrap w:val="0"/>
                  <w:vAlign w:val="center"/>
                </w:tcPr>
                <w:p w14:paraId="120EB81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初期雨水</w:t>
                  </w:r>
                </w:p>
              </w:tc>
              <w:tc>
                <w:tcPr>
                  <w:tcW w:w="2720" w:type="pct"/>
                  <w:noWrap w:val="0"/>
                  <w:vAlign w:val="center"/>
                </w:tcPr>
                <w:p w14:paraId="3C9DDD7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厂区地势</w:t>
                  </w:r>
                  <w:r>
                    <w:rPr>
                      <w:rFonts w:hint="default" w:ascii="Times New Roman" w:hAnsi="Times New Roman" w:eastAsia="宋体" w:cs="Times New Roman"/>
                      <w:bCs/>
                      <w:color w:val="auto"/>
                      <w:sz w:val="21"/>
                      <w:szCs w:val="21"/>
                      <w:highlight w:val="none"/>
                      <w:lang w:val="en-US" w:eastAsia="zh-CN"/>
                    </w:rPr>
                    <w:t>最低处建设</w:t>
                  </w:r>
                  <w:r>
                    <w:rPr>
                      <w:rFonts w:hint="default" w:ascii="Times New Roman" w:hAnsi="Times New Roman" w:eastAsia="宋体" w:cs="Times New Roman"/>
                      <w:bCs/>
                      <w:color w:val="auto"/>
                      <w:sz w:val="21"/>
                      <w:szCs w:val="21"/>
                      <w:highlight w:val="none"/>
                    </w:rPr>
                    <w:t>一座</w:t>
                  </w:r>
                  <w:r>
                    <w:rPr>
                      <w:rFonts w:hint="eastAsia" w:ascii="Times New Roman" w:hAnsi="Times New Roman" w:cs="Times New Roman"/>
                      <w:bCs/>
                      <w:color w:val="auto"/>
                      <w:sz w:val="21"/>
                      <w:szCs w:val="21"/>
                      <w:highlight w:val="none"/>
                      <w:lang w:val="en-US" w:eastAsia="zh-CN"/>
                    </w:rPr>
                    <w:t>15</w:t>
                  </w:r>
                  <w:r>
                    <w:rPr>
                      <w:rFonts w:hint="default" w:ascii="Times New Roman" w:hAnsi="Times New Roman" w:eastAsia="宋体" w:cs="Times New Roman"/>
                      <w:bCs/>
                      <w:color w:val="auto"/>
                      <w:sz w:val="21"/>
                      <w:szCs w:val="21"/>
                      <w:highlight w:val="none"/>
                    </w:rPr>
                    <w:t>m</w:t>
                  </w:r>
                  <w:r>
                    <w:rPr>
                      <w:rFonts w:hint="default" w:ascii="Times New Roman" w:hAnsi="Times New Roman" w:eastAsia="宋体" w:cs="Times New Roman"/>
                      <w:bCs/>
                      <w:color w:val="auto"/>
                      <w:sz w:val="21"/>
                      <w:szCs w:val="21"/>
                      <w:highlight w:val="none"/>
                      <w:vertAlign w:val="superscript"/>
                    </w:rPr>
                    <w:t>3</w:t>
                  </w:r>
                  <w:r>
                    <w:rPr>
                      <w:rFonts w:hint="default" w:ascii="Times New Roman" w:hAnsi="Times New Roman" w:eastAsia="宋体" w:cs="Times New Roman"/>
                      <w:bCs/>
                      <w:color w:val="auto"/>
                      <w:sz w:val="21"/>
                      <w:szCs w:val="21"/>
                      <w:highlight w:val="none"/>
                    </w:rPr>
                    <w:t>的初期雨水收集池，</w:t>
                  </w:r>
                  <w:r>
                    <w:rPr>
                      <w:rFonts w:hint="eastAsia" w:ascii="Times New Roman" w:hAnsi="Times New Roman" w:cs="Times New Roman"/>
                      <w:bCs/>
                      <w:color w:val="auto"/>
                      <w:sz w:val="21"/>
                      <w:szCs w:val="21"/>
                      <w:highlight w:val="none"/>
                      <w:lang w:val="en-US" w:eastAsia="zh-CN"/>
                    </w:rPr>
                    <w:t>在原料库及生产车间周边设置雨水导流渠，</w:t>
                  </w:r>
                  <w:r>
                    <w:rPr>
                      <w:rFonts w:hint="default" w:ascii="Times New Roman" w:hAnsi="Times New Roman" w:eastAsia="宋体" w:cs="Times New Roman"/>
                      <w:bCs/>
                      <w:color w:val="auto"/>
                      <w:sz w:val="21"/>
                      <w:szCs w:val="21"/>
                      <w:highlight w:val="none"/>
                    </w:rPr>
                    <w:t>收集的初期雨水用于</w:t>
                  </w:r>
                  <w:r>
                    <w:rPr>
                      <w:rFonts w:hint="eastAsia" w:ascii="Times New Roman" w:hAnsi="Times New Roman" w:cs="Times New Roman"/>
                      <w:bCs/>
                      <w:color w:val="auto"/>
                      <w:sz w:val="21"/>
                      <w:szCs w:val="21"/>
                      <w:highlight w:val="none"/>
                      <w:lang w:val="en-US" w:eastAsia="zh-CN"/>
                    </w:rPr>
                    <w:t>厂区</w:t>
                  </w:r>
                  <w:r>
                    <w:rPr>
                      <w:rFonts w:hint="default" w:ascii="Times New Roman" w:hAnsi="Times New Roman" w:eastAsia="宋体" w:cs="Times New Roman"/>
                      <w:bCs/>
                      <w:color w:val="auto"/>
                      <w:sz w:val="21"/>
                      <w:szCs w:val="21"/>
                      <w:highlight w:val="none"/>
                    </w:rPr>
                    <w:t>洒水抑尘</w:t>
                  </w:r>
                </w:p>
              </w:tc>
            </w:tr>
            <w:tr w14:paraId="54385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372" w:type="pct"/>
                  <w:vMerge w:val="continue"/>
                  <w:noWrap w:val="0"/>
                  <w:vAlign w:val="center"/>
                </w:tcPr>
                <w:p w14:paraId="0789911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noWrap w:val="0"/>
                  <w:vAlign w:val="center"/>
                </w:tcPr>
                <w:p w14:paraId="6B996C5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噪声</w:t>
                  </w:r>
                </w:p>
              </w:tc>
              <w:tc>
                <w:tcPr>
                  <w:tcW w:w="3992" w:type="pct"/>
                  <w:gridSpan w:val="2"/>
                  <w:noWrap w:val="0"/>
                  <w:vAlign w:val="center"/>
                </w:tcPr>
                <w:p w14:paraId="4B29914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基础减振，厂房密闭设置</w:t>
                  </w:r>
                </w:p>
              </w:tc>
            </w:tr>
            <w:tr w14:paraId="09B2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pct"/>
                  <w:vMerge w:val="continue"/>
                  <w:noWrap w:val="0"/>
                  <w:vAlign w:val="center"/>
                </w:tcPr>
                <w:p w14:paraId="0434DC1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vMerge w:val="restart"/>
                  <w:noWrap w:val="0"/>
                  <w:vAlign w:val="center"/>
                </w:tcPr>
                <w:p w14:paraId="04BDA21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固废</w:t>
                  </w:r>
                </w:p>
              </w:tc>
              <w:tc>
                <w:tcPr>
                  <w:tcW w:w="1272" w:type="pct"/>
                  <w:noWrap w:val="0"/>
                  <w:vAlign w:val="center"/>
                </w:tcPr>
                <w:p w14:paraId="73F0DDB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布袋除尘器除尘灰</w:t>
                  </w:r>
                </w:p>
              </w:tc>
              <w:tc>
                <w:tcPr>
                  <w:tcW w:w="2720" w:type="pct"/>
                  <w:noWrap w:val="0"/>
                  <w:vAlign w:val="center"/>
                </w:tcPr>
                <w:p w14:paraId="70210C4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收集后</w:t>
                  </w:r>
                  <w:r>
                    <w:rPr>
                      <w:rFonts w:hint="eastAsia" w:cs="Times New Roman"/>
                      <w:bCs/>
                      <w:color w:val="auto"/>
                      <w:sz w:val="21"/>
                      <w:szCs w:val="21"/>
                      <w:highlight w:val="none"/>
                      <w:lang w:val="en-US" w:eastAsia="zh-CN"/>
                    </w:rPr>
                    <w:t>回用于生产</w:t>
                  </w:r>
                </w:p>
              </w:tc>
            </w:tr>
            <w:tr w14:paraId="5C51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2" w:type="pct"/>
                  <w:vMerge w:val="continue"/>
                  <w:noWrap w:val="0"/>
                  <w:vAlign w:val="center"/>
                </w:tcPr>
                <w:p w14:paraId="42A196D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vMerge w:val="continue"/>
                  <w:noWrap w:val="0"/>
                  <w:vAlign w:val="center"/>
                </w:tcPr>
                <w:p w14:paraId="5B41F57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1272" w:type="pct"/>
                  <w:noWrap w:val="0"/>
                  <w:vAlign w:val="center"/>
                </w:tcPr>
                <w:p w14:paraId="1CAC2E1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筛分废料</w:t>
                  </w:r>
                </w:p>
              </w:tc>
              <w:tc>
                <w:tcPr>
                  <w:tcW w:w="2720" w:type="pct"/>
                  <w:noWrap w:val="0"/>
                  <w:vAlign w:val="center"/>
                </w:tcPr>
                <w:p w14:paraId="72C14F2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收集后</w:t>
                  </w:r>
                  <w:r>
                    <w:rPr>
                      <w:rFonts w:hint="eastAsia" w:cs="Times New Roman"/>
                      <w:bCs/>
                      <w:color w:val="auto"/>
                      <w:sz w:val="21"/>
                      <w:szCs w:val="21"/>
                      <w:highlight w:val="none"/>
                      <w:lang w:val="en-US" w:eastAsia="zh-CN"/>
                    </w:rPr>
                    <w:t>回用于生产</w:t>
                  </w:r>
                </w:p>
              </w:tc>
            </w:tr>
            <w:tr w14:paraId="46C1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372" w:type="pct"/>
                  <w:vMerge w:val="continue"/>
                  <w:noWrap w:val="0"/>
                  <w:vAlign w:val="center"/>
                </w:tcPr>
                <w:p w14:paraId="4205E3E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vMerge w:val="continue"/>
                  <w:noWrap w:val="0"/>
                  <w:vAlign w:val="center"/>
                </w:tcPr>
                <w:p w14:paraId="146C59E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1272" w:type="pct"/>
                  <w:noWrap w:val="0"/>
                  <w:vAlign w:val="center"/>
                </w:tcPr>
                <w:p w14:paraId="697DAF2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生活垃圾</w:t>
                  </w:r>
                </w:p>
              </w:tc>
              <w:tc>
                <w:tcPr>
                  <w:tcW w:w="2720" w:type="pct"/>
                  <w:noWrap w:val="0"/>
                  <w:vAlign w:val="center"/>
                </w:tcPr>
                <w:p w14:paraId="5FCFA40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厂区内设置生活垃圾箱，收集后运至环卫部门指定地点</w:t>
                  </w:r>
                </w:p>
              </w:tc>
            </w:tr>
            <w:tr w14:paraId="1611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372" w:type="pct"/>
                  <w:vMerge w:val="continue"/>
                  <w:noWrap w:val="0"/>
                  <w:vAlign w:val="center"/>
                </w:tcPr>
                <w:p w14:paraId="0AE47D1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634" w:type="pct"/>
                  <w:vMerge w:val="continue"/>
                  <w:noWrap w:val="0"/>
                  <w:vAlign w:val="center"/>
                </w:tcPr>
                <w:p w14:paraId="6DACD50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p>
              </w:tc>
              <w:tc>
                <w:tcPr>
                  <w:tcW w:w="1272" w:type="pct"/>
                  <w:noWrap w:val="0"/>
                  <w:vAlign w:val="center"/>
                </w:tcPr>
                <w:p w14:paraId="58E53A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设备检修机油以及废油桶</w:t>
                  </w:r>
                  <w:r>
                    <w:rPr>
                      <w:rFonts w:hint="eastAsia" w:ascii="Times New Roman" w:hAnsi="Times New Roman" w:cs="Times New Roman"/>
                      <w:bCs/>
                      <w:color w:val="auto"/>
                      <w:sz w:val="21"/>
                      <w:szCs w:val="21"/>
                      <w:highlight w:val="none"/>
                      <w:lang w:eastAsia="zh-CN"/>
                    </w:rPr>
                    <w:t>、</w:t>
                  </w:r>
                  <w:r>
                    <w:rPr>
                      <w:rFonts w:hint="eastAsia" w:ascii="Times New Roman" w:hAnsi="Times New Roman" w:cs="Times New Roman"/>
                      <w:bCs/>
                      <w:color w:val="auto"/>
                      <w:sz w:val="21"/>
                      <w:szCs w:val="21"/>
                      <w:highlight w:val="none"/>
                      <w:lang w:val="en-US" w:eastAsia="zh-CN"/>
                    </w:rPr>
                    <w:t>废含油手套及棉纱</w:t>
                  </w:r>
                  <w:r>
                    <w:rPr>
                      <w:rFonts w:hint="eastAsia" w:cs="Times New Roman"/>
                      <w:bCs/>
                      <w:color w:val="auto"/>
                      <w:sz w:val="21"/>
                      <w:szCs w:val="21"/>
                      <w:highlight w:val="none"/>
                      <w:lang w:val="en-US" w:eastAsia="zh-CN"/>
                    </w:rPr>
                    <w:t>、废催化剂</w:t>
                  </w:r>
                  <w:r>
                    <w:rPr>
                      <w:rFonts w:hint="default" w:ascii="Times New Roman" w:hAnsi="Times New Roman" w:eastAsia="宋体" w:cs="Times New Roman"/>
                      <w:bCs/>
                      <w:color w:val="auto"/>
                      <w:sz w:val="21"/>
                      <w:szCs w:val="21"/>
                      <w:highlight w:val="none"/>
                    </w:rPr>
                    <w:t>等</w:t>
                  </w:r>
                </w:p>
              </w:tc>
              <w:tc>
                <w:tcPr>
                  <w:tcW w:w="2720" w:type="pct"/>
                  <w:noWrap w:val="0"/>
                  <w:vAlign w:val="center"/>
                </w:tcPr>
                <w:p w14:paraId="19C1F42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存于厂内</w:t>
                  </w:r>
                  <w:r>
                    <w:rPr>
                      <w:rFonts w:hint="eastAsia" w:ascii="Times New Roman" w:hAnsi="Times New Roman" w:eastAsia="宋体" w:cs="Times New Roman"/>
                      <w:bCs/>
                      <w:color w:val="auto"/>
                      <w:sz w:val="21"/>
                      <w:szCs w:val="21"/>
                      <w:highlight w:val="none"/>
                      <w:lang w:val="en-US" w:eastAsia="zh-CN"/>
                    </w:rPr>
                    <w:t>危废暂存点</w:t>
                  </w:r>
                  <w:r>
                    <w:rPr>
                      <w:rFonts w:hint="default" w:ascii="Times New Roman" w:hAnsi="Times New Roman" w:eastAsia="宋体" w:cs="Times New Roman"/>
                      <w:bCs/>
                      <w:color w:val="auto"/>
                      <w:sz w:val="21"/>
                      <w:szCs w:val="21"/>
                      <w:highlight w:val="none"/>
                    </w:rPr>
                    <w:t>，面积为</w:t>
                  </w:r>
                  <w:r>
                    <w:rPr>
                      <w:rFonts w:hint="eastAsia" w:ascii="Times New Roman" w:hAnsi="Times New Roman" w:cs="Times New Roman"/>
                      <w:bCs/>
                      <w:color w:val="auto"/>
                      <w:sz w:val="21"/>
                      <w:szCs w:val="21"/>
                      <w:highlight w:val="none"/>
                      <w:lang w:val="en-US" w:eastAsia="zh-CN"/>
                    </w:rPr>
                    <w:t>10</w:t>
                  </w:r>
                  <w:r>
                    <w:rPr>
                      <w:rFonts w:hint="default" w:ascii="Times New Roman" w:hAnsi="Times New Roman" w:eastAsia="宋体" w:cs="Times New Roman"/>
                      <w:bCs/>
                      <w:color w:val="auto"/>
                      <w:sz w:val="21"/>
                      <w:szCs w:val="21"/>
                      <w:highlight w:val="none"/>
                    </w:rPr>
                    <w:t>m</w:t>
                  </w:r>
                  <w:r>
                    <w:rPr>
                      <w:rFonts w:hint="default" w:ascii="Times New Roman" w:hAnsi="Times New Roman" w:eastAsia="宋体" w:cs="Times New Roman"/>
                      <w:bCs/>
                      <w:color w:val="auto"/>
                      <w:sz w:val="21"/>
                      <w:szCs w:val="21"/>
                      <w:highlight w:val="none"/>
                      <w:vertAlign w:val="superscript"/>
                    </w:rPr>
                    <w:t>2</w:t>
                  </w:r>
                  <w:r>
                    <w:rPr>
                      <w:rFonts w:hint="default" w:ascii="Times New Roman" w:hAnsi="Times New Roman" w:eastAsia="宋体" w:cs="Times New Roman"/>
                      <w:bCs/>
                      <w:color w:val="auto"/>
                      <w:sz w:val="21"/>
                      <w:szCs w:val="21"/>
                      <w:highlight w:val="none"/>
                    </w:rPr>
                    <w:t>，定期送有资质单位处置</w:t>
                  </w:r>
                </w:p>
              </w:tc>
            </w:tr>
            <w:tr w14:paraId="08A8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7" w:type="pct"/>
                  <w:gridSpan w:val="2"/>
                  <w:noWrap w:val="0"/>
                  <w:vAlign w:val="center"/>
                </w:tcPr>
                <w:p w14:paraId="212AC4A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生态与绿化</w:t>
                  </w:r>
                </w:p>
              </w:tc>
              <w:tc>
                <w:tcPr>
                  <w:tcW w:w="3992" w:type="pct"/>
                  <w:gridSpan w:val="2"/>
                  <w:noWrap w:val="0"/>
                  <w:vAlign w:val="center"/>
                </w:tcPr>
                <w:p w14:paraId="6404D7E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绿化面积50m</w:t>
                  </w:r>
                  <w:r>
                    <w:rPr>
                      <w:rFonts w:hint="eastAsia" w:cs="Times New Roman"/>
                      <w:bCs/>
                      <w:color w:val="auto"/>
                      <w:sz w:val="21"/>
                      <w:szCs w:val="21"/>
                      <w:highlight w:val="none"/>
                      <w:vertAlign w:val="superscript"/>
                      <w:lang w:val="en-US" w:eastAsia="zh-CN"/>
                    </w:rPr>
                    <w:t>2</w:t>
                  </w:r>
                </w:p>
              </w:tc>
            </w:tr>
          </w:tbl>
          <w:p w14:paraId="00D9D0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Times New Roman" w:hAnsi="Times New Roman" w:eastAsia="宋体" w:cs="Times New Roman"/>
                <w:b/>
                <w:bCs/>
                <w:color w:val="auto"/>
                <w:sz w:val="24"/>
                <w:szCs w:val="24"/>
                <w:highlight w:val="none"/>
                <w:lang w:eastAsia="zh-CN"/>
              </w:rPr>
            </w:pPr>
            <w:r>
              <w:rPr>
                <w:rFonts w:hint="eastAsia" w:ascii="Times New Roman" w:hAnsi="Times New Roman"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3</w:t>
            </w:r>
            <w:r>
              <w:rPr>
                <w:rFonts w:hint="eastAsia" w:ascii="Times New Roman" w:hAnsi="Times New Roman" w:cs="Times New Roman"/>
                <w:b/>
                <w:bCs/>
                <w:color w:val="auto"/>
                <w:sz w:val="24"/>
                <w:szCs w:val="24"/>
                <w:highlight w:val="none"/>
                <w:lang w:val="en-US" w:eastAsia="zh-CN"/>
              </w:rPr>
              <w:t>产品方案</w:t>
            </w:r>
          </w:p>
          <w:p w14:paraId="5EE312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本项目主要产品</w:t>
            </w:r>
            <w:r>
              <w:rPr>
                <w:rFonts w:hint="eastAsia" w:ascii="Times New Roman" w:hAnsi="Times New Roman" w:cs="Times New Roman"/>
                <w:color w:val="auto"/>
                <w:sz w:val="24"/>
                <w:szCs w:val="24"/>
                <w:highlight w:val="none"/>
                <w:lang w:val="en-US" w:eastAsia="zh-CN"/>
              </w:rPr>
              <w:t>为玻璃微珠</w:t>
            </w:r>
            <w:r>
              <w:rPr>
                <w:rFonts w:hint="eastAsia" w:ascii="Times New Roman" w:hAnsi="Times New Roman" w:cs="Times New Roman"/>
                <w:color w:val="auto"/>
                <w:sz w:val="24"/>
                <w:szCs w:val="24"/>
                <w:highlight w:val="none"/>
              </w:rPr>
              <w:t>。</w:t>
            </w:r>
          </w:p>
          <w:p w14:paraId="06DDC7F1">
            <w:pPr>
              <w:keepNext w:val="0"/>
              <w:keepLines w:val="0"/>
              <w:suppressLineNumbers w:val="0"/>
              <w:bidi w:val="0"/>
              <w:spacing w:before="0" w:beforeAutospacing="0" w:after="0" w:afterAutospacing="0" w:line="360" w:lineRule="auto"/>
              <w:ind w:left="0" w:right="0"/>
              <w:jc w:val="center"/>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表</w:t>
            </w:r>
            <w:r>
              <w:rPr>
                <w:rFonts w:hint="eastAsia" w:ascii="Times New Roman" w:hAnsi="Times New Roman" w:cs="Times New Roman"/>
                <w:b/>
                <w:bCs/>
                <w:color w:val="auto"/>
                <w:sz w:val="24"/>
                <w:szCs w:val="24"/>
                <w:highlight w:val="none"/>
                <w:lang w:val="en-US" w:eastAsia="zh-CN"/>
              </w:rPr>
              <w:t>2-2</w:t>
            </w:r>
            <w:r>
              <w:rPr>
                <w:rFonts w:hint="eastAsia" w:ascii="Times New Roman" w:hAnsi="Times New Roman" w:cs="Times New Roman"/>
                <w:b/>
                <w:bCs/>
                <w:color w:val="auto"/>
                <w:sz w:val="24"/>
                <w:szCs w:val="24"/>
                <w:highlight w:val="none"/>
              </w:rPr>
              <w:t>产品方案表</w:t>
            </w:r>
          </w:p>
          <w:tbl>
            <w:tblPr>
              <w:tblStyle w:val="23"/>
              <w:tblW w:w="801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1728"/>
              <w:gridCol w:w="1927"/>
              <w:gridCol w:w="1730"/>
              <w:gridCol w:w="1730"/>
            </w:tblGrid>
            <w:tr w14:paraId="75AD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563" w:type="pct"/>
                  <w:noWrap w:val="0"/>
                  <w:vAlign w:val="center"/>
                </w:tcPr>
                <w:p w14:paraId="4459D9E8">
                  <w:pPr>
                    <w:keepNext w:val="0"/>
                    <w:keepLines w:val="0"/>
                    <w:suppressLineNumbers w:val="0"/>
                    <w:adjustRightInd w:val="0"/>
                    <w:snapToGrid w:val="0"/>
                    <w:spacing w:before="0" w:beforeAutospacing="0" w:after="0" w:afterAutospacing="0"/>
                    <w:ind w:left="0" w:right="0"/>
                    <w:jc w:val="center"/>
                    <w:rPr>
                      <w:rFonts w:hint="default" w:ascii="宋体" w:hAnsi="宋体" w:cs="宋体"/>
                      <w:b/>
                      <w:color w:val="auto"/>
                      <w:sz w:val="21"/>
                      <w:szCs w:val="21"/>
                      <w:highlight w:val="none"/>
                    </w:rPr>
                  </w:pPr>
                  <w:r>
                    <w:rPr>
                      <w:rFonts w:hint="eastAsia" w:ascii="宋体" w:hAnsi="宋体" w:cs="宋体"/>
                      <w:b/>
                      <w:color w:val="auto"/>
                      <w:sz w:val="21"/>
                      <w:szCs w:val="21"/>
                      <w:highlight w:val="none"/>
                    </w:rPr>
                    <w:t>序号</w:t>
                  </w:r>
                </w:p>
              </w:tc>
              <w:tc>
                <w:tcPr>
                  <w:tcW w:w="1077" w:type="pct"/>
                  <w:noWrap w:val="0"/>
                  <w:vAlign w:val="center"/>
                </w:tcPr>
                <w:p w14:paraId="34A9941F">
                  <w:pPr>
                    <w:keepNext w:val="0"/>
                    <w:keepLines w:val="0"/>
                    <w:suppressLineNumbers w:val="0"/>
                    <w:adjustRightInd w:val="0"/>
                    <w:snapToGrid w:val="0"/>
                    <w:spacing w:before="0" w:beforeAutospacing="0" w:after="0" w:afterAutospacing="0"/>
                    <w:ind w:left="0" w:right="0"/>
                    <w:jc w:val="center"/>
                    <w:rPr>
                      <w:rFonts w:hint="default" w:ascii="宋体" w:hAnsi="宋体" w:cs="宋体"/>
                      <w:b/>
                      <w:color w:val="auto"/>
                      <w:sz w:val="21"/>
                      <w:szCs w:val="21"/>
                      <w:highlight w:val="none"/>
                    </w:rPr>
                  </w:pPr>
                  <w:r>
                    <w:rPr>
                      <w:rFonts w:hint="eastAsia" w:ascii="宋体" w:hAnsi="宋体" w:cs="宋体"/>
                      <w:b/>
                      <w:color w:val="auto"/>
                      <w:sz w:val="21"/>
                      <w:szCs w:val="21"/>
                      <w:highlight w:val="none"/>
                    </w:rPr>
                    <w:t>产品名称</w:t>
                  </w:r>
                </w:p>
              </w:tc>
              <w:tc>
                <w:tcPr>
                  <w:tcW w:w="1201" w:type="pct"/>
                  <w:noWrap w:val="0"/>
                  <w:vAlign w:val="center"/>
                </w:tcPr>
                <w:p w14:paraId="01A69F99">
                  <w:pPr>
                    <w:keepNext w:val="0"/>
                    <w:keepLines w:val="0"/>
                    <w:suppressLineNumbers w:val="0"/>
                    <w:adjustRightInd w:val="0"/>
                    <w:snapToGrid w:val="0"/>
                    <w:spacing w:before="0" w:beforeAutospacing="0" w:after="0" w:afterAutospacing="0"/>
                    <w:ind w:left="0" w:right="0"/>
                    <w:jc w:val="center"/>
                    <w:rPr>
                      <w:rFonts w:hint="default"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产量t/a</w:t>
                  </w:r>
                </w:p>
              </w:tc>
              <w:tc>
                <w:tcPr>
                  <w:tcW w:w="1078" w:type="pct"/>
                  <w:noWrap w:val="0"/>
                  <w:vAlign w:val="center"/>
                </w:tcPr>
                <w:p w14:paraId="21C09E55">
                  <w:pPr>
                    <w:keepNext w:val="0"/>
                    <w:keepLines w:val="0"/>
                    <w:suppressLineNumbers w:val="0"/>
                    <w:adjustRightInd w:val="0"/>
                    <w:snapToGrid w:val="0"/>
                    <w:spacing w:before="0" w:beforeAutospacing="0" w:after="0" w:afterAutospacing="0"/>
                    <w:ind w:left="0" w:right="0"/>
                    <w:jc w:val="center"/>
                    <w:rPr>
                      <w:rFonts w:hint="eastAsia" w:ascii="宋体" w:hAnsi="宋体" w:cs="宋体"/>
                      <w:b/>
                      <w:color w:val="auto"/>
                      <w:sz w:val="21"/>
                      <w:szCs w:val="21"/>
                      <w:highlight w:val="none"/>
                      <w:lang w:val="en-US" w:eastAsia="zh-CN"/>
                    </w:rPr>
                  </w:pPr>
                  <w:r>
                    <w:rPr>
                      <w:rFonts w:hint="eastAsia" w:ascii="宋体" w:hAnsi="宋体" w:cs="宋体"/>
                      <w:b/>
                      <w:color w:val="auto"/>
                      <w:sz w:val="21"/>
                      <w:szCs w:val="21"/>
                      <w:highlight w:val="none"/>
                    </w:rPr>
                    <w:t>产品规格</w:t>
                  </w:r>
                </w:p>
              </w:tc>
              <w:tc>
                <w:tcPr>
                  <w:tcW w:w="1078" w:type="pct"/>
                  <w:noWrap w:val="0"/>
                  <w:vAlign w:val="center"/>
                </w:tcPr>
                <w:p w14:paraId="5C780F9D">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外观要求</w:t>
                  </w:r>
                </w:p>
              </w:tc>
            </w:tr>
            <w:tr w14:paraId="62405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563" w:type="pct"/>
                  <w:noWrap w:val="0"/>
                  <w:vAlign w:val="center"/>
                </w:tcPr>
                <w:p w14:paraId="2F3668D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宋体"/>
                      <w:bCs/>
                      <w:color w:val="auto"/>
                      <w:sz w:val="21"/>
                      <w:szCs w:val="21"/>
                      <w:highlight w:val="none"/>
                      <w:lang w:val="en-US" w:eastAsia="zh-CN"/>
                    </w:rPr>
                  </w:pPr>
                  <w:r>
                    <w:rPr>
                      <w:rFonts w:hint="eastAsia" w:ascii="Times New Roman" w:hAnsi="Times New Roman" w:cs="宋体"/>
                      <w:bCs/>
                      <w:color w:val="auto"/>
                      <w:sz w:val="21"/>
                      <w:szCs w:val="21"/>
                      <w:highlight w:val="none"/>
                      <w:lang w:val="en-US" w:eastAsia="zh-CN"/>
                    </w:rPr>
                    <w:t>1</w:t>
                  </w:r>
                </w:p>
              </w:tc>
              <w:tc>
                <w:tcPr>
                  <w:tcW w:w="1077" w:type="pct"/>
                  <w:noWrap w:val="0"/>
                  <w:vAlign w:val="center"/>
                </w:tcPr>
                <w:p w14:paraId="6C6190A6">
                  <w:pPr>
                    <w:keepNext w:val="0"/>
                    <w:keepLines w:val="0"/>
                    <w:suppressLineNumbers w:val="0"/>
                    <w:adjustRightInd w:val="0"/>
                    <w:snapToGrid w:val="0"/>
                    <w:spacing w:before="0" w:beforeAutospacing="0" w:after="0" w:afterAutospacing="0"/>
                    <w:ind w:left="0" w:right="0"/>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玻璃微珠</w:t>
                  </w:r>
                </w:p>
              </w:tc>
              <w:tc>
                <w:tcPr>
                  <w:tcW w:w="1201" w:type="pct"/>
                  <w:noWrap w:val="0"/>
                  <w:vAlign w:val="center"/>
                </w:tcPr>
                <w:p w14:paraId="20A394A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宋体"/>
                      <w:bCs/>
                      <w:color w:val="auto"/>
                      <w:sz w:val="21"/>
                      <w:szCs w:val="21"/>
                      <w:highlight w:val="none"/>
                      <w:lang w:val="en-US" w:eastAsia="zh-CN"/>
                    </w:rPr>
                  </w:pPr>
                  <w:r>
                    <w:rPr>
                      <w:rFonts w:hint="eastAsia" w:cs="宋体"/>
                      <w:bCs/>
                      <w:color w:val="auto"/>
                      <w:sz w:val="21"/>
                      <w:szCs w:val="21"/>
                      <w:highlight w:val="none"/>
                      <w:lang w:val="en-US" w:eastAsia="zh-CN"/>
                    </w:rPr>
                    <w:t>27000</w:t>
                  </w:r>
                </w:p>
              </w:tc>
              <w:tc>
                <w:tcPr>
                  <w:tcW w:w="1078" w:type="pct"/>
                  <w:noWrap w:val="0"/>
                  <w:vAlign w:val="center"/>
                </w:tcPr>
                <w:p w14:paraId="78E0529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宋体"/>
                      <w:bCs/>
                      <w:color w:val="auto"/>
                      <w:sz w:val="21"/>
                      <w:szCs w:val="21"/>
                      <w:highlight w:val="none"/>
                      <w:lang w:val="en-US" w:eastAsia="zh-CN"/>
                    </w:rPr>
                  </w:pPr>
                  <w:r>
                    <w:rPr>
                      <w:rFonts w:hint="eastAsia" w:ascii="Times New Roman" w:hAnsi="Times New Roman" w:cs="宋体"/>
                      <w:bCs/>
                      <w:color w:val="auto"/>
                      <w:sz w:val="21"/>
                      <w:szCs w:val="21"/>
                      <w:highlight w:val="none"/>
                      <w:lang w:val="en-US" w:eastAsia="zh-CN"/>
                    </w:rPr>
                    <w:t>20~</w:t>
                  </w:r>
                  <w:r>
                    <w:rPr>
                      <w:rFonts w:hint="eastAsia" w:cs="宋体"/>
                      <w:bCs/>
                      <w:color w:val="auto"/>
                      <w:sz w:val="21"/>
                      <w:szCs w:val="21"/>
                      <w:highlight w:val="none"/>
                      <w:lang w:val="en-US" w:eastAsia="zh-CN"/>
                    </w:rPr>
                    <w:t>30</w:t>
                  </w:r>
                  <w:r>
                    <w:rPr>
                      <w:rFonts w:hint="eastAsia" w:ascii="Times New Roman" w:hAnsi="Times New Roman" w:cs="宋体"/>
                      <w:bCs/>
                      <w:color w:val="auto"/>
                      <w:sz w:val="21"/>
                      <w:szCs w:val="21"/>
                      <w:highlight w:val="none"/>
                      <w:lang w:val="en-US" w:eastAsia="zh-CN"/>
                    </w:rPr>
                    <w:t>目</w:t>
                  </w:r>
                </w:p>
              </w:tc>
              <w:tc>
                <w:tcPr>
                  <w:tcW w:w="1078" w:type="pct"/>
                  <w:noWrap w:val="0"/>
                  <w:vAlign w:val="center"/>
                </w:tcPr>
                <w:p w14:paraId="699062D7">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宋体"/>
                      <w:bCs/>
                      <w:color w:val="auto"/>
                      <w:sz w:val="21"/>
                      <w:szCs w:val="21"/>
                      <w:highlight w:val="none"/>
                      <w:lang w:val="en-US" w:eastAsia="zh-CN"/>
                    </w:rPr>
                  </w:pPr>
                  <w:r>
                    <w:rPr>
                      <w:rFonts w:hint="eastAsia" w:ascii="Times New Roman" w:hAnsi="Times New Roman" w:eastAsia="宋体" w:cs="宋体"/>
                      <w:color w:val="auto"/>
                      <w:sz w:val="21"/>
                      <w:szCs w:val="21"/>
                      <w:highlight w:val="none"/>
                    </w:rPr>
                    <w:t>表面光洁、圆整、玻璃透明无杂质</w:t>
                  </w:r>
                </w:p>
              </w:tc>
            </w:tr>
          </w:tbl>
          <w:p w14:paraId="027616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lang w:eastAsia="zh-CN"/>
              </w:rPr>
            </w:pPr>
            <w:r>
              <w:rPr>
                <w:rFonts w:hint="eastAsia"/>
                <w:color w:val="auto"/>
                <w:sz w:val="24"/>
                <w:szCs w:val="24"/>
                <w:highlight w:val="none"/>
              </w:rPr>
              <w:t>本项目产品用于城市交通道路的斑马线、禁停线、双黄线的夜间反光和交通标志牌的夜间反光装置中</w:t>
            </w:r>
            <w:r>
              <w:rPr>
                <w:rFonts w:hint="eastAsia" w:ascii="Times New Roman" w:hAnsi="Times New Roman" w:cs="Times New Roman"/>
                <w:color w:val="auto"/>
                <w:sz w:val="24"/>
                <w:szCs w:val="24"/>
                <w:highlight w:val="none"/>
                <w:lang w:eastAsia="zh-CN"/>
              </w:rPr>
              <w:t>。</w:t>
            </w:r>
            <w:r>
              <w:rPr>
                <w:rFonts w:hint="default" w:ascii="宋体" w:hAnsi="宋体" w:eastAsia="宋体" w:cs="宋体"/>
                <w:color w:val="auto"/>
                <w:sz w:val="24"/>
                <w:szCs w:val="24"/>
              </w:rPr>
              <w:t>质量满足《路面标线用玻璃珠》（GB/T 24722-2020）内高折射率玻璃 珠的产品要求</w:t>
            </w:r>
            <w:r>
              <w:rPr>
                <w:rFonts w:hint="eastAsia" w:ascii="宋体" w:hAnsi="宋体" w:eastAsia="宋体" w:cs="宋体"/>
                <w:color w:val="auto"/>
                <w:sz w:val="24"/>
                <w:szCs w:val="24"/>
                <w:lang w:eastAsia="zh-CN"/>
              </w:rPr>
              <w:t>。</w:t>
            </w:r>
          </w:p>
          <w:p w14:paraId="6F412BA9">
            <w:pPr>
              <w:pStyle w:val="16"/>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表2-3  产品指标一览表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225"/>
              <w:gridCol w:w="1337"/>
              <w:gridCol w:w="1363"/>
              <w:gridCol w:w="953"/>
              <w:gridCol w:w="1393"/>
            </w:tblGrid>
            <w:tr w14:paraId="6BD2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1190EC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产品名称</w:t>
                  </w:r>
                </w:p>
              </w:tc>
              <w:tc>
                <w:tcPr>
                  <w:tcW w:w="2225" w:type="dxa"/>
                  <w:vAlign w:val="center"/>
                </w:tcPr>
                <w:p w14:paraId="74636D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外观要求</w:t>
                  </w:r>
                </w:p>
              </w:tc>
              <w:tc>
                <w:tcPr>
                  <w:tcW w:w="1337" w:type="dxa"/>
                  <w:vAlign w:val="center"/>
                </w:tcPr>
                <w:p w14:paraId="095B3E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缺陷玻璃珠百分数</w:t>
                  </w:r>
                </w:p>
              </w:tc>
              <w:tc>
                <w:tcPr>
                  <w:tcW w:w="1363" w:type="dxa"/>
                  <w:vAlign w:val="center"/>
                </w:tcPr>
                <w:p w14:paraId="4CF1E7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密度</w:t>
                  </w:r>
                </w:p>
              </w:tc>
              <w:tc>
                <w:tcPr>
                  <w:tcW w:w="953" w:type="dxa"/>
                  <w:vAlign w:val="center"/>
                </w:tcPr>
                <w:p w14:paraId="721435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折射率RI</w:t>
                  </w:r>
                </w:p>
              </w:tc>
              <w:tc>
                <w:tcPr>
                  <w:tcW w:w="1393" w:type="dxa"/>
                  <w:vAlign w:val="center"/>
                </w:tcPr>
                <w:p w14:paraId="383D44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重金属及磁性颗粒含量</w:t>
                  </w:r>
                </w:p>
              </w:tc>
            </w:tr>
            <w:tr w14:paraId="715D5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Merge w:val="restart"/>
                  <w:vAlign w:val="center"/>
                </w:tcPr>
                <w:p w14:paraId="7E06A5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高折射率玻璃珠</w:t>
                  </w:r>
                </w:p>
              </w:tc>
              <w:tc>
                <w:tcPr>
                  <w:tcW w:w="2225" w:type="dxa"/>
                  <w:vAlign w:val="center"/>
                </w:tcPr>
                <w:p w14:paraId="7ED8DA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无色、白色或淡黄色，表面清洁无明显杂物</w:t>
                  </w:r>
                </w:p>
              </w:tc>
              <w:tc>
                <w:tcPr>
                  <w:tcW w:w="1337" w:type="dxa"/>
                  <w:vMerge w:val="restart"/>
                  <w:vAlign w:val="center"/>
                </w:tcPr>
                <w:p w14:paraId="028677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≤20%</w:t>
                  </w:r>
                </w:p>
              </w:tc>
              <w:tc>
                <w:tcPr>
                  <w:tcW w:w="1363" w:type="dxa"/>
                  <w:vMerge w:val="restart"/>
                  <w:vAlign w:val="center"/>
                </w:tcPr>
                <w:p w14:paraId="51C47E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2.4~46g/cm</w:t>
                  </w:r>
                  <w:r>
                    <w:rPr>
                      <w:rFonts w:hint="default" w:ascii="Times New Roman" w:hAnsi="Times New Roman" w:eastAsia="宋体" w:cs="Times New Roman"/>
                      <w:color w:val="auto"/>
                      <w:sz w:val="21"/>
                      <w:szCs w:val="21"/>
                      <w:vertAlign w:val="superscript"/>
                      <w:lang w:val="en-US" w:eastAsia="zh-CN"/>
                    </w:rPr>
                    <w:t>3</w:t>
                  </w:r>
                </w:p>
              </w:tc>
              <w:tc>
                <w:tcPr>
                  <w:tcW w:w="953" w:type="dxa"/>
                  <w:vMerge w:val="restart"/>
                  <w:vAlign w:val="center"/>
                </w:tcPr>
                <w:p w14:paraId="7E2809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≥1.9</w:t>
                  </w:r>
                </w:p>
              </w:tc>
              <w:tc>
                <w:tcPr>
                  <w:tcW w:w="1393" w:type="dxa"/>
                  <w:vMerge w:val="restart"/>
                  <w:vAlign w:val="center"/>
                </w:tcPr>
                <w:p w14:paraId="552A45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rPr>
                    <w:t>磁性颗粒≤0.1%、铅≤200mg/kg、砷≤ 200mg/kg、锑≤200mg/k</w:t>
                  </w:r>
                </w:p>
              </w:tc>
            </w:tr>
            <w:tr w14:paraId="5AB8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Merge w:val="continue"/>
                  <w:vAlign w:val="center"/>
                </w:tcPr>
                <w:p w14:paraId="6E4B9E6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p>
              </w:tc>
              <w:tc>
                <w:tcPr>
                  <w:tcW w:w="2225" w:type="dxa"/>
                  <w:vAlign w:val="center"/>
                </w:tcPr>
                <w:p w14:paraId="4C2B16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在显微镜或投影仪下，非集合体形状玻璃珠应为透明的球体，逛街圆整，玻璃珠内无明显气泡或杂质</w:t>
                  </w:r>
                </w:p>
              </w:tc>
              <w:tc>
                <w:tcPr>
                  <w:tcW w:w="1337" w:type="dxa"/>
                  <w:vMerge w:val="continue"/>
                  <w:vAlign w:val="center"/>
                </w:tcPr>
                <w:p w14:paraId="7918D7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p>
              </w:tc>
              <w:tc>
                <w:tcPr>
                  <w:tcW w:w="1363" w:type="dxa"/>
                  <w:vMerge w:val="continue"/>
                  <w:vAlign w:val="center"/>
                </w:tcPr>
                <w:p w14:paraId="3BBAA9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p>
              </w:tc>
              <w:tc>
                <w:tcPr>
                  <w:tcW w:w="953" w:type="dxa"/>
                  <w:vMerge w:val="continue"/>
                  <w:vAlign w:val="center"/>
                </w:tcPr>
                <w:p w14:paraId="1E3698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p>
              </w:tc>
              <w:tc>
                <w:tcPr>
                  <w:tcW w:w="1393" w:type="dxa"/>
                  <w:vMerge w:val="continue"/>
                  <w:vAlign w:val="center"/>
                </w:tcPr>
                <w:p w14:paraId="525540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vertAlign w:val="baseline"/>
                      <w:lang w:val="en-US" w:eastAsia="zh-CN"/>
                    </w:rPr>
                  </w:pPr>
                </w:p>
              </w:tc>
            </w:tr>
          </w:tbl>
          <w:p w14:paraId="30BA2E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4</w:t>
            </w:r>
            <w:r>
              <w:rPr>
                <w:rFonts w:hint="eastAsia" w:ascii="Times New Roman" w:hAnsi="Times New Roman" w:cs="Times New Roman"/>
                <w:b/>
                <w:bCs/>
                <w:color w:val="auto"/>
                <w:sz w:val="24"/>
                <w:szCs w:val="24"/>
                <w:highlight w:val="none"/>
              </w:rPr>
              <w:t>主要生产设施及参数</w:t>
            </w:r>
          </w:p>
          <w:p w14:paraId="1A37C6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主要生产设施及设施参数见表</w:t>
            </w:r>
            <w:r>
              <w:rPr>
                <w:rFonts w:hint="eastAsia" w:ascii="Times New Roman" w:hAnsi="Times New Roman" w:cs="Times New Roman"/>
                <w:color w:val="auto"/>
                <w:sz w:val="24"/>
                <w:szCs w:val="24"/>
                <w:highlight w:val="none"/>
                <w:lang w:val="en-US" w:eastAsia="zh-CN"/>
              </w:rPr>
              <w:t>2-</w:t>
            </w:r>
            <w:r>
              <w:rPr>
                <w:rFonts w:hint="eastAsia" w:cs="Times New Roman"/>
                <w:color w:val="auto"/>
                <w:sz w:val="24"/>
                <w:szCs w:val="24"/>
                <w:highlight w:val="none"/>
                <w:lang w:val="en-US" w:eastAsia="zh-CN"/>
              </w:rPr>
              <w:t>4</w:t>
            </w:r>
            <w:r>
              <w:rPr>
                <w:rFonts w:hint="eastAsia" w:ascii="Times New Roman" w:hAnsi="Times New Roman" w:cs="Times New Roman"/>
                <w:color w:val="auto"/>
                <w:sz w:val="24"/>
                <w:szCs w:val="24"/>
                <w:highlight w:val="none"/>
              </w:rPr>
              <w:t>。</w:t>
            </w:r>
          </w:p>
          <w:p w14:paraId="040A3A5D">
            <w:pPr>
              <w:keepNext w:val="0"/>
              <w:keepLines w:val="0"/>
              <w:suppressLineNumbers w:val="0"/>
              <w:adjustRightInd w:val="0"/>
              <w:snapToGrid w:val="0"/>
              <w:spacing w:before="0" w:beforeAutospacing="0" w:after="0" w:afterAutospacing="0"/>
              <w:ind w:left="0" w:right="0" w:firstLine="482" w:firstLineChars="200"/>
              <w:jc w:val="center"/>
              <w:rPr>
                <w:rFonts w:hint="default" w:ascii="宋体" w:hAnsi="宋体" w:cs="宋体"/>
                <w:b/>
                <w:color w:val="auto"/>
                <w:sz w:val="24"/>
                <w:szCs w:val="24"/>
                <w:highlight w:val="none"/>
              </w:rPr>
            </w:pPr>
            <w:r>
              <w:rPr>
                <w:rFonts w:hint="eastAsia" w:ascii="宋体" w:hAnsi="宋体" w:cs="宋体"/>
                <w:b/>
                <w:color w:val="auto"/>
                <w:sz w:val="24"/>
                <w:szCs w:val="24"/>
                <w:highlight w:val="none"/>
              </w:rPr>
              <w:t>表</w:t>
            </w:r>
            <w:r>
              <w:rPr>
                <w:rFonts w:hint="eastAsia" w:ascii="Times New Roman" w:hAnsi="Times New Roman" w:cs="宋体"/>
                <w:b/>
                <w:color w:val="auto"/>
                <w:sz w:val="24"/>
                <w:szCs w:val="24"/>
                <w:highlight w:val="none"/>
                <w:lang w:val="en-US" w:eastAsia="zh-CN"/>
              </w:rPr>
              <w:t>2-</w:t>
            </w:r>
            <w:r>
              <w:rPr>
                <w:rFonts w:hint="eastAsia" w:cs="宋体"/>
                <w:b/>
                <w:color w:val="auto"/>
                <w:sz w:val="24"/>
                <w:szCs w:val="24"/>
                <w:highlight w:val="none"/>
                <w:lang w:val="en-US" w:eastAsia="zh-CN"/>
              </w:rPr>
              <w:t>4</w:t>
            </w:r>
            <w:r>
              <w:rPr>
                <w:rFonts w:hint="eastAsia" w:ascii="宋体" w:hAnsi="宋体" w:cs="宋体"/>
                <w:b/>
                <w:color w:val="auto"/>
                <w:sz w:val="24"/>
                <w:szCs w:val="24"/>
                <w:highlight w:val="none"/>
              </w:rPr>
              <w:t>主要生产设施及设施参数一览表</w:t>
            </w:r>
          </w:p>
          <w:tbl>
            <w:tblPr>
              <w:tblStyle w:val="23"/>
              <w:tblW w:w="793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79" w:type="dxa"/>
              </w:tblCellMar>
            </w:tblPr>
            <w:tblGrid>
              <w:gridCol w:w="410"/>
              <w:gridCol w:w="1209"/>
              <w:gridCol w:w="4536"/>
              <w:gridCol w:w="889"/>
              <w:gridCol w:w="889"/>
            </w:tblGrid>
            <w:tr w14:paraId="2A33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79" w:type="dxa"/>
                </w:tblCellMar>
              </w:tblPrEx>
              <w:trPr>
                <w:trHeight w:val="510" w:hRule="atLeast"/>
              </w:trPr>
              <w:tc>
                <w:tcPr>
                  <w:tcW w:w="410" w:type="dxa"/>
                  <w:noWrap w:val="0"/>
                  <w:vAlign w:val="center"/>
                </w:tcPr>
                <w:p w14:paraId="6BF5466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序号</w:t>
                  </w:r>
                </w:p>
              </w:tc>
              <w:tc>
                <w:tcPr>
                  <w:tcW w:w="1209" w:type="dxa"/>
                  <w:noWrap w:val="0"/>
                  <w:vAlign w:val="center"/>
                </w:tcPr>
                <w:p w14:paraId="10DD6C4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设备名称</w:t>
                  </w:r>
                </w:p>
              </w:tc>
              <w:tc>
                <w:tcPr>
                  <w:tcW w:w="4536" w:type="dxa"/>
                  <w:noWrap w:val="0"/>
                  <w:vAlign w:val="center"/>
                </w:tcPr>
                <w:p w14:paraId="47F5428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规格型号、参数</w:t>
                  </w:r>
                </w:p>
              </w:tc>
              <w:tc>
                <w:tcPr>
                  <w:tcW w:w="889" w:type="dxa"/>
                  <w:noWrap w:val="0"/>
                  <w:vAlign w:val="center"/>
                </w:tcPr>
                <w:p w14:paraId="78250D1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数量</w:t>
                  </w:r>
                </w:p>
                <w:p w14:paraId="362AD7E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（台/套）</w:t>
                  </w:r>
                </w:p>
              </w:tc>
              <w:tc>
                <w:tcPr>
                  <w:tcW w:w="889" w:type="dxa"/>
                  <w:noWrap w:val="0"/>
                  <w:vAlign w:val="center"/>
                </w:tcPr>
                <w:p w14:paraId="17688F4A">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备注</w:t>
                  </w:r>
                </w:p>
              </w:tc>
            </w:tr>
            <w:tr w14:paraId="05E4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79" w:type="dxa"/>
                </w:tblCellMar>
              </w:tblPrEx>
              <w:trPr>
                <w:trHeight w:val="90" w:hRule="atLeast"/>
              </w:trPr>
              <w:tc>
                <w:tcPr>
                  <w:tcW w:w="410" w:type="dxa"/>
                  <w:noWrap w:val="0"/>
                  <w:vAlign w:val="center"/>
                </w:tcPr>
                <w:p w14:paraId="1253419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一</w:t>
                  </w:r>
                </w:p>
              </w:tc>
              <w:tc>
                <w:tcPr>
                  <w:tcW w:w="6634" w:type="dxa"/>
                  <w:gridSpan w:val="3"/>
                  <w:noWrap w:val="0"/>
                  <w:vAlign w:val="center"/>
                </w:tcPr>
                <w:p w14:paraId="70E1864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lang w:val="en-US" w:eastAsia="zh-CN"/>
                    </w:rPr>
                    <w:t>主要生产</w:t>
                  </w:r>
                  <w:r>
                    <w:rPr>
                      <w:rFonts w:hint="default" w:ascii="Times New Roman" w:hAnsi="Times New Roman" w:cs="Times New Roman"/>
                      <w:bCs/>
                      <w:color w:val="auto"/>
                      <w:sz w:val="21"/>
                      <w:szCs w:val="21"/>
                      <w:highlight w:val="none"/>
                    </w:rPr>
                    <w:t>设备</w:t>
                  </w:r>
                </w:p>
              </w:tc>
              <w:tc>
                <w:tcPr>
                  <w:tcW w:w="889" w:type="dxa"/>
                  <w:noWrap w:val="0"/>
                  <w:vAlign w:val="center"/>
                </w:tcPr>
                <w:p w14:paraId="05046AD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lang w:val="en-US" w:eastAsia="zh-CN"/>
                    </w:rPr>
                  </w:pPr>
                </w:p>
              </w:tc>
            </w:tr>
            <w:tr w14:paraId="4021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79" w:type="dxa"/>
                </w:tblCellMar>
              </w:tblPrEx>
              <w:trPr>
                <w:trHeight w:val="90" w:hRule="atLeast"/>
              </w:trPr>
              <w:tc>
                <w:tcPr>
                  <w:tcW w:w="410" w:type="dxa"/>
                  <w:noWrap w:val="0"/>
                  <w:vAlign w:val="center"/>
                </w:tcPr>
                <w:p w14:paraId="41040FF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1</w:t>
                  </w:r>
                </w:p>
              </w:tc>
              <w:tc>
                <w:tcPr>
                  <w:tcW w:w="1209" w:type="dxa"/>
                  <w:noWrap w:val="0"/>
                  <w:vAlign w:val="center"/>
                </w:tcPr>
                <w:p w14:paraId="6A68BF1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振动筛</w:t>
                  </w:r>
                </w:p>
              </w:tc>
              <w:tc>
                <w:tcPr>
                  <w:tcW w:w="4536" w:type="dxa"/>
                  <w:noWrap w:val="0"/>
                  <w:vAlign w:val="center"/>
                </w:tcPr>
                <w:p w14:paraId="048C379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型号：YK1230，</w:t>
                  </w:r>
                  <w:r>
                    <w:rPr>
                      <w:rFonts w:hint="default" w:ascii="Times New Roman" w:hAnsi="Times New Roman" w:eastAsia="宋体" w:cs="Times New Roman"/>
                      <w:bCs/>
                      <w:color w:val="auto"/>
                      <w:sz w:val="21"/>
                      <w:szCs w:val="21"/>
                      <w:highlight w:val="none"/>
                      <w:lang w:val="en-US" w:eastAsia="zh-CN"/>
                    </w:rPr>
                    <w:t>筛网面积</w:t>
                  </w:r>
                  <w:r>
                    <w:rPr>
                      <w:rFonts w:hint="eastAsia" w:ascii="Times New Roman" w:hAnsi="Times New Roman" w:eastAsia="宋体" w:cs="Times New Roman"/>
                      <w:bCs/>
                      <w:color w:val="auto"/>
                      <w:sz w:val="21"/>
                      <w:szCs w:val="21"/>
                      <w:highlight w:val="none"/>
                      <w:lang w:val="en-US" w:eastAsia="zh-CN"/>
                    </w:rPr>
                    <w:t>3.6</w:t>
                  </w:r>
                  <w:r>
                    <w:rPr>
                      <w:rFonts w:hint="default" w:ascii="Times New Roman" w:hAnsi="Times New Roman" w:eastAsia="宋体" w:cs="Times New Roman"/>
                      <w:bCs/>
                      <w:color w:val="auto"/>
                      <w:sz w:val="21"/>
                      <w:szCs w:val="21"/>
                      <w:highlight w:val="none"/>
                      <w:lang w:val="en-US" w:eastAsia="zh-CN"/>
                    </w:rPr>
                    <w:t>m</w:t>
                  </w:r>
                  <w:r>
                    <w:rPr>
                      <w:rFonts w:hint="default" w:ascii="Times New Roman" w:hAnsi="Times New Roman" w:eastAsia="宋体" w:cs="Times New Roman"/>
                      <w:bCs/>
                      <w:color w:val="auto"/>
                      <w:sz w:val="21"/>
                      <w:szCs w:val="21"/>
                      <w:highlight w:val="none"/>
                      <w:vertAlign w:val="superscript"/>
                      <w:lang w:val="en-US" w:eastAsia="zh-CN"/>
                    </w:rPr>
                    <w:t>2</w:t>
                  </w:r>
                  <w:r>
                    <w:rPr>
                      <w:rFonts w:hint="default" w:ascii="Times New Roman" w:hAnsi="Times New Roman" w:eastAsia="宋体" w:cs="Times New Roman"/>
                      <w:bCs/>
                      <w:color w:val="auto"/>
                      <w:sz w:val="21"/>
                      <w:szCs w:val="21"/>
                      <w:highlight w:val="none"/>
                      <w:lang w:val="en-US" w:eastAsia="zh-CN"/>
                    </w:rPr>
                    <w:t>，</w:t>
                  </w:r>
                  <w:r>
                    <w:rPr>
                      <w:rFonts w:hint="eastAsia" w:ascii="Times New Roman" w:hAnsi="Times New Roman" w:eastAsia="宋体" w:cs="Times New Roman"/>
                      <w:bCs/>
                      <w:color w:val="auto"/>
                      <w:sz w:val="21"/>
                      <w:szCs w:val="21"/>
                      <w:highlight w:val="none"/>
                      <w:lang w:val="en-US" w:eastAsia="zh-CN"/>
                    </w:rPr>
                    <w:t>一层筛</w:t>
                  </w:r>
                </w:p>
              </w:tc>
              <w:tc>
                <w:tcPr>
                  <w:tcW w:w="889" w:type="dxa"/>
                  <w:noWrap w:val="0"/>
                  <w:vAlign w:val="center"/>
                </w:tcPr>
                <w:p w14:paraId="4D4B447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3</w:t>
                  </w:r>
                </w:p>
              </w:tc>
              <w:tc>
                <w:tcPr>
                  <w:tcW w:w="889" w:type="dxa"/>
                  <w:noWrap w:val="0"/>
                  <w:vAlign w:val="center"/>
                </w:tcPr>
                <w:p w14:paraId="772DB95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p>
              </w:tc>
            </w:tr>
            <w:tr w14:paraId="7B6F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79" w:type="dxa"/>
                </w:tblCellMar>
              </w:tblPrEx>
              <w:trPr>
                <w:trHeight w:val="125" w:hRule="atLeast"/>
              </w:trPr>
              <w:tc>
                <w:tcPr>
                  <w:tcW w:w="410" w:type="dxa"/>
                  <w:noWrap w:val="0"/>
                  <w:vAlign w:val="center"/>
                </w:tcPr>
                <w:p w14:paraId="6D1472B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2</w:t>
                  </w:r>
                </w:p>
              </w:tc>
              <w:tc>
                <w:tcPr>
                  <w:tcW w:w="1209" w:type="dxa"/>
                  <w:noWrap w:val="0"/>
                  <w:vAlign w:val="center"/>
                </w:tcPr>
                <w:p w14:paraId="4A7D360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lang w:val="en-US" w:eastAsia="zh-CN"/>
                    </w:rPr>
                  </w:pPr>
                  <w:r>
                    <w:rPr>
                      <w:rFonts w:hint="eastAsia" w:ascii="Times New Roman" w:hAnsi="Times New Roman" w:eastAsia="宋体" w:cs="Times New Roman"/>
                      <w:bCs/>
                      <w:color w:val="auto"/>
                      <w:kern w:val="2"/>
                      <w:sz w:val="21"/>
                      <w:szCs w:val="21"/>
                      <w:highlight w:val="none"/>
                      <w:lang w:eastAsia="zh-CN"/>
                    </w:rPr>
                    <w:t>玻璃微珠烧制炉</w:t>
                  </w:r>
                </w:p>
              </w:tc>
              <w:tc>
                <w:tcPr>
                  <w:tcW w:w="4536" w:type="dxa"/>
                  <w:noWrap w:val="0"/>
                  <w:vAlign w:val="center"/>
                </w:tcPr>
                <w:p w14:paraId="540024A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炉胆内径2.5m，高度9.4m</w:t>
                  </w:r>
                  <w:r>
                    <w:rPr>
                      <w:rFonts w:hint="eastAsia" w:ascii="Times New Roman" w:hAnsi="Times New Roman" w:cs="Times New Roman"/>
                      <w:bCs/>
                      <w:color w:val="auto"/>
                      <w:sz w:val="21"/>
                      <w:szCs w:val="21"/>
                      <w:highlight w:val="none"/>
                      <w:lang w:val="en-US" w:eastAsia="zh-CN"/>
                    </w:rPr>
                    <w:t>，生产能力为3.5t/h</w:t>
                  </w:r>
                </w:p>
              </w:tc>
              <w:tc>
                <w:tcPr>
                  <w:tcW w:w="889" w:type="dxa"/>
                  <w:noWrap w:val="0"/>
                  <w:vAlign w:val="center"/>
                </w:tcPr>
                <w:p w14:paraId="570A0B3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w:t>
                  </w:r>
                </w:p>
              </w:tc>
              <w:tc>
                <w:tcPr>
                  <w:tcW w:w="889" w:type="dxa"/>
                  <w:noWrap w:val="0"/>
                  <w:vAlign w:val="center"/>
                </w:tcPr>
                <w:p w14:paraId="230C7F9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p>
              </w:tc>
            </w:tr>
            <w:tr w14:paraId="16F7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79" w:type="dxa"/>
                </w:tblCellMar>
              </w:tblPrEx>
              <w:trPr>
                <w:trHeight w:val="125" w:hRule="atLeast"/>
              </w:trPr>
              <w:tc>
                <w:tcPr>
                  <w:tcW w:w="410" w:type="dxa"/>
                  <w:noWrap w:val="0"/>
                  <w:vAlign w:val="center"/>
                </w:tcPr>
                <w:p w14:paraId="53762D9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3</w:t>
                  </w:r>
                </w:p>
              </w:tc>
              <w:tc>
                <w:tcPr>
                  <w:tcW w:w="1209" w:type="dxa"/>
                  <w:noWrap w:val="0"/>
                  <w:vAlign w:val="center"/>
                </w:tcPr>
                <w:p w14:paraId="5DB88FEA">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eastAsia="zh-CN"/>
                    </w:rPr>
                  </w:pPr>
                  <w:r>
                    <w:rPr>
                      <w:rFonts w:hint="eastAsia" w:ascii="Times New Roman" w:hAnsi="Times New Roman" w:eastAsia="宋体" w:cs="Times New Roman"/>
                      <w:bCs/>
                      <w:color w:val="auto"/>
                      <w:kern w:val="2"/>
                      <w:sz w:val="21"/>
                      <w:szCs w:val="21"/>
                      <w:highlight w:val="none"/>
                      <w:lang w:eastAsia="zh-CN"/>
                    </w:rPr>
                    <w:t>冷却绞龙</w:t>
                  </w:r>
                </w:p>
              </w:tc>
              <w:tc>
                <w:tcPr>
                  <w:tcW w:w="4536" w:type="dxa"/>
                  <w:noWrap w:val="0"/>
                  <w:vAlign w:val="center"/>
                </w:tcPr>
                <w:p w14:paraId="115AF2A3">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bCs/>
                      <w:color w:val="auto"/>
                      <w:sz w:val="21"/>
                      <w:szCs w:val="21"/>
                      <w:highlight w:val="none"/>
                      <w:lang w:val="en-US" w:eastAsia="zh-CN"/>
                    </w:rPr>
                  </w:pPr>
                  <w:r>
                    <w:rPr>
                      <w:rFonts w:hint="eastAsia" w:ascii="Times New Roman" w:hAnsi="Times New Roman" w:eastAsia="宋体" w:cs="Times New Roman"/>
                      <w:bCs/>
                      <w:color w:val="auto"/>
                      <w:kern w:val="2"/>
                      <w:sz w:val="21"/>
                      <w:szCs w:val="21"/>
                      <w:highlight w:val="none"/>
                      <w:lang w:val="en-US" w:eastAsia="zh-CN"/>
                    </w:rPr>
                    <w:t>J150 1.1 .2</w:t>
                  </w:r>
                </w:p>
              </w:tc>
              <w:tc>
                <w:tcPr>
                  <w:tcW w:w="889" w:type="dxa"/>
                  <w:noWrap w:val="0"/>
                  <w:vAlign w:val="center"/>
                </w:tcPr>
                <w:p w14:paraId="156D92B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w:t>
                  </w:r>
                </w:p>
              </w:tc>
              <w:tc>
                <w:tcPr>
                  <w:tcW w:w="889" w:type="dxa"/>
                  <w:noWrap w:val="0"/>
                  <w:vAlign w:val="center"/>
                </w:tcPr>
                <w:p w14:paraId="4D13AFD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p>
              </w:tc>
            </w:tr>
            <w:tr w14:paraId="28E3C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79" w:type="dxa"/>
                </w:tblCellMar>
              </w:tblPrEx>
              <w:trPr>
                <w:trHeight w:val="125" w:hRule="atLeast"/>
              </w:trPr>
              <w:tc>
                <w:tcPr>
                  <w:tcW w:w="410" w:type="dxa"/>
                  <w:noWrap w:val="0"/>
                  <w:vAlign w:val="center"/>
                </w:tcPr>
                <w:p w14:paraId="2524FCA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4</w:t>
                  </w:r>
                </w:p>
              </w:tc>
              <w:tc>
                <w:tcPr>
                  <w:tcW w:w="1209" w:type="dxa"/>
                  <w:noWrap w:val="0"/>
                  <w:vAlign w:val="center"/>
                </w:tcPr>
                <w:p w14:paraId="0EE1A17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叉车</w:t>
                  </w:r>
                </w:p>
              </w:tc>
              <w:tc>
                <w:tcPr>
                  <w:tcW w:w="4536" w:type="dxa"/>
                  <w:noWrap w:val="0"/>
                  <w:vAlign w:val="center"/>
                </w:tcPr>
                <w:p w14:paraId="7C9E803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c>
                <w:tcPr>
                  <w:tcW w:w="889" w:type="dxa"/>
                  <w:noWrap w:val="0"/>
                  <w:vAlign w:val="center"/>
                </w:tcPr>
                <w:p w14:paraId="5DA61EA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w:t>
                  </w:r>
                </w:p>
              </w:tc>
              <w:tc>
                <w:tcPr>
                  <w:tcW w:w="889" w:type="dxa"/>
                  <w:noWrap w:val="0"/>
                  <w:vAlign w:val="center"/>
                </w:tcPr>
                <w:p w14:paraId="0FDC745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p>
              </w:tc>
            </w:tr>
            <w:tr w14:paraId="4723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79" w:type="dxa"/>
                </w:tblCellMar>
              </w:tblPrEx>
              <w:trPr>
                <w:trHeight w:val="125" w:hRule="atLeast"/>
              </w:trPr>
              <w:tc>
                <w:tcPr>
                  <w:tcW w:w="410" w:type="dxa"/>
                  <w:noWrap w:val="0"/>
                  <w:vAlign w:val="center"/>
                </w:tcPr>
                <w:p w14:paraId="2FE51E7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5</w:t>
                  </w:r>
                </w:p>
              </w:tc>
              <w:tc>
                <w:tcPr>
                  <w:tcW w:w="1209" w:type="dxa"/>
                  <w:noWrap w:val="0"/>
                  <w:vAlign w:val="center"/>
                </w:tcPr>
                <w:p w14:paraId="3C90E9C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提升机</w:t>
                  </w:r>
                </w:p>
              </w:tc>
              <w:tc>
                <w:tcPr>
                  <w:tcW w:w="4536" w:type="dxa"/>
                  <w:noWrap w:val="0"/>
                  <w:vAlign w:val="center"/>
                </w:tcPr>
                <w:p w14:paraId="5650B9D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c>
                <w:tcPr>
                  <w:tcW w:w="889" w:type="dxa"/>
                  <w:noWrap w:val="0"/>
                  <w:vAlign w:val="center"/>
                </w:tcPr>
                <w:p w14:paraId="3F3FD6B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w:t>
                  </w:r>
                </w:p>
              </w:tc>
              <w:tc>
                <w:tcPr>
                  <w:tcW w:w="889" w:type="dxa"/>
                  <w:noWrap w:val="0"/>
                  <w:vAlign w:val="center"/>
                </w:tcPr>
                <w:p w14:paraId="5BB873D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p>
              </w:tc>
            </w:tr>
            <w:tr w14:paraId="4AC4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79" w:type="dxa"/>
                </w:tblCellMar>
              </w:tblPrEx>
              <w:trPr>
                <w:trHeight w:val="125" w:hRule="atLeast"/>
              </w:trPr>
              <w:tc>
                <w:tcPr>
                  <w:tcW w:w="410" w:type="dxa"/>
                  <w:noWrap w:val="0"/>
                  <w:vAlign w:val="center"/>
                </w:tcPr>
                <w:p w14:paraId="35247FB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6</w:t>
                  </w:r>
                </w:p>
              </w:tc>
              <w:tc>
                <w:tcPr>
                  <w:tcW w:w="1209" w:type="dxa"/>
                  <w:noWrap w:val="0"/>
                  <w:vAlign w:val="center"/>
                </w:tcPr>
                <w:p w14:paraId="1F11D48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分装机</w:t>
                  </w:r>
                </w:p>
              </w:tc>
              <w:tc>
                <w:tcPr>
                  <w:tcW w:w="4536" w:type="dxa"/>
                  <w:noWrap w:val="0"/>
                  <w:vAlign w:val="center"/>
                </w:tcPr>
                <w:p w14:paraId="2724B7B4">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bCs/>
                      <w:color w:val="auto"/>
                      <w:sz w:val="21"/>
                      <w:szCs w:val="21"/>
                      <w:highlight w:val="none"/>
                      <w:lang w:val="en-US" w:eastAsia="zh-CN"/>
                    </w:rPr>
                  </w:pPr>
                  <w:r>
                    <w:rPr>
                      <w:rFonts w:hint="eastAsia" w:ascii="Times New Roman" w:hAnsi="Times New Roman" w:eastAsia="宋体" w:cs="Times New Roman"/>
                      <w:bCs/>
                      <w:color w:val="auto"/>
                      <w:kern w:val="2"/>
                      <w:sz w:val="21"/>
                      <w:szCs w:val="21"/>
                      <w:highlight w:val="none"/>
                      <w:lang w:val="en-US" w:eastAsia="zh-CN"/>
                    </w:rPr>
                    <w:t>/</w:t>
                  </w:r>
                </w:p>
              </w:tc>
              <w:tc>
                <w:tcPr>
                  <w:tcW w:w="889" w:type="dxa"/>
                  <w:noWrap w:val="0"/>
                  <w:vAlign w:val="center"/>
                </w:tcPr>
                <w:p w14:paraId="6225513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w:t>
                  </w:r>
                </w:p>
              </w:tc>
              <w:tc>
                <w:tcPr>
                  <w:tcW w:w="889" w:type="dxa"/>
                  <w:noWrap w:val="0"/>
                  <w:vAlign w:val="center"/>
                </w:tcPr>
                <w:p w14:paraId="420FB4F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p>
              </w:tc>
            </w:tr>
          </w:tbl>
          <w:p w14:paraId="5F5255AE">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生产能力匹配性分析：</w:t>
            </w:r>
          </w:p>
          <w:p w14:paraId="1C7A9D5C">
            <w:pPr>
              <w:pStyle w:val="16"/>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lang w:eastAsia="zh-CN"/>
              </w:rPr>
            </w:pPr>
            <w:r>
              <w:rPr>
                <w:rFonts w:hint="eastAsia" w:ascii="Times New Roman" w:hAnsi="Times New Roman" w:eastAsia="宋体" w:cs="Times New Roman"/>
                <w:color w:val="auto"/>
                <w:sz w:val="24"/>
                <w:highlight w:val="none"/>
                <w:lang w:val="en-US" w:eastAsia="zh-CN"/>
              </w:rPr>
              <w:t>本项目玻璃微珠烧制炉生产能力为3.5t/h，本项目年运行时间为330d，每天8h，共设置3条生产线，则总的生产能力=3.5t/h×330d×8h×3=27720t/a，本项目设计生产能力为27000t/a，玻璃微珠烧制炉</w:t>
            </w:r>
            <w:r>
              <w:rPr>
                <w:rFonts w:hint="default" w:ascii="宋体" w:hAnsi="宋体" w:eastAsia="宋体" w:cs="宋体"/>
                <w:color w:val="auto"/>
                <w:sz w:val="24"/>
                <w:szCs w:val="24"/>
              </w:rPr>
              <w:t>设计生产能力可匹配本项目生产规模</w:t>
            </w:r>
            <w:r>
              <w:rPr>
                <w:rFonts w:hint="eastAsia" w:ascii="宋体" w:hAnsi="宋体" w:eastAsia="宋体" w:cs="宋体"/>
                <w:color w:val="auto"/>
                <w:sz w:val="24"/>
                <w:szCs w:val="24"/>
                <w:lang w:eastAsia="zh-CN"/>
              </w:rPr>
              <w:t>。</w:t>
            </w:r>
          </w:p>
          <w:p w14:paraId="0B3E9EBC">
            <w:pPr>
              <w:keepNext w:val="0"/>
              <w:keepLines w:val="0"/>
              <w:suppressLineNumbers w:val="0"/>
              <w:adjustRightInd w:val="0"/>
              <w:snapToGrid w:val="0"/>
              <w:spacing w:before="0" w:beforeAutospacing="0" w:after="0" w:afterAutospacing="0" w:line="360" w:lineRule="auto"/>
              <w:ind w:left="0" w:right="0"/>
              <w:rPr>
                <w:rFonts w:hint="default" w:ascii="宋体" w:hAnsi="宋体" w:eastAsia="宋体" w:cs="宋体"/>
                <w:b/>
                <w:color w:val="auto"/>
                <w:sz w:val="24"/>
                <w:highlight w:val="none"/>
                <w:lang w:val="en-US" w:eastAsia="zh-CN"/>
              </w:rPr>
            </w:pPr>
            <w:r>
              <w:rPr>
                <w:rFonts w:hint="eastAsia" w:ascii="Times New Roman" w:hAnsi="Times New Roman" w:cs="宋体"/>
                <w:b/>
                <w:color w:val="auto"/>
                <w:sz w:val="24"/>
                <w:highlight w:val="none"/>
                <w:lang w:val="en-US" w:eastAsia="zh-CN"/>
              </w:rPr>
              <w:t>2.</w:t>
            </w:r>
            <w:r>
              <w:rPr>
                <w:rFonts w:hint="eastAsia" w:cs="宋体"/>
                <w:b/>
                <w:color w:val="auto"/>
                <w:sz w:val="24"/>
                <w:highlight w:val="none"/>
                <w:lang w:val="en-US" w:eastAsia="zh-CN"/>
              </w:rPr>
              <w:t>5</w:t>
            </w:r>
            <w:r>
              <w:rPr>
                <w:rFonts w:hint="eastAsia" w:ascii="宋体" w:hAnsi="宋体" w:cs="宋体"/>
                <w:b/>
                <w:color w:val="auto"/>
                <w:sz w:val="24"/>
                <w:highlight w:val="none"/>
              </w:rPr>
              <w:t>主要原辅材料</w:t>
            </w:r>
          </w:p>
          <w:p w14:paraId="25DC829E">
            <w:pPr>
              <w:keepNext w:val="0"/>
              <w:keepLines w:val="0"/>
              <w:suppressLineNumbers w:val="0"/>
              <w:adjustRightInd w:val="0"/>
              <w:spacing w:before="0" w:beforeAutospacing="0" w:after="0" w:afterAutospacing="0" w:line="360" w:lineRule="auto"/>
              <w:ind w:left="0" w:right="0" w:firstLine="480" w:firstLineChars="200"/>
              <w:rPr>
                <w:rFonts w:hint="eastAsia" w:ascii="Times New Roman" w:hAnsi="Times New Roman" w:cs="Times New Roman"/>
                <w:color w:val="auto"/>
                <w:lang w:val="en-US" w:eastAsia="zh-CN"/>
              </w:rPr>
            </w:pPr>
            <w:r>
              <w:rPr>
                <w:rFonts w:hint="eastAsia" w:ascii="宋体" w:hAnsi="宋体" w:cs="宋体"/>
                <w:bCs/>
                <w:color w:val="auto"/>
                <w:sz w:val="24"/>
                <w:highlight w:val="none"/>
              </w:rPr>
              <w:t>本项目主要原辅材料</w:t>
            </w:r>
            <w:r>
              <w:rPr>
                <w:rFonts w:hint="eastAsia" w:ascii="宋体" w:hAnsi="宋体" w:cs="宋体"/>
                <w:bCs/>
                <w:color w:val="auto"/>
                <w:sz w:val="24"/>
                <w:highlight w:val="none"/>
                <w:lang w:val="en-US" w:eastAsia="zh-CN"/>
              </w:rPr>
              <w:t>及用量</w:t>
            </w:r>
            <w:r>
              <w:rPr>
                <w:rFonts w:hint="eastAsia" w:ascii="宋体" w:hAnsi="宋体" w:cs="宋体"/>
                <w:bCs/>
                <w:color w:val="auto"/>
                <w:sz w:val="24"/>
                <w:highlight w:val="none"/>
              </w:rPr>
              <w:t>见表</w:t>
            </w:r>
            <w:r>
              <w:rPr>
                <w:rFonts w:hint="eastAsia" w:ascii="Times New Roman" w:hAnsi="Times New Roman" w:cs="宋体"/>
                <w:bCs/>
                <w:color w:val="auto"/>
                <w:sz w:val="24"/>
                <w:highlight w:val="none"/>
                <w:lang w:val="en-US" w:eastAsia="zh-CN"/>
              </w:rPr>
              <w:t>2-</w:t>
            </w:r>
            <w:r>
              <w:rPr>
                <w:rFonts w:hint="eastAsia" w:cs="宋体"/>
                <w:bCs/>
                <w:color w:val="auto"/>
                <w:sz w:val="24"/>
                <w:highlight w:val="none"/>
                <w:lang w:val="en-US" w:eastAsia="zh-CN"/>
              </w:rPr>
              <w:t>5</w:t>
            </w:r>
            <w:r>
              <w:rPr>
                <w:rFonts w:hint="eastAsia" w:ascii="Times New Roman" w:hAnsi="Times New Roman" w:cs="宋体"/>
                <w:bCs/>
                <w:color w:val="auto"/>
                <w:sz w:val="24"/>
                <w:highlight w:val="none"/>
                <w:lang w:val="en-US" w:eastAsia="zh-CN"/>
              </w:rPr>
              <w:t>。</w:t>
            </w:r>
          </w:p>
          <w:p w14:paraId="691BF266">
            <w:pPr>
              <w:keepNext w:val="0"/>
              <w:keepLines w:val="0"/>
              <w:suppressLineNumbers w:val="0"/>
              <w:adjustRightInd w:val="0"/>
              <w:snapToGrid w:val="0"/>
              <w:spacing w:before="0" w:beforeAutospacing="0" w:after="0" w:afterAutospacing="0" w:line="360" w:lineRule="auto"/>
              <w:ind w:left="0" w:right="0" w:firstLine="482" w:firstLineChars="200"/>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表</w:t>
            </w:r>
            <w:r>
              <w:rPr>
                <w:rFonts w:hint="default" w:ascii="Times New Roman" w:hAnsi="Times New Roman" w:cs="Times New Roman"/>
                <w:b/>
                <w:color w:val="auto"/>
                <w:sz w:val="24"/>
                <w:szCs w:val="24"/>
                <w:highlight w:val="none"/>
                <w:lang w:val="en-US" w:eastAsia="zh-CN"/>
              </w:rPr>
              <w:t>2-</w:t>
            </w:r>
            <w:r>
              <w:rPr>
                <w:rFonts w:hint="eastAsia" w:cs="Times New Roman"/>
                <w:b/>
                <w:color w:val="auto"/>
                <w:sz w:val="24"/>
                <w:szCs w:val="24"/>
                <w:highlight w:val="none"/>
                <w:lang w:val="en-US" w:eastAsia="zh-CN"/>
              </w:rPr>
              <w:t>5</w:t>
            </w:r>
            <w:r>
              <w:rPr>
                <w:rFonts w:hint="default" w:ascii="Times New Roman" w:hAnsi="Times New Roman" w:cs="Times New Roman"/>
                <w:b/>
                <w:color w:val="auto"/>
                <w:sz w:val="24"/>
                <w:szCs w:val="24"/>
                <w:highlight w:val="none"/>
              </w:rPr>
              <w:t>主要原辅材料</w:t>
            </w:r>
            <w:r>
              <w:rPr>
                <w:rFonts w:hint="default" w:ascii="Times New Roman" w:hAnsi="Times New Roman" w:cs="Times New Roman"/>
                <w:b/>
                <w:color w:val="auto"/>
                <w:sz w:val="24"/>
                <w:szCs w:val="24"/>
                <w:highlight w:val="none"/>
                <w:lang w:val="en-US" w:eastAsia="zh-CN"/>
              </w:rPr>
              <w:t>统计</w:t>
            </w:r>
            <w:r>
              <w:rPr>
                <w:rFonts w:hint="default" w:ascii="Times New Roman" w:hAnsi="Times New Roman" w:cs="Times New Roman"/>
                <w:b/>
                <w:color w:val="auto"/>
                <w:sz w:val="24"/>
                <w:szCs w:val="24"/>
                <w:highlight w:val="none"/>
              </w:rPr>
              <w:t>表</w:t>
            </w:r>
          </w:p>
          <w:tbl>
            <w:tblPr>
              <w:tblStyle w:val="23"/>
              <w:tblW w:w="4998" w:type="pct"/>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1781"/>
              <w:gridCol w:w="2418"/>
              <w:gridCol w:w="2819"/>
            </w:tblGrid>
            <w:tr w14:paraId="471C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21" w:type="pct"/>
                  <w:noWrap w:val="0"/>
                  <w:vAlign w:val="center"/>
                </w:tcPr>
                <w:p w14:paraId="66EE2C1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序号</w:t>
                  </w:r>
                </w:p>
              </w:tc>
              <w:tc>
                <w:tcPr>
                  <w:tcW w:w="1111" w:type="pct"/>
                  <w:noWrap w:val="0"/>
                  <w:vAlign w:val="center"/>
                </w:tcPr>
                <w:p w14:paraId="194C74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105" w:leftChars="-50" w:right="-105" w:rightChars="-5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项目名称</w:t>
                  </w:r>
                </w:p>
              </w:tc>
              <w:tc>
                <w:tcPr>
                  <w:tcW w:w="1508" w:type="pct"/>
                  <w:noWrap w:val="0"/>
                  <w:vAlign w:val="center"/>
                </w:tcPr>
                <w:p w14:paraId="441214A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lang w:val="en-US" w:eastAsia="zh-CN"/>
                    </w:rPr>
                    <w:t>消耗</w:t>
                  </w:r>
                  <w:r>
                    <w:rPr>
                      <w:rFonts w:hint="default" w:ascii="Times New Roman" w:hAnsi="Times New Roman" w:eastAsia="宋体" w:cs="Times New Roman"/>
                      <w:b/>
                      <w:color w:val="auto"/>
                      <w:sz w:val="21"/>
                      <w:szCs w:val="21"/>
                      <w:highlight w:val="none"/>
                    </w:rPr>
                    <w:t>量</w:t>
                  </w:r>
                </w:p>
              </w:tc>
              <w:tc>
                <w:tcPr>
                  <w:tcW w:w="1758" w:type="pct"/>
                  <w:noWrap w:val="0"/>
                  <w:vAlign w:val="center"/>
                </w:tcPr>
                <w:p w14:paraId="2ECD9B09">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eastAsia" w:cs="Times New Roman"/>
                      <w:b/>
                      <w:color w:val="auto"/>
                      <w:sz w:val="21"/>
                      <w:szCs w:val="21"/>
                      <w:highlight w:val="none"/>
                      <w:lang w:val="en-US" w:eastAsia="zh-CN"/>
                    </w:rPr>
                    <w:t>备注</w:t>
                  </w:r>
                </w:p>
              </w:tc>
            </w:tr>
            <w:tr w14:paraId="2D0F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621" w:type="pct"/>
                  <w:noWrap w:val="0"/>
                  <w:vAlign w:val="center"/>
                </w:tcPr>
                <w:p w14:paraId="64D06F7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w:t>
                  </w:r>
                </w:p>
              </w:tc>
              <w:tc>
                <w:tcPr>
                  <w:tcW w:w="1111" w:type="pct"/>
                  <w:noWrap w:val="0"/>
                  <w:vAlign w:val="center"/>
                </w:tcPr>
                <w:p w14:paraId="239641D5">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玻璃砂</w:t>
                  </w:r>
                </w:p>
              </w:tc>
              <w:tc>
                <w:tcPr>
                  <w:tcW w:w="1508" w:type="pct"/>
                  <w:noWrap w:val="0"/>
                  <w:vAlign w:val="center"/>
                </w:tcPr>
                <w:p w14:paraId="11B5DEB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27000</w:t>
                  </w:r>
                  <w:r>
                    <w:rPr>
                      <w:rFonts w:hint="eastAsia" w:ascii="Times New Roman" w:hAnsi="Times New Roman" w:eastAsia="宋体" w:cs="Times New Roman"/>
                      <w:bCs/>
                      <w:color w:val="auto"/>
                      <w:sz w:val="21"/>
                      <w:szCs w:val="21"/>
                      <w:highlight w:val="none"/>
                      <w:lang w:val="en-US" w:eastAsia="zh-CN"/>
                    </w:rPr>
                    <w:t>t/a</w:t>
                  </w:r>
                </w:p>
              </w:tc>
              <w:tc>
                <w:tcPr>
                  <w:tcW w:w="1758" w:type="pct"/>
                  <w:noWrap w:val="0"/>
                  <w:vAlign w:val="center"/>
                </w:tcPr>
                <w:p w14:paraId="5F2C5B7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yellow"/>
                      <w:lang w:val="en-US" w:eastAsia="zh-CN"/>
                    </w:rPr>
                  </w:pPr>
                  <w:r>
                    <w:rPr>
                      <w:rFonts w:hint="eastAsia" w:cs="Times New Roman"/>
                      <w:bCs/>
                      <w:color w:val="auto"/>
                      <w:sz w:val="21"/>
                      <w:szCs w:val="21"/>
                      <w:highlight w:val="none"/>
                      <w:lang w:val="en-US" w:eastAsia="zh-CN"/>
                    </w:rPr>
                    <w:t>吨袋包装</w:t>
                  </w:r>
                </w:p>
              </w:tc>
            </w:tr>
            <w:tr w14:paraId="756F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1" w:type="pct"/>
                  <w:noWrap w:val="0"/>
                  <w:vAlign w:val="center"/>
                </w:tcPr>
                <w:p w14:paraId="13A0033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w:t>
                  </w:r>
                </w:p>
              </w:tc>
              <w:tc>
                <w:tcPr>
                  <w:tcW w:w="1111" w:type="pct"/>
                  <w:noWrap w:val="0"/>
                  <w:vAlign w:val="center"/>
                </w:tcPr>
                <w:p w14:paraId="1BED20E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低浓度瓦斯</w:t>
                  </w:r>
                </w:p>
              </w:tc>
              <w:tc>
                <w:tcPr>
                  <w:tcW w:w="1508" w:type="pct"/>
                  <w:noWrap w:val="0"/>
                  <w:vAlign w:val="center"/>
                </w:tcPr>
                <w:p w14:paraId="7407422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rPr>
                  </w:pPr>
                  <w:r>
                    <w:rPr>
                      <w:rFonts w:hint="eastAsia" w:ascii="Times New Roman" w:hAnsi="Times New Roman" w:eastAsia="宋体" w:cs="Times New Roman"/>
                      <w:bCs/>
                      <w:color w:val="auto"/>
                      <w:sz w:val="21"/>
                      <w:szCs w:val="21"/>
                      <w:highlight w:val="none"/>
                      <w:lang w:val="en-US" w:eastAsia="zh-CN"/>
                    </w:rPr>
                    <w:t>1900.8万m</w:t>
                  </w:r>
                  <w:r>
                    <w:rPr>
                      <w:rFonts w:hint="eastAsia" w:ascii="Times New Roman" w:hAnsi="Times New Roman" w:eastAsia="宋体" w:cs="Times New Roman"/>
                      <w:bCs/>
                      <w:color w:val="auto"/>
                      <w:sz w:val="21"/>
                      <w:szCs w:val="21"/>
                      <w:highlight w:val="none"/>
                      <w:vertAlign w:val="superscript"/>
                      <w:lang w:val="en-US" w:eastAsia="zh-CN"/>
                    </w:rPr>
                    <w:t>3</w:t>
                  </w:r>
                  <w:r>
                    <w:rPr>
                      <w:rFonts w:hint="default" w:ascii="Times New Roman" w:hAnsi="Times New Roman" w:eastAsia="宋体" w:cs="Times New Roman"/>
                      <w:bCs/>
                      <w:color w:val="auto"/>
                      <w:sz w:val="21"/>
                      <w:szCs w:val="21"/>
                      <w:highlight w:val="none"/>
                      <w:lang w:val="en-US" w:eastAsia="zh-CN"/>
                    </w:rPr>
                    <w:t>/年</w:t>
                  </w:r>
                </w:p>
              </w:tc>
              <w:tc>
                <w:tcPr>
                  <w:tcW w:w="1758" w:type="pct"/>
                  <w:noWrap w:val="0"/>
                  <w:vAlign w:val="center"/>
                </w:tcPr>
                <w:p w14:paraId="31F7E84C">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管道</w:t>
                  </w:r>
                </w:p>
              </w:tc>
            </w:tr>
            <w:tr w14:paraId="0622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21" w:type="pct"/>
                  <w:noWrap w:val="0"/>
                  <w:vAlign w:val="center"/>
                </w:tcPr>
                <w:p w14:paraId="0CEB670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w:t>
                  </w:r>
                </w:p>
              </w:tc>
              <w:tc>
                <w:tcPr>
                  <w:tcW w:w="1111" w:type="pct"/>
                  <w:noWrap w:val="0"/>
                  <w:vAlign w:val="center"/>
                </w:tcPr>
                <w:p w14:paraId="7FFB22C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润滑油</w:t>
                  </w:r>
                </w:p>
              </w:tc>
              <w:tc>
                <w:tcPr>
                  <w:tcW w:w="1508" w:type="pct"/>
                  <w:noWrap w:val="0"/>
                  <w:vAlign w:val="center"/>
                </w:tcPr>
                <w:p w14:paraId="108FEFC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0.6</w:t>
                  </w:r>
                  <w:r>
                    <w:rPr>
                      <w:rFonts w:hint="default" w:ascii="Times New Roman" w:hAnsi="Times New Roman" w:eastAsia="宋体" w:cs="Times New Roman"/>
                      <w:bCs/>
                      <w:color w:val="auto"/>
                      <w:sz w:val="21"/>
                      <w:szCs w:val="21"/>
                      <w:highlight w:val="none"/>
                      <w:lang w:val="en-US" w:eastAsia="zh-CN"/>
                    </w:rPr>
                    <w:t>吨/年</w:t>
                  </w:r>
                </w:p>
              </w:tc>
              <w:tc>
                <w:tcPr>
                  <w:tcW w:w="1758" w:type="pct"/>
                  <w:noWrap w:val="0"/>
                  <w:vAlign w:val="center"/>
                </w:tcPr>
                <w:p w14:paraId="009F691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桶装</w:t>
                  </w:r>
                </w:p>
              </w:tc>
            </w:tr>
            <w:tr w14:paraId="2DB4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21" w:type="pct"/>
                  <w:noWrap w:val="0"/>
                  <w:vAlign w:val="center"/>
                </w:tcPr>
                <w:p w14:paraId="4D3C101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4</w:t>
                  </w:r>
                </w:p>
              </w:tc>
              <w:tc>
                <w:tcPr>
                  <w:tcW w:w="1111" w:type="pct"/>
                  <w:noWrap w:val="0"/>
                  <w:vAlign w:val="center"/>
                </w:tcPr>
                <w:p w14:paraId="5A98180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尿素</w:t>
                  </w:r>
                </w:p>
              </w:tc>
              <w:tc>
                <w:tcPr>
                  <w:tcW w:w="1508" w:type="pct"/>
                  <w:noWrap w:val="0"/>
                  <w:vAlign w:val="center"/>
                </w:tcPr>
                <w:p w14:paraId="531BD01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12.72t</w:t>
                  </w:r>
                </w:p>
              </w:tc>
              <w:tc>
                <w:tcPr>
                  <w:tcW w:w="1758" w:type="pct"/>
                  <w:noWrap w:val="0"/>
                  <w:vAlign w:val="center"/>
                </w:tcPr>
                <w:p w14:paraId="32D73C8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袋装</w:t>
                  </w:r>
                </w:p>
              </w:tc>
            </w:tr>
          </w:tbl>
          <w:p w14:paraId="0988774C">
            <w:pPr>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color w:val="auto"/>
                <w:sz w:val="24"/>
                <w:szCs w:val="24"/>
              </w:rPr>
              <w:t>主要原辅材料及燃料成分</w:t>
            </w:r>
          </w:p>
          <w:p w14:paraId="14EBA9E9">
            <w:pPr>
              <w:keepNext w:val="0"/>
              <w:keepLines w:val="0"/>
              <w:numPr>
                <w:ilvl w:val="0"/>
                <w:numId w:val="0"/>
              </w:numPr>
              <w:suppressLineNumbers w:val="0"/>
              <w:adjustRightInd w:val="0"/>
              <w:snapToGrid w:val="0"/>
              <w:spacing w:before="0" w:beforeLines="0" w:beforeAutospacing="0" w:after="0" w:afterAutospacing="0" w:line="360" w:lineRule="auto"/>
              <w:ind w:left="0" w:right="0" w:firstLine="480" w:firstLineChars="200"/>
              <w:rPr>
                <w:rFonts w:hint="eastAsia" w:ascii="Times New Roman" w:hAnsi="Times New Roman" w:eastAsia="宋体" w:cs="Times New Roman"/>
                <w:bCs w:val="0"/>
                <w:color w:val="auto"/>
                <w:sz w:val="24"/>
                <w:szCs w:val="24"/>
                <w:highlight w:val="none"/>
                <w:lang w:eastAsia="zh-CN"/>
              </w:rPr>
            </w:pPr>
            <w:r>
              <w:rPr>
                <w:rFonts w:hint="default" w:ascii="Times New Roman" w:hAnsi="Times New Roman" w:eastAsia="宋体" w:cs="Times New Roman"/>
                <w:bCs w:val="0"/>
                <w:color w:val="auto"/>
                <w:sz w:val="24"/>
                <w:szCs w:val="24"/>
                <w:highlight w:val="none"/>
                <w:lang w:val="en-US" w:eastAsia="zh-CN"/>
              </w:rPr>
              <w:t>①玻璃砂：</w:t>
            </w:r>
            <w:r>
              <w:rPr>
                <w:rFonts w:hint="default" w:ascii="Times New Roman" w:hAnsi="Times New Roman" w:eastAsia="宋体" w:cs="Times New Roman"/>
                <w:bCs w:val="0"/>
                <w:color w:val="auto"/>
                <w:sz w:val="24"/>
                <w:szCs w:val="24"/>
                <w:highlight w:val="none"/>
              </w:rPr>
              <w:t xml:space="preserve">项目所用玻璃砂来源于具有合法手续的正规生产企业，为经处理后的普通平板玻璃碎料，不使用含重金属的有色特种玻璃，粒径为 </w:t>
            </w:r>
            <w:r>
              <w:rPr>
                <w:rFonts w:hint="eastAsia" w:cs="Times New Roman"/>
                <w:bCs w:val="0"/>
                <w:color w:val="auto"/>
                <w:sz w:val="24"/>
                <w:szCs w:val="24"/>
                <w:highlight w:val="none"/>
                <w:lang w:val="en-US" w:eastAsia="zh-CN"/>
              </w:rPr>
              <w:t>20~30</w:t>
            </w:r>
            <w:r>
              <w:rPr>
                <w:rFonts w:hint="default" w:ascii="Times New Roman" w:hAnsi="Times New Roman" w:eastAsia="宋体" w:cs="Times New Roman"/>
                <w:bCs w:val="0"/>
                <w:color w:val="auto"/>
                <w:sz w:val="24"/>
                <w:szCs w:val="24"/>
                <w:highlight w:val="none"/>
              </w:rPr>
              <w:t>目。原料玻璃砂洁净度较高，无需再经过清洗、挑选等工序，可直接对来料进行烧制。玻璃微珠生产中不添加其他助剂，仅使用玻璃砂为原料，玻璃砂的化学组分情况具体见下表</w:t>
            </w:r>
            <w:r>
              <w:rPr>
                <w:rFonts w:hint="eastAsia" w:ascii="Times New Roman" w:hAnsi="Times New Roman" w:eastAsia="宋体" w:cs="Times New Roman"/>
                <w:bCs w:val="0"/>
                <w:color w:val="auto"/>
                <w:sz w:val="24"/>
                <w:szCs w:val="24"/>
                <w:highlight w:val="none"/>
                <w:lang w:eastAsia="zh-CN"/>
              </w:rPr>
              <w:t>。</w:t>
            </w:r>
          </w:p>
          <w:p w14:paraId="073BBEFC">
            <w:pPr>
              <w:keepNext w:val="0"/>
              <w:keepLines w:val="0"/>
              <w:numPr>
                <w:ilvl w:val="0"/>
                <w:numId w:val="0"/>
              </w:numPr>
              <w:suppressLineNumbers w:val="0"/>
              <w:adjustRightInd w:val="0"/>
              <w:snapToGrid w:val="0"/>
              <w:spacing w:before="0" w:beforeLines="0" w:beforeAutospacing="0" w:after="0" w:afterAutospacing="0" w:line="360" w:lineRule="auto"/>
              <w:ind w:left="0" w:right="0" w:firstLine="0" w:firstLineChars="0"/>
              <w:jc w:val="center"/>
              <w:rPr>
                <w:rFonts w:hint="eastAsia" w:ascii="Times New Roman" w:hAnsi="Times New Roman" w:eastAsia="宋体" w:cs="Times New Roman"/>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表2-</w:t>
            </w:r>
            <w:r>
              <w:rPr>
                <w:rFonts w:hint="eastAsia" w:cs="Times New Roman"/>
                <w:b/>
                <w:bCs/>
                <w:color w:val="auto"/>
                <w:sz w:val="24"/>
                <w:szCs w:val="24"/>
                <w:highlight w:val="none"/>
                <w:lang w:val="en-US" w:eastAsia="zh-CN"/>
              </w:rPr>
              <w:t>6</w:t>
            </w:r>
            <w:r>
              <w:rPr>
                <w:rFonts w:hint="eastAsia" w:ascii="Times New Roman" w:hAnsi="Times New Roman" w:eastAsia="宋体" w:cs="Times New Roman"/>
                <w:b/>
                <w:bCs/>
                <w:color w:val="auto"/>
                <w:sz w:val="24"/>
                <w:szCs w:val="24"/>
                <w:highlight w:val="none"/>
                <w:lang w:val="en-US" w:eastAsia="zh-CN"/>
              </w:rPr>
              <w:t xml:space="preserve"> 玻璃砂化学</w:t>
            </w:r>
            <w:r>
              <w:rPr>
                <w:rFonts w:hint="eastAsia" w:cs="Times New Roman"/>
                <w:b/>
                <w:bCs/>
                <w:color w:val="auto"/>
                <w:sz w:val="24"/>
                <w:szCs w:val="24"/>
                <w:highlight w:val="none"/>
                <w:lang w:val="en-US" w:eastAsia="zh-CN"/>
              </w:rPr>
              <w:t>组分</w:t>
            </w:r>
            <w:r>
              <w:rPr>
                <w:rFonts w:hint="eastAsia" w:ascii="Times New Roman" w:hAnsi="Times New Roman" w:eastAsia="宋体" w:cs="Times New Roman"/>
                <w:b/>
                <w:bCs/>
                <w:color w:val="auto"/>
                <w:sz w:val="24"/>
                <w:szCs w:val="24"/>
                <w:highlight w:val="none"/>
                <w:lang w:val="en-US" w:eastAsia="zh-CN"/>
              </w:rPr>
              <w:t>一览表</w:t>
            </w:r>
          </w:p>
          <w:tbl>
            <w:tblPr>
              <w:tblStyle w:val="2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4"/>
              <w:gridCol w:w="1144"/>
              <w:gridCol w:w="1144"/>
              <w:gridCol w:w="1145"/>
              <w:gridCol w:w="1145"/>
              <w:gridCol w:w="1145"/>
              <w:gridCol w:w="1145"/>
            </w:tblGrid>
            <w:tr w14:paraId="220F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vAlign w:val="center"/>
                </w:tcPr>
                <w:p w14:paraId="40F32B05">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SiO</w:t>
                  </w:r>
                  <w:r>
                    <w:rPr>
                      <w:rFonts w:hint="eastAsia" w:ascii="Times New Roman" w:hAnsi="Times New Roman" w:eastAsia="宋体" w:cs="Times New Roman"/>
                      <w:b w:val="0"/>
                      <w:bCs w:val="0"/>
                      <w:color w:val="auto"/>
                      <w:sz w:val="21"/>
                      <w:szCs w:val="21"/>
                      <w:highlight w:val="none"/>
                      <w:vertAlign w:val="subscript"/>
                      <w:lang w:val="en-US" w:eastAsia="zh-CN"/>
                    </w:rPr>
                    <w:t>2</w:t>
                  </w:r>
                </w:p>
              </w:tc>
              <w:tc>
                <w:tcPr>
                  <w:tcW w:w="714" w:type="pct"/>
                  <w:vAlign w:val="center"/>
                </w:tcPr>
                <w:p w14:paraId="62B43AFC">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CaO</w:t>
                  </w:r>
                </w:p>
              </w:tc>
              <w:tc>
                <w:tcPr>
                  <w:tcW w:w="714" w:type="pct"/>
                  <w:vAlign w:val="center"/>
                </w:tcPr>
                <w:p w14:paraId="3DD331DB">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MgO</w:t>
                  </w:r>
                </w:p>
              </w:tc>
              <w:tc>
                <w:tcPr>
                  <w:tcW w:w="714" w:type="pct"/>
                  <w:vAlign w:val="center"/>
                </w:tcPr>
                <w:p w14:paraId="57FE0FFF">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Na</w:t>
                  </w:r>
                  <w:r>
                    <w:rPr>
                      <w:rFonts w:hint="eastAsia" w:ascii="Times New Roman" w:hAnsi="Times New Roman" w:eastAsia="宋体" w:cs="Times New Roman"/>
                      <w:b w:val="0"/>
                      <w:bCs w:val="0"/>
                      <w:color w:val="auto"/>
                      <w:sz w:val="21"/>
                      <w:szCs w:val="21"/>
                      <w:highlight w:val="none"/>
                      <w:vertAlign w:val="subscript"/>
                      <w:lang w:val="en-US" w:eastAsia="zh-CN"/>
                    </w:rPr>
                    <w:t>2</w:t>
                  </w:r>
                  <w:r>
                    <w:rPr>
                      <w:rFonts w:hint="eastAsia" w:ascii="Times New Roman" w:hAnsi="Times New Roman" w:eastAsia="宋体" w:cs="Times New Roman"/>
                      <w:b w:val="0"/>
                      <w:bCs w:val="0"/>
                      <w:color w:val="auto"/>
                      <w:sz w:val="21"/>
                      <w:szCs w:val="21"/>
                      <w:highlight w:val="none"/>
                      <w:vertAlign w:val="baseline"/>
                      <w:lang w:val="en-US" w:eastAsia="zh-CN"/>
                    </w:rPr>
                    <w:t>O</w:t>
                  </w:r>
                </w:p>
              </w:tc>
              <w:tc>
                <w:tcPr>
                  <w:tcW w:w="714" w:type="pct"/>
                  <w:vAlign w:val="center"/>
                </w:tcPr>
                <w:p w14:paraId="79FC46F4">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Al</w:t>
                  </w:r>
                  <w:r>
                    <w:rPr>
                      <w:rFonts w:hint="eastAsia" w:ascii="Times New Roman" w:hAnsi="Times New Roman" w:eastAsia="宋体" w:cs="Times New Roman"/>
                      <w:b w:val="0"/>
                      <w:bCs w:val="0"/>
                      <w:color w:val="auto"/>
                      <w:sz w:val="21"/>
                      <w:szCs w:val="21"/>
                      <w:highlight w:val="none"/>
                      <w:vertAlign w:val="subscript"/>
                      <w:lang w:val="en-US" w:eastAsia="zh-CN"/>
                    </w:rPr>
                    <w:t>2</w:t>
                  </w:r>
                  <w:r>
                    <w:rPr>
                      <w:rFonts w:hint="eastAsia" w:ascii="Times New Roman" w:hAnsi="Times New Roman" w:eastAsia="宋体" w:cs="Times New Roman"/>
                      <w:b w:val="0"/>
                      <w:bCs w:val="0"/>
                      <w:color w:val="auto"/>
                      <w:sz w:val="21"/>
                      <w:szCs w:val="21"/>
                      <w:highlight w:val="none"/>
                      <w:vertAlign w:val="baseline"/>
                      <w:lang w:val="en-US" w:eastAsia="zh-CN"/>
                    </w:rPr>
                    <w:t>O</w:t>
                  </w:r>
                  <w:r>
                    <w:rPr>
                      <w:rFonts w:hint="eastAsia" w:ascii="Times New Roman" w:hAnsi="Times New Roman" w:eastAsia="宋体" w:cs="Times New Roman"/>
                      <w:b w:val="0"/>
                      <w:bCs w:val="0"/>
                      <w:color w:val="auto"/>
                      <w:sz w:val="21"/>
                      <w:szCs w:val="21"/>
                      <w:highlight w:val="none"/>
                      <w:vertAlign w:val="subscript"/>
                      <w:lang w:val="en-US" w:eastAsia="zh-CN"/>
                    </w:rPr>
                    <w:t>3</w:t>
                  </w:r>
                </w:p>
              </w:tc>
              <w:tc>
                <w:tcPr>
                  <w:tcW w:w="714" w:type="pct"/>
                  <w:vAlign w:val="center"/>
                </w:tcPr>
                <w:p w14:paraId="11442CD6">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Fe</w:t>
                  </w:r>
                  <w:r>
                    <w:rPr>
                      <w:rFonts w:hint="eastAsia" w:ascii="Times New Roman" w:hAnsi="Times New Roman" w:eastAsia="宋体" w:cs="Times New Roman"/>
                      <w:b w:val="0"/>
                      <w:bCs w:val="0"/>
                      <w:color w:val="auto"/>
                      <w:sz w:val="21"/>
                      <w:szCs w:val="21"/>
                      <w:highlight w:val="none"/>
                      <w:vertAlign w:val="subscript"/>
                      <w:lang w:val="en-US" w:eastAsia="zh-CN"/>
                    </w:rPr>
                    <w:t>2</w:t>
                  </w:r>
                  <w:r>
                    <w:rPr>
                      <w:rFonts w:hint="eastAsia" w:ascii="Times New Roman" w:hAnsi="Times New Roman" w:eastAsia="宋体" w:cs="Times New Roman"/>
                      <w:b w:val="0"/>
                      <w:bCs w:val="0"/>
                      <w:color w:val="auto"/>
                      <w:sz w:val="21"/>
                      <w:szCs w:val="21"/>
                      <w:highlight w:val="none"/>
                      <w:vertAlign w:val="baseline"/>
                      <w:lang w:val="en-US" w:eastAsia="zh-CN"/>
                    </w:rPr>
                    <w:t>O</w:t>
                  </w:r>
                  <w:r>
                    <w:rPr>
                      <w:rFonts w:hint="eastAsia" w:ascii="Times New Roman" w:hAnsi="Times New Roman" w:eastAsia="宋体" w:cs="Times New Roman"/>
                      <w:b w:val="0"/>
                      <w:bCs w:val="0"/>
                      <w:color w:val="auto"/>
                      <w:sz w:val="21"/>
                      <w:szCs w:val="21"/>
                      <w:highlight w:val="none"/>
                      <w:vertAlign w:val="subscript"/>
                      <w:lang w:val="en-US" w:eastAsia="zh-CN"/>
                    </w:rPr>
                    <w:t>3</w:t>
                  </w:r>
                </w:p>
              </w:tc>
              <w:tc>
                <w:tcPr>
                  <w:tcW w:w="714" w:type="pct"/>
                  <w:vAlign w:val="center"/>
                </w:tcPr>
                <w:p w14:paraId="17BB39ED">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其他组分</w:t>
                  </w:r>
                </w:p>
              </w:tc>
            </w:tr>
            <w:tr w14:paraId="34BD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vAlign w:val="center"/>
                </w:tcPr>
                <w:p w14:paraId="0B93E79D">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eastAsia="zh-CN"/>
                    </w:rPr>
                  </w:pPr>
                  <w:r>
                    <w:rPr>
                      <w:rFonts w:hint="eastAsia" w:cs="Times New Roman"/>
                      <w:b w:val="0"/>
                      <w:bCs w:val="0"/>
                      <w:color w:val="auto"/>
                      <w:sz w:val="21"/>
                      <w:szCs w:val="21"/>
                      <w:highlight w:val="none"/>
                      <w:vertAlign w:val="baseline"/>
                      <w:lang w:val="en-US" w:eastAsia="zh-CN"/>
                    </w:rPr>
                    <w:t>&gt;</w:t>
                  </w:r>
                  <w:r>
                    <w:rPr>
                      <w:rFonts w:hint="eastAsia" w:ascii="Times New Roman" w:hAnsi="Times New Roman" w:eastAsia="宋体" w:cs="Times New Roman"/>
                      <w:b w:val="0"/>
                      <w:bCs w:val="0"/>
                      <w:color w:val="auto"/>
                      <w:sz w:val="21"/>
                      <w:szCs w:val="21"/>
                      <w:highlight w:val="none"/>
                      <w:vertAlign w:val="baseline"/>
                      <w:lang w:val="en-US" w:eastAsia="zh-CN"/>
                    </w:rPr>
                    <w:t>67</w:t>
                  </w:r>
                  <w:r>
                    <w:rPr>
                      <w:rFonts w:hint="eastAsia" w:cs="Times New Roman"/>
                      <w:b w:val="0"/>
                      <w:bCs w:val="0"/>
                      <w:color w:val="auto"/>
                      <w:sz w:val="21"/>
                      <w:szCs w:val="21"/>
                      <w:highlight w:val="none"/>
                      <w:vertAlign w:val="baseline"/>
                      <w:lang w:val="en-US" w:eastAsia="zh-CN"/>
                    </w:rPr>
                    <w:t>%</w:t>
                  </w:r>
                </w:p>
              </w:tc>
              <w:tc>
                <w:tcPr>
                  <w:tcW w:w="714" w:type="pct"/>
                  <w:vAlign w:val="center"/>
                </w:tcPr>
                <w:p w14:paraId="388CB189">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eastAsia="zh-CN"/>
                    </w:rPr>
                  </w:pPr>
                  <w:r>
                    <w:rPr>
                      <w:rFonts w:hint="eastAsia" w:cs="Times New Roman"/>
                      <w:b w:val="0"/>
                      <w:bCs w:val="0"/>
                      <w:color w:val="auto"/>
                      <w:sz w:val="21"/>
                      <w:szCs w:val="21"/>
                      <w:highlight w:val="none"/>
                      <w:vertAlign w:val="baseline"/>
                      <w:lang w:val="en-US" w:eastAsia="zh-CN"/>
                    </w:rPr>
                    <w:t>&gt;8%</w:t>
                  </w:r>
                </w:p>
              </w:tc>
              <w:tc>
                <w:tcPr>
                  <w:tcW w:w="714" w:type="pct"/>
                  <w:vAlign w:val="center"/>
                </w:tcPr>
                <w:p w14:paraId="7E6288A2">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eastAsia="zh-CN"/>
                    </w:rPr>
                  </w:pPr>
                  <w:r>
                    <w:rPr>
                      <w:rFonts w:hint="eastAsia" w:cs="Times New Roman"/>
                      <w:b w:val="0"/>
                      <w:bCs w:val="0"/>
                      <w:color w:val="auto"/>
                      <w:sz w:val="21"/>
                      <w:szCs w:val="21"/>
                      <w:highlight w:val="none"/>
                      <w:vertAlign w:val="baseline"/>
                      <w:lang w:val="en-US" w:eastAsia="zh-CN"/>
                    </w:rPr>
                    <w:t>&gt;2.5%</w:t>
                  </w:r>
                </w:p>
              </w:tc>
              <w:tc>
                <w:tcPr>
                  <w:tcW w:w="714" w:type="pct"/>
                  <w:vAlign w:val="center"/>
                </w:tcPr>
                <w:p w14:paraId="3ABDD802">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eastAsia="zh-CN"/>
                    </w:rPr>
                  </w:pPr>
                  <w:r>
                    <w:rPr>
                      <w:rFonts w:hint="eastAsia" w:cs="Times New Roman"/>
                      <w:b w:val="0"/>
                      <w:bCs w:val="0"/>
                      <w:color w:val="auto"/>
                      <w:sz w:val="21"/>
                      <w:szCs w:val="21"/>
                      <w:highlight w:val="none"/>
                      <w:vertAlign w:val="baseline"/>
                      <w:lang w:val="en-US" w:eastAsia="zh-CN"/>
                    </w:rPr>
                    <w:t>&gt;14%</w:t>
                  </w:r>
                </w:p>
              </w:tc>
              <w:tc>
                <w:tcPr>
                  <w:tcW w:w="714" w:type="pct"/>
                  <w:vAlign w:val="center"/>
                </w:tcPr>
                <w:p w14:paraId="22BA4866">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eastAsia="zh-CN"/>
                    </w:rPr>
                  </w:pPr>
                  <w:r>
                    <w:rPr>
                      <w:rFonts w:hint="eastAsia" w:cs="Times New Roman"/>
                      <w:b w:val="0"/>
                      <w:bCs w:val="0"/>
                      <w:color w:val="auto"/>
                      <w:sz w:val="21"/>
                      <w:szCs w:val="21"/>
                      <w:highlight w:val="none"/>
                      <w:vertAlign w:val="baseline"/>
                      <w:lang w:val="en-US" w:eastAsia="zh-CN"/>
                    </w:rPr>
                    <w:t>0.5~2.0%</w:t>
                  </w:r>
                </w:p>
              </w:tc>
              <w:tc>
                <w:tcPr>
                  <w:tcW w:w="714" w:type="pct"/>
                  <w:vAlign w:val="center"/>
                </w:tcPr>
                <w:p w14:paraId="12766576">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eastAsia="zh-CN"/>
                    </w:rPr>
                  </w:pPr>
                  <w:r>
                    <w:rPr>
                      <w:rFonts w:hint="eastAsia" w:cs="Times New Roman"/>
                      <w:b w:val="0"/>
                      <w:bCs w:val="0"/>
                      <w:color w:val="auto"/>
                      <w:sz w:val="21"/>
                      <w:szCs w:val="21"/>
                      <w:highlight w:val="none"/>
                      <w:vertAlign w:val="baseline"/>
                      <w:lang w:val="en-US" w:eastAsia="zh-CN"/>
                    </w:rPr>
                    <w:t>&lt;</w:t>
                  </w:r>
                  <w:r>
                    <w:rPr>
                      <w:rFonts w:hint="eastAsia" w:ascii="Times New Roman" w:hAnsi="Times New Roman" w:eastAsia="宋体" w:cs="Times New Roman"/>
                      <w:b w:val="0"/>
                      <w:bCs w:val="0"/>
                      <w:color w:val="auto"/>
                      <w:sz w:val="21"/>
                      <w:szCs w:val="21"/>
                      <w:highlight w:val="none"/>
                      <w:vertAlign w:val="baseline"/>
                      <w:lang w:val="en-US" w:eastAsia="zh-CN"/>
                    </w:rPr>
                    <w:t>0.15%</w:t>
                  </w:r>
                </w:p>
              </w:tc>
              <w:tc>
                <w:tcPr>
                  <w:tcW w:w="714" w:type="pct"/>
                  <w:vAlign w:val="center"/>
                </w:tcPr>
                <w:p w14:paraId="1A8BD12E">
                  <w:pPr>
                    <w:keepNext w:val="0"/>
                    <w:keepLines w:val="0"/>
                    <w:numPr>
                      <w:ilvl w:val="0"/>
                      <w:numId w:val="0"/>
                    </w:numPr>
                    <w:suppressLineNumbers w:val="0"/>
                    <w:adjustRightInd w:val="0"/>
                    <w:snapToGrid w:val="0"/>
                    <w:spacing w:before="0" w:beforeLines="0" w:beforeAutospacing="0" w:after="0" w:afterAutospacing="0" w:line="360" w:lineRule="auto"/>
                    <w:ind w:left="0" w:right="0"/>
                    <w:jc w:val="center"/>
                    <w:rPr>
                      <w:rFonts w:hint="default" w:ascii="Times New Roman" w:hAnsi="Times New Roman" w:eastAsia="宋体" w:cs="Times New Roman"/>
                      <w:b w:val="0"/>
                      <w:bCs w:val="0"/>
                      <w:color w:val="auto"/>
                      <w:sz w:val="21"/>
                      <w:szCs w:val="21"/>
                      <w:highlight w:val="none"/>
                      <w:vertAlign w:val="baseline"/>
                      <w:lang w:eastAsia="zh-CN"/>
                    </w:rPr>
                  </w:pPr>
                  <w:r>
                    <w:rPr>
                      <w:rFonts w:hint="eastAsia" w:cs="Times New Roman"/>
                      <w:b w:val="0"/>
                      <w:bCs w:val="0"/>
                      <w:color w:val="auto"/>
                      <w:sz w:val="21"/>
                      <w:szCs w:val="21"/>
                      <w:highlight w:val="none"/>
                      <w:vertAlign w:val="baseline"/>
                      <w:lang w:val="en-US" w:eastAsia="zh-CN"/>
                    </w:rPr>
                    <w:t>&lt;2.0</w:t>
                  </w:r>
                  <w:r>
                    <w:rPr>
                      <w:rFonts w:hint="eastAsia" w:ascii="Times New Roman" w:hAnsi="Times New Roman" w:eastAsia="宋体" w:cs="Times New Roman"/>
                      <w:b w:val="0"/>
                      <w:bCs w:val="0"/>
                      <w:color w:val="auto"/>
                      <w:sz w:val="21"/>
                      <w:szCs w:val="21"/>
                      <w:highlight w:val="none"/>
                      <w:vertAlign w:val="baseline"/>
                      <w:lang w:val="en-US" w:eastAsia="zh-CN"/>
                    </w:rPr>
                    <w:t>%</w:t>
                  </w:r>
                </w:p>
              </w:tc>
            </w:tr>
          </w:tbl>
          <w:p w14:paraId="2E549333">
            <w:pPr>
              <w:keepNext w:val="0"/>
              <w:keepLines w:val="0"/>
              <w:numPr>
                <w:ilvl w:val="0"/>
                <w:numId w:val="0"/>
              </w:numPr>
              <w:suppressLineNumbers w:val="0"/>
              <w:adjustRightInd w:val="0"/>
              <w:snapToGrid w:val="0"/>
              <w:spacing w:before="0" w:beforeLines="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lang w:eastAsia="zh-CN"/>
              </w:rPr>
              <w:t>②瓦斯气</w:t>
            </w:r>
          </w:p>
          <w:p w14:paraId="732F89F1">
            <w:pPr>
              <w:pStyle w:val="64"/>
              <w:keepNext w:val="0"/>
              <w:keepLines w:val="0"/>
              <w:suppressLineNumbers w:val="0"/>
              <w:spacing w:before="0" w:beforeLines="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lang w:eastAsia="zh-CN"/>
              </w:rPr>
              <w:t>本项目玻璃微珠烧制炉热源为瓦斯气，</w:t>
            </w:r>
            <w:r>
              <w:rPr>
                <w:rFonts w:hint="default" w:ascii="Times New Roman" w:hAnsi="Times New Roman" w:eastAsia="宋体" w:cs="Times New Roman"/>
                <w:b w:val="0"/>
                <w:bCs w:val="0"/>
                <w:color w:val="auto"/>
                <w:sz w:val="24"/>
                <w:szCs w:val="24"/>
                <w:highlight w:val="none"/>
                <w:lang w:val="en-US" w:eastAsia="zh-CN"/>
              </w:rPr>
              <w:t>根据企业提供资料，瓦斯气</w:t>
            </w:r>
            <w:r>
              <w:rPr>
                <w:rFonts w:hint="default" w:ascii="Times New Roman" w:hAnsi="Times New Roman" w:eastAsia="宋体" w:cs="Times New Roman"/>
                <w:b w:val="0"/>
                <w:bCs w:val="0"/>
                <w:color w:val="auto"/>
                <w:sz w:val="24"/>
                <w:szCs w:val="24"/>
                <w:highlight w:val="none"/>
                <w:lang w:eastAsia="zh-CN"/>
              </w:rPr>
              <w:t>年用量为</w:t>
            </w:r>
            <w:r>
              <w:rPr>
                <w:rFonts w:hint="default" w:ascii="Times New Roman" w:hAnsi="Times New Roman" w:eastAsia="宋体" w:cs="Times New Roman"/>
                <w:b w:val="0"/>
                <w:bCs w:val="0"/>
                <w:color w:val="auto"/>
                <w:sz w:val="24"/>
                <w:szCs w:val="24"/>
                <w:highlight w:val="none"/>
                <w:lang w:val="en-US" w:eastAsia="zh-CN"/>
              </w:rPr>
              <w:t>1900.8万m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，低位发热量4.25MJ/m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，瓦斯气</w:t>
            </w:r>
            <w:r>
              <w:rPr>
                <w:rFonts w:hint="default" w:ascii="Times New Roman" w:hAnsi="Times New Roman" w:eastAsia="宋体" w:cs="Times New Roman"/>
                <w:b w:val="0"/>
                <w:bCs w:val="0"/>
                <w:color w:val="auto"/>
                <w:sz w:val="24"/>
                <w:szCs w:val="24"/>
                <w:highlight w:val="none"/>
                <w:lang w:eastAsia="zh-CN"/>
              </w:rPr>
              <w:t>由</w:t>
            </w:r>
            <w:r>
              <w:rPr>
                <w:rFonts w:hint="default" w:ascii="Times New Roman" w:hAnsi="Times New Roman" w:eastAsia="宋体" w:cs="Times New Roman"/>
                <w:b w:val="0"/>
                <w:bCs w:val="0"/>
                <w:color w:val="auto"/>
                <w:sz w:val="24"/>
                <w:szCs w:val="24"/>
                <w:highlight w:val="none"/>
                <w:lang w:val="en-US" w:eastAsia="zh-CN"/>
              </w:rPr>
              <w:t>兴裕煤矿供给</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eastAsia="zh-CN"/>
              </w:rPr>
              <w:t>为该矿抽放站经混合调配后的煤矿瓦斯混合气体，通过输送管道供给本装置使用，目前管道已接入本项目厂区内，瓦斯气化学成分详见下表</w:t>
            </w:r>
            <w:r>
              <w:rPr>
                <w:rFonts w:hint="eastAsia" w:cs="Times New Roman"/>
                <w:b w:val="0"/>
                <w:bCs w:val="0"/>
                <w:color w:val="auto"/>
                <w:sz w:val="24"/>
                <w:szCs w:val="24"/>
                <w:highlight w:val="none"/>
                <w:lang w:eastAsia="zh-CN"/>
              </w:rPr>
              <w:t>（</w:t>
            </w:r>
            <w:r>
              <w:rPr>
                <w:rFonts w:hint="eastAsia" w:cs="Times New Roman"/>
                <w:b w:val="0"/>
                <w:bCs w:val="0"/>
                <w:color w:val="auto"/>
                <w:sz w:val="24"/>
                <w:szCs w:val="24"/>
                <w:highlight w:val="none"/>
                <w:lang w:val="en-US" w:eastAsia="zh-CN"/>
              </w:rPr>
              <w:t>由阳泉玻化微珠科技有限公司取样，送至国家煤层气产品质量检验检测中心（山西）进行监测，取样日期为2026年7月21日，监测日期为2026年7月21日~23日</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eastAsia="zh-CN"/>
              </w:rPr>
              <w:t>。</w:t>
            </w:r>
          </w:p>
          <w:p w14:paraId="7E6A851C">
            <w:pPr>
              <w:pStyle w:val="64"/>
              <w:keepNext w:val="0"/>
              <w:keepLines w:val="0"/>
              <w:suppressLineNumbers w:val="0"/>
              <w:spacing w:before="0" w:beforeLines="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eastAsia="zh-CN"/>
              </w:rPr>
            </w:pPr>
          </w:p>
          <w:p w14:paraId="41477B97">
            <w:pPr>
              <w:pStyle w:val="64"/>
              <w:keepNext w:val="0"/>
              <w:keepLines w:val="0"/>
              <w:suppressLineNumbers w:val="0"/>
              <w:spacing w:before="0" w:beforeLines="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sz w:val="24"/>
                <w:szCs w:val="24"/>
                <w:highlight w:val="none"/>
                <w:lang w:eastAsia="zh-CN"/>
              </w:rPr>
            </w:pPr>
          </w:p>
          <w:p w14:paraId="61C36747">
            <w:pPr>
              <w:pStyle w:val="6"/>
              <w:spacing w:before="0" w:beforeLines="0" w:line="460" w:lineRule="exact"/>
              <w:ind w:firstLine="482" w:firstLineChars="200"/>
              <w:jc w:val="center"/>
              <w:rPr>
                <w:rFonts w:hint="default" w:ascii="Times New Roman" w:hAnsi="Times New Roman" w:eastAsia="宋体" w:cs="Times New Roman"/>
                <w:b/>
                <w:bCs/>
                <w:color w:val="auto"/>
                <w:sz w:val="21"/>
                <w:szCs w:val="21"/>
                <w:highlight w:val="yellow"/>
                <w:lang w:eastAsia="zh-CN"/>
              </w:rPr>
            </w:pPr>
            <w:r>
              <w:rPr>
                <w:rFonts w:hint="default" w:ascii="Times New Roman" w:hAnsi="Times New Roman" w:cs="Times New Roman"/>
                <w:b/>
                <w:bCs/>
                <w:color w:val="auto"/>
                <w:sz w:val="24"/>
                <w:szCs w:val="24"/>
                <w:highlight w:val="none"/>
              </w:rPr>
              <w:t>表</w:t>
            </w:r>
            <w:r>
              <w:rPr>
                <w:rFonts w:hint="eastAsia" w:ascii="Times New Roman" w:hAnsi="Times New Roman" w:cs="Times New Roman"/>
                <w:b/>
                <w:bCs/>
                <w:color w:val="auto"/>
                <w:sz w:val="24"/>
                <w:szCs w:val="24"/>
                <w:highlight w:val="none"/>
                <w:lang w:val="en-US" w:eastAsia="zh-CN"/>
              </w:rPr>
              <w:t xml:space="preserve"> 2-</w:t>
            </w:r>
            <w:r>
              <w:rPr>
                <w:rFonts w:hint="eastAsia" w:cs="Times New Roman"/>
                <w:b/>
                <w:bCs/>
                <w:color w:val="auto"/>
                <w:sz w:val="24"/>
                <w:szCs w:val="24"/>
                <w:highlight w:val="none"/>
                <w:lang w:val="en-US" w:eastAsia="zh-CN"/>
              </w:rPr>
              <w:t>7</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lang w:eastAsia="zh-CN"/>
              </w:rPr>
              <w:t>瓦斯气成分一览表</w:t>
            </w:r>
          </w:p>
          <w:tbl>
            <w:tblPr>
              <w:tblStyle w:val="23"/>
              <w:tblW w:w="799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57" w:type="dxa"/>
                <w:bottom w:w="0" w:type="dxa"/>
                <w:right w:w="57" w:type="dxa"/>
              </w:tblCellMar>
            </w:tblPr>
            <w:tblGrid>
              <w:gridCol w:w="406"/>
              <w:gridCol w:w="826"/>
              <w:gridCol w:w="342"/>
              <w:gridCol w:w="418"/>
              <w:gridCol w:w="707"/>
              <w:gridCol w:w="318"/>
              <w:gridCol w:w="747"/>
              <w:gridCol w:w="240"/>
              <w:gridCol w:w="659"/>
              <w:gridCol w:w="245"/>
              <w:gridCol w:w="402"/>
              <w:gridCol w:w="480"/>
              <w:gridCol w:w="1090"/>
              <w:gridCol w:w="1114"/>
            </w:tblGrid>
            <w:tr w14:paraId="7C9E75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283" w:hRule="atLeast"/>
                <w:jc w:val="center"/>
              </w:trPr>
              <w:tc>
                <w:tcPr>
                  <w:tcW w:w="254" w:type="pct"/>
                  <w:noWrap w:val="0"/>
                  <w:vAlign w:val="center"/>
                </w:tcPr>
                <w:p w14:paraId="67266847">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rPr>
                  </w:pPr>
                  <w:r>
                    <w:rPr>
                      <w:rFonts w:hint="eastAsia" w:ascii="Times New Roman" w:hAnsi="Times New Roman"/>
                      <w:bCs/>
                      <w:color w:val="auto"/>
                      <w:szCs w:val="21"/>
                      <w:highlight w:val="none"/>
                      <w:lang w:eastAsia="zh-CN"/>
                    </w:rPr>
                    <w:t>成分</w:t>
                  </w:r>
                </w:p>
              </w:tc>
              <w:tc>
                <w:tcPr>
                  <w:tcW w:w="516" w:type="pct"/>
                  <w:noWrap w:val="0"/>
                  <w:vAlign w:val="center"/>
                </w:tcPr>
                <w:p w14:paraId="76F9E09E">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氧气</w:t>
                  </w:r>
                </w:p>
              </w:tc>
              <w:tc>
                <w:tcPr>
                  <w:tcW w:w="475" w:type="pct"/>
                  <w:gridSpan w:val="2"/>
                  <w:noWrap w:val="0"/>
                  <w:vAlign w:val="center"/>
                </w:tcPr>
                <w:p w14:paraId="44798464">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eastAsia="zh-CN"/>
                    </w:rPr>
                  </w:pPr>
                  <w:r>
                    <w:rPr>
                      <w:rFonts w:hint="eastAsia" w:ascii="Times New Roman" w:hAnsi="Times New Roman"/>
                      <w:bCs/>
                      <w:color w:val="auto"/>
                      <w:szCs w:val="21"/>
                      <w:highlight w:val="none"/>
                      <w:lang w:val="en-US" w:eastAsia="zh-CN"/>
                    </w:rPr>
                    <w:t>氮气</w:t>
                  </w:r>
                </w:p>
              </w:tc>
              <w:tc>
                <w:tcPr>
                  <w:tcW w:w="641" w:type="pct"/>
                  <w:gridSpan w:val="2"/>
                  <w:noWrap w:val="0"/>
                  <w:vAlign w:val="center"/>
                </w:tcPr>
                <w:p w14:paraId="1E597589">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rPr>
                  </w:pPr>
                  <w:r>
                    <w:rPr>
                      <w:rFonts w:hint="eastAsia" w:ascii="Times New Roman" w:hAnsi="Times New Roman"/>
                      <w:bCs/>
                      <w:color w:val="auto"/>
                      <w:szCs w:val="21"/>
                      <w:highlight w:val="none"/>
                      <w:lang w:val="en-US" w:eastAsia="zh-CN"/>
                    </w:rPr>
                    <w:t>二氧化碳</w:t>
                  </w:r>
                </w:p>
              </w:tc>
              <w:tc>
                <w:tcPr>
                  <w:tcW w:w="617" w:type="pct"/>
                  <w:gridSpan w:val="2"/>
                  <w:noWrap w:val="0"/>
                  <w:vAlign w:val="center"/>
                </w:tcPr>
                <w:p w14:paraId="15FCB674">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甲烷</w:t>
                  </w:r>
                </w:p>
              </w:tc>
              <w:tc>
                <w:tcPr>
                  <w:tcW w:w="412" w:type="pct"/>
                  <w:noWrap w:val="0"/>
                  <w:vAlign w:val="center"/>
                </w:tcPr>
                <w:p w14:paraId="05721B6C">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乙烷</w:t>
                  </w:r>
                </w:p>
              </w:tc>
              <w:tc>
                <w:tcPr>
                  <w:tcW w:w="704" w:type="pct"/>
                  <w:gridSpan w:val="3"/>
                  <w:noWrap w:val="0"/>
                  <w:vAlign w:val="center"/>
                </w:tcPr>
                <w:p w14:paraId="41429E6B">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丙烷</w:t>
                  </w:r>
                </w:p>
              </w:tc>
              <w:tc>
                <w:tcPr>
                  <w:tcW w:w="681" w:type="pct"/>
                  <w:noWrap w:val="0"/>
                  <w:vAlign w:val="center"/>
                </w:tcPr>
                <w:p w14:paraId="41732811">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异丁烷</w:t>
                  </w:r>
                </w:p>
              </w:tc>
              <w:tc>
                <w:tcPr>
                  <w:tcW w:w="696" w:type="pct"/>
                  <w:noWrap w:val="0"/>
                  <w:vAlign w:val="center"/>
                </w:tcPr>
                <w:p w14:paraId="012D971B">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正丁烷</w:t>
                  </w:r>
                </w:p>
              </w:tc>
            </w:tr>
            <w:tr w14:paraId="386207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283" w:hRule="atLeast"/>
                <w:jc w:val="center"/>
              </w:trPr>
              <w:tc>
                <w:tcPr>
                  <w:tcW w:w="254" w:type="pct"/>
                  <w:noWrap w:val="0"/>
                  <w:vAlign w:val="center"/>
                </w:tcPr>
                <w:p w14:paraId="44936305">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rPr>
                  </w:pPr>
                  <w:r>
                    <w:rPr>
                      <w:rFonts w:hint="default" w:ascii="Times New Roman" w:hAnsi="Times New Roman"/>
                      <w:bCs/>
                      <w:color w:val="auto"/>
                      <w:szCs w:val="21"/>
                      <w:highlight w:val="none"/>
                    </w:rPr>
                    <w:t>%</w:t>
                  </w:r>
                </w:p>
              </w:tc>
              <w:tc>
                <w:tcPr>
                  <w:tcW w:w="516" w:type="pct"/>
                  <w:noWrap w:val="0"/>
                  <w:vAlign w:val="center"/>
                </w:tcPr>
                <w:p w14:paraId="59ADF07F">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15.1</w:t>
                  </w:r>
                </w:p>
              </w:tc>
              <w:tc>
                <w:tcPr>
                  <w:tcW w:w="475" w:type="pct"/>
                  <w:gridSpan w:val="2"/>
                  <w:noWrap w:val="0"/>
                  <w:vAlign w:val="center"/>
                </w:tcPr>
                <w:p w14:paraId="7EB727D0">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69.6</w:t>
                  </w:r>
                </w:p>
              </w:tc>
              <w:tc>
                <w:tcPr>
                  <w:tcW w:w="641" w:type="pct"/>
                  <w:gridSpan w:val="2"/>
                  <w:noWrap w:val="0"/>
                  <w:vAlign w:val="center"/>
                </w:tcPr>
                <w:p w14:paraId="03D3FD20">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0.923</w:t>
                  </w:r>
                </w:p>
              </w:tc>
              <w:tc>
                <w:tcPr>
                  <w:tcW w:w="617" w:type="pct"/>
                  <w:gridSpan w:val="2"/>
                  <w:noWrap w:val="0"/>
                  <w:vAlign w:val="center"/>
                </w:tcPr>
                <w:p w14:paraId="1EA70B54">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12.5</w:t>
                  </w:r>
                </w:p>
              </w:tc>
              <w:tc>
                <w:tcPr>
                  <w:tcW w:w="412" w:type="pct"/>
                  <w:noWrap w:val="0"/>
                  <w:vAlign w:val="center"/>
                </w:tcPr>
                <w:p w14:paraId="6E06F059">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0.012</w:t>
                  </w:r>
                </w:p>
              </w:tc>
              <w:tc>
                <w:tcPr>
                  <w:tcW w:w="704" w:type="pct"/>
                  <w:gridSpan w:val="3"/>
                  <w:noWrap w:val="0"/>
                  <w:vAlign w:val="center"/>
                </w:tcPr>
                <w:p w14:paraId="4F900F88">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＜0.0012（检出限）</w:t>
                  </w:r>
                </w:p>
              </w:tc>
              <w:tc>
                <w:tcPr>
                  <w:tcW w:w="681" w:type="pct"/>
                  <w:noWrap w:val="0"/>
                  <w:vAlign w:val="center"/>
                </w:tcPr>
                <w:p w14:paraId="0162C3F5">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＜0.0011（检出限）</w:t>
                  </w:r>
                </w:p>
              </w:tc>
              <w:tc>
                <w:tcPr>
                  <w:tcW w:w="696" w:type="pct"/>
                  <w:noWrap w:val="0"/>
                  <w:vAlign w:val="center"/>
                </w:tcPr>
                <w:p w14:paraId="760C90BF">
                  <w:pPr>
                    <w:pStyle w:val="12"/>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bCs/>
                      <w:color w:val="auto"/>
                      <w:szCs w:val="21"/>
                      <w:highlight w:val="none"/>
                      <w:lang w:val="en-US" w:eastAsia="zh-CN"/>
                    </w:rPr>
                    <w:t>＜0.0011（检出限）</w:t>
                  </w:r>
                </w:p>
              </w:tc>
            </w:tr>
            <w:tr w14:paraId="78F4B6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283" w:hRule="atLeast"/>
                <w:jc w:val="center"/>
              </w:trPr>
              <w:tc>
                <w:tcPr>
                  <w:tcW w:w="254" w:type="pct"/>
                  <w:shd w:val="clear" w:color="auto" w:fill="auto"/>
                  <w:noWrap w:val="0"/>
                  <w:vAlign w:val="center"/>
                </w:tcPr>
                <w:p w14:paraId="61B666C7">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bCs/>
                      <w:color w:val="auto"/>
                      <w:szCs w:val="21"/>
                      <w:highlight w:val="none"/>
                      <w:lang w:eastAsia="zh-CN"/>
                    </w:rPr>
                    <w:t>成分</w:t>
                  </w:r>
                </w:p>
              </w:tc>
              <w:tc>
                <w:tcPr>
                  <w:tcW w:w="730" w:type="pct"/>
                  <w:gridSpan w:val="2"/>
                  <w:noWrap w:val="0"/>
                  <w:vAlign w:val="center"/>
                </w:tcPr>
                <w:p w14:paraId="3BA58DAF">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r>
                    <w:rPr>
                      <w:rFonts w:hint="eastAsia" w:ascii="Times New Roman" w:hAnsi="Times New Roman" w:eastAsia="宋体" w:cs="Times New Roman"/>
                      <w:color w:val="auto"/>
                      <w:sz w:val="21"/>
                      <w:szCs w:val="21"/>
                      <w:highlight w:val="none"/>
                    </w:rPr>
                    <w:t>异戊烷</w:t>
                  </w:r>
                </w:p>
              </w:tc>
              <w:tc>
                <w:tcPr>
                  <w:tcW w:w="703" w:type="pct"/>
                  <w:gridSpan w:val="2"/>
                  <w:noWrap w:val="0"/>
                  <w:vAlign w:val="center"/>
                </w:tcPr>
                <w:p w14:paraId="5E050730">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r>
                    <w:rPr>
                      <w:rFonts w:hint="eastAsia" w:ascii="Times New Roman" w:hAnsi="Times New Roman"/>
                      <w:bCs/>
                      <w:color w:val="auto"/>
                      <w:szCs w:val="21"/>
                      <w:highlight w:val="none"/>
                      <w:lang w:val="en-US" w:eastAsia="zh-CN"/>
                    </w:rPr>
                    <w:t>正戊烷</w:t>
                  </w:r>
                </w:p>
              </w:tc>
              <w:tc>
                <w:tcPr>
                  <w:tcW w:w="666" w:type="pct"/>
                  <w:gridSpan w:val="2"/>
                  <w:noWrap w:val="0"/>
                  <w:vAlign w:val="center"/>
                </w:tcPr>
                <w:p w14:paraId="363B0669">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r>
                    <w:rPr>
                      <w:rFonts w:hint="eastAsia" w:ascii="Times New Roman" w:hAnsi="Times New Roman"/>
                      <w:bCs/>
                      <w:color w:val="auto"/>
                      <w:szCs w:val="21"/>
                      <w:highlight w:val="none"/>
                      <w:lang w:val="en-US" w:eastAsia="zh-CN"/>
                    </w:rPr>
                    <w:t>硫化氢</w:t>
                  </w:r>
                </w:p>
              </w:tc>
              <w:tc>
                <w:tcPr>
                  <w:tcW w:w="715" w:type="pct"/>
                  <w:gridSpan w:val="3"/>
                  <w:noWrap w:val="0"/>
                  <w:vAlign w:val="center"/>
                </w:tcPr>
                <w:p w14:paraId="2BB581C4">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r>
                    <w:rPr>
                      <w:rFonts w:hint="eastAsia" w:ascii="Times New Roman" w:hAnsi="Times New Roman"/>
                      <w:bCs/>
                      <w:color w:val="auto"/>
                      <w:szCs w:val="21"/>
                      <w:highlight w:val="none"/>
                      <w:lang w:val="en-US" w:eastAsia="zh-CN"/>
                    </w:rPr>
                    <w:t>总硫含量S</w:t>
                  </w:r>
                </w:p>
              </w:tc>
              <w:tc>
                <w:tcPr>
                  <w:tcW w:w="251" w:type="pct"/>
                  <w:noWrap w:val="0"/>
                  <w:vAlign w:val="center"/>
                </w:tcPr>
                <w:p w14:paraId="634BEF23">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p>
              </w:tc>
              <w:tc>
                <w:tcPr>
                  <w:tcW w:w="299" w:type="pct"/>
                  <w:noWrap w:val="0"/>
                  <w:vAlign w:val="center"/>
                </w:tcPr>
                <w:p w14:paraId="2BB9714D">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p>
              </w:tc>
              <w:tc>
                <w:tcPr>
                  <w:tcW w:w="681" w:type="pct"/>
                  <w:noWrap w:val="0"/>
                  <w:vAlign w:val="center"/>
                </w:tcPr>
                <w:p w14:paraId="2006A763">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p>
              </w:tc>
              <w:tc>
                <w:tcPr>
                  <w:tcW w:w="696" w:type="pct"/>
                  <w:noWrap w:val="0"/>
                  <w:vAlign w:val="center"/>
                </w:tcPr>
                <w:p w14:paraId="43FA6B3D">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p>
              </w:tc>
            </w:tr>
            <w:tr w14:paraId="551B3A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283" w:hRule="atLeast"/>
                <w:jc w:val="center"/>
              </w:trPr>
              <w:tc>
                <w:tcPr>
                  <w:tcW w:w="254" w:type="pct"/>
                  <w:shd w:val="clear" w:color="auto" w:fill="auto"/>
                  <w:noWrap w:val="0"/>
                  <w:vAlign w:val="center"/>
                </w:tcPr>
                <w:p w14:paraId="242315E7">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bCs/>
                      <w:color w:val="auto"/>
                      <w:szCs w:val="21"/>
                      <w:highlight w:val="none"/>
                    </w:rPr>
                    <w:t>%</w:t>
                  </w:r>
                </w:p>
              </w:tc>
              <w:tc>
                <w:tcPr>
                  <w:tcW w:w="730" w:type="pct"/>
                  <w:gridSpan w:val="2"/>
                  <w:noWrap w:val="0"/>
                  <w:vAlign w:val="center"/>
                </w:tcPr>
                <w:p w14:paraId="4807D697">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r>
                    <w:rPr>
                      <w:rFonts w:hint="eastAsia" w:ascii="Times New Roman" w:hAnsi="Times New Roman"/>
                      <w:bCs/>
                      <w:color w:val="auto"/>
                      <w:szCs w:val="21"/>
                      <w:highlight w:val="none"/>
                      <w:lang w:val="en-US" w:eastAsia="zh-CN"/>
                    </w:rPr>
                    <w:t>＜0.00094（检出限）</w:t>
                  </w:r>
                </w:p>
              </w:tc>
              <w:tc>
                <w:tcPr>
                  <w:tcW w:w="703" w:type="pct"/>
                  <w:gridSpan w:val="2"/>
                  <w:noWrap w:val="0"/>
                  <w:vAlign w:val="center"/>
                </w:tcPr>
                <w:p w14:paraId="4DF33A8A">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r>
                    <w:rPr>
                      <w:rFonts w:hint="eastAsia" w:ascii="Times New Roman" w:hAnsi="Times New Roman"/>
                      <w:bCs/>
                      <w:color w:val="auto"/>
                      <w:szCs w:val="21"/>
                      <w:highlight w:val="none"/>
                      <w:lang w:val="en-US" w:eastAsia="zh-CN"/>
                    </w:rPr>
                    <w:t>＜0.00094（检出限）</w:t>
                  </w:r>
                </w:p>
              </w:tc>
              <w:tc>
                <w:tcPr>
                  <w:tcW w:w="666" w:type="pct"/>
                  <w:gridSpan w:val="2"/>
                  <w:noWrap w:val="0"/>
                  <w:vAlign w:val="center"/>
                </w:tcPr>
                <w:p w14:paraId="7536490E">
                  <w:pPr>
                    <w:pStyle w:val="12"/>
                    <w:keepNext w:val="0"/>
                    <w:keepLines w:val="0"/>
                    <w:suppressLineNumbers w:val="0"/>
                    <w:spacing w:before="0" w:beforeAutospacing="0" w:after="0" w:afterAutospacing="0" w:line="240" w:lineRule="auto"/>
                    <w:ind w:left="0" w:right="0"/>
                    <w:jc w:val="both"/>
                    <w:rPr>
                      <w:rFonts w:hint="default" w:ascii="Times New Roman" w:hAnsi="Times New Roman" w:cs="Times New Roman"/>
                      <w:bCs/>
                      <w:color w:val="auto"/>
                      <w:szCs w:val="21"/>
                      <w:highlight w:val="none"/>
                      <w:lang w:val="en-US" w:eastAsia="zh-CN"/>
                    </w:rPr>
                  </w:pPr>
                  <w:r>
                    <w:rPr>
                      <w:rFonts w:hint="eastAsia" w:ascii="Times New Roman" w:hAnsi="Times New Roman"/>
                      <w:bCs/>
                      <w:color w:val="auto"/>
                      <w:szCs w:val="21"/>
                      <w:highlight w:val="none"/>
                      <w:lang w:val="en-US" w:eastAsia="zh-CN"/>
                    </w:rPr>
                    <w:t>＜0.0756（检出限）</w:t>
                  </w:r>
                </w:p>
              </w:tc>
              <w:tc>
                <w:tcPr>
                  <w:tcW w:w="715" w:type="pct"/>
                  <w:gridSpan w:val="3"/>
                  <w:noWrap w:val="0"/>
                  <w:vAlign w:val="center"/>
                </w:tcPr>
                <w:p w14:paraId="35D0E259">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r>
                    <w:rPr>
                      <w:rFonts w:hint="eastAsia" w:ascii="Times New Roman" w:hAnsi="Times New Roman"/>
                      <w:bCs/>
                      <w:color w:val="auto"/>
                      <w:szCs w:val="21"/>
                      <w:highlight w:val="none"/>
                      <w:lang w:val="en-US" w:eastAsia="zh-CN"/>
                    </w:rPr>
                    <w:t>＜0.88（检出限）</w:t>
                  </w:r>
                </w:p>
              </w:tc>
              <w:tc>
                <w:tcPr>
                  <w:tcW w:w="251" w:type="pct"/>
                  <w:noWrap w:val="0"/>
                  <w:vAlign w:val="center"/>
                </w:tcPr>
                <w:p w14:paraId="170671B3">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p>
              </w:tc>
              <w:tc>
                <w:tcPr>
                  <w:tcW w:w="299" w:type="pct"/>
                  <w:noWrap w:val="0"/>
                  <w:vAlign w:val="center"/>
                </w:tcPr>
                <w:p w14:paraId="779F0115">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p>
              </w:tc>
              <w:tc>
                <w:tcPr>
                  <w:tcW w:w="681" w:type="pct"/>
                  <w:noWrap w:val="0"/>
                  <w:vAlign w:val="center"/>
                </w:tcPr>
                <w:p w14:paraId="341282E4">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p>
              </w:tc>
              <w:tc>
                <w:tcPr>
                  <w:tcW w:w="696" w:type="pct"/>
                  <w:noWrap w:val="0"/>
                  <w:vAlign w:val="center"/>
                </w:tcPr>
                <w:p w14:paraId="71A6380F">
                  <w:pPr>
                    <w:pStyle w:val="12"/>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Cs w:val="21"/>
                      <w:highlight w:val="none"/>
                      <w:lang w:val="en-US" w:eastAsia="zh-CN"/>
                    </w:rPr>
                  </w:pPr>
                </w:p>
              </w:tc>
            </w:tr>
          </w:tbl>
          <w:p w14:paraId="75B0D7E4">
            <w:pPr>
              <w:pStyle w:val="16"/>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Cs w:val="0"/>
                <w:color w:val="auto"/>
                <w:kern w:val="2"/>
                <w:sz w:val="24"/>
                <w:szCs w:val="21"/>
                <w:highlight w:val="none"/>
                <w:lang w:val="en-US" w:eastAsia="zh-CN"/>
              </w:rPr>
            </w:pPr>
            <w:r>
              <w:rPr>
                <w:rFonts w:hint="eastAsia" w:ascii="Times New Roman" w:hAnsi="Times New Roman" w:eastAsia="宋体" w:cs="Times New Roman"/>
                <w:bCs w:val="0"/>
                <w:color w:val="auto"/>
                <w:kern w:val="2"/>
                <w:sz w:val="24"/>
                <w:szCs w:val="21"/>
                <w:highlight w:val="none"/>
                <w:lang w:val="en-US" w:eastAsia="zh-CN"/>
              </w:rPr>
              <w:t>兴裕煤矿煤层瓦斯浓度</w:t>
            </w:r>
            <w:r>
              <w:rPr>
                <w:rFonts w:hint="eastAsia" w:cs="Times New Roman"/>
                <w:bCs w:val="0"/>
                <w:color w:val="auto"/>
                <w:kern w:val="2"/>
                <w:sz w:val="24"/>
                <w:szCs w:val="21"/>
                <w:highlight w:val="none"/>
                <w:lang w:val="en-US" w:eastAsia="zh-CN"/>
              </w:rPr>
              <w:t>4%—8%</w:t>
            </w:r>
            <w:r>
              <w:rPr>
                <w:rFonts w:hint="eastAsia" w:ascii="Times New Roman" w:hAnsi="Times New Roman" w:eastAsia="宋体" w:cs="Times New Roman"/>
                <w:bCs w:val="0"/>
                <w:color w:val="auto"/>
                <w:kern w:val="2"/>
                <w:sz w:val="24"/>
                <w:szCs w:val="21"/>
                <w:highlight w:val="none"/>
                <w:lang w:val="en-US" w:eastAsia="zh-CN"/>
              </w:rPr>
              <w:t>，每日折纯瓦斯量为0.72万m</w:t>
            </w:r>
            <w:r>
              <w:rPr>
                <w:rFonts w:hint="eastAsia" w:ascii="Times New Roman" w:hAnsi="Times New Roman" w:eastAsia="宋体" w:cs="Times New Roman"/>
                <w:bCs w:val="0"/>
                <w:color w:val="auto"/>
                <w:kern w:val="2"/>
                <w:sz w:val="24"/>
                <w:szCs w:val="21"/>
                <w:highlight w:val="none"/>
                <w:vertAlign w:val="superscript"/>
                <w:lang w:val="en-US" w:eastAsia="zh-CN"/>
              </w:rPr>
              <w:t>3</w:t>
            </w:r>
            <w:r>
              <w:rPr>
                <w:rFonts w:hint="eastAsia" w:cs="Times New Roman"/>
                <w:bCs w:val="0"/>
                <w:color w:val="auto"/>
                <w:kern w:val="2"/>
                <w:sz w:val="24"/>
                <w:szCs w:val="21"/>
                <w:highlight w:val="none"/>
                <w:vertAlign w:val="superscript"/>
                <w:lang w:val="en-US" w:eastAsia="zh-CN"/>
              </w:rPr>
              <w:t>；</w:t>
            </w:r>
            <w:r>
              <w:rPr>
                <w:rFonts w:hint="eastAsia" w:ascii="Times New Roman" w:hAnsi="Times New Roman" w:eastAsia="宋体" w:cs="Times New Roman"/>
                <w:bCs w:val="0"/>
                <w:color w:val="auto"/>
                <w:kern w:val="2"/>
                <w:sz w:val="24"/>
                <w:szCs w:val="21"/>
                <w:highlight w:val="none"/>
                <w:lang w:val="en-US" w:eastAsia="zh-CN"/>
              </w:rPr>
              <w:t>高抽巷瓦斯浓度</w:t>
            </w:r>
            <w:r>
              <w:rPr>
                <w:rFonts w:hint="eastAsia" w:cs="Times New Roman"/>
                <w:bCs w:val="0"/>
                <w:color w:val="auto"/>
                <w:kern w:val="2"/>
                <w:sz w:val="24"/>
                <w:szCs w:val="21"/>
                <w:highlight w:val="none"/>
                <w:lang w:val="en-US" w:eastAsia="zh-CN"/>
              </w:rPr>
              <w:t>8%—30%</w:t>
            </w:r>
            <w:r>
              <w:rPr>
                <w:rFonts w:hint="eastAsia" w:ascii="Times New Roman" w:hAnsi="Times New Roman" w:eastAsia="宋体" w:cs="Times New Roman"/>
                <w:bCs w:val="0"/>
                <w:color w:val="auto"/>
                <w:kern w:val="2"/>
                <w:sz w:val="24"/>
                <w:szCs w:val="21"/>
                <w:highlight w:val="none"/>
                <w:lang w:val="en-US" w:eastAsia="zh-CN"/>
              </w:rPr>
              <w:t>，每日折纯瓦斯量为9.36万m</w:t>
            </w:r>
            <w:r>
              <w:rPr>
                <w:rFonts w:hint="eastAsia" w:ascii="Times New Roman" w:hAnsi="Times New Roman" w:eastAsia="宋体" w:cs="Times New Roman"/>
                <w:bCs w:val="0"/>
                <w:color w:val="auto"/>
                <w:kern w:val="2"/>
                <w:sz w:val="24"/>
                <w:szCs w:val="21"/>
                <w:highlight w:val="none"/>
                <w:vertAlign w:val="superscript"/>
                <w:lang w:val="en-US" w:eastAsia="zh-CN"/>
              </w:rPr>
              <w:t>3</w:t>
            </w:r>
            <w:r>
              <w:rPr>
                <w:rFonts w:hint="eastAsia" w:cs="Times New Roman"/>
                <w:bCs w:val="0"/>
                <w:color w:val="auto"/>
                <w:kern w:val="2"/>
                <w:sz w:val="24"/>
                <w:szCs w:val="21"/>
                <w:highlight w:val="none"/>
                <w:vertAlign w:val="superscript"/>
                <w:lang w:val="en-US" w:eastAsia="zh-CN"/>
              </w:rPr>
              <w:t>；</w:t>
            </w:r>
            <w:r>
              <w:rPr>
                <w:rFonts w:hint="eastAsia" w:ascii="Times New Roman" w:hAnsi="Times New Roman" w:eastAsia="宋体" w:cs="Times New Roman"/>
                <w:bCs w:val="0"/>
                <w:color w:val="auto"/>
                <w:kern w:val="2"/>
                <w:sz w:val="24"/>
                <w:szCs w:val="21"/>
                <w:highlight w:val="none"/>
                <w:lang w:val="en-US" w:eastAsia="zh-CN"/>
              </w:rPr>
              <w:t>瓦斯每日折纯瓦斯量为10.08万m</w:t>
            </w:r>
            <w:r>
              <w:rPr>
                <w:rFonts w:hint="eastAsia" w:ascii="Times New Roman" w:hAnsi="Times New Roman" w:eastAsia="宋体" w:cs="Times New Roman"/>
                <w:bCs w:val="0"/>
                <w:color w:val="auto"/>
                <w:kern w:val="2"/>
                <w:sz w:val="24"/>
                <w:szCs w:val="21"/>
                <w:highlight w:val="none"/>
                <w:vertAlign w:val="superscript"/>
                <w:lang w:val="en-US" w:eastAsia="zh-CN"/>
              </w:rPr>
              <w:t>3</w:t>
            </w:r>
            <w:r>
              <w:rPr>
                <w:rFonts w:hint="eastAsia" w:ascii="Times New Roman" w:hAnsi="Times New Roman" w:eastAsia="宋体" w:cs="Times New Roman"/>
                <w:bCs w:val="0"/>
                <w:color w:val="auto"/>
                <w:kern w:val="2"/>
                <w:sz w:val="24"/>
                <w:szCs w:val="21"/>
                <w:highlight w:val="none"/>
                <w:lang w:val="en-US" w:eastAsia="zh-CN"/>
              </w:rPr>
              <w:t>，</w:t>
            </w:r>
            <w:r>
              <w:rPr>
                <w:rFonts w:hint="default" w:ascii="Times New Roman" w:hAnsi="Times New Roman" w:eastAsia="宋体" w:cs="Times New Roman"/>
                <w:b w:val="0"/>
                <w:bCs/>
                <w:color w:val="auto"/>
                <w:kern w:val="0"/>
                <w:sz w:val="24"/>
                <w:szCs w:val="24"/>
                <w:lang w:val="en-US" w:eastAsia="zh-CN" w:bidi="ar"/>
              </w:rPr>
              <w:t>其中</w:t>
            </w:r>
            <w:r>
              <w:rPr>
                <w:rFonts w:hint="eastAsia" w:ascii="Times New Roman" w:hAnsi="Times New Roman" w:eastAsia="宋体" w:cs="Times New Roman"/>
                <w:b w:val="0"/>
                <w:bCs/>
                <w:color w:val="auto"/>
                <w:kern w:val="0"/>
                <w:sz w:val="24"/>
                <w:szCs w:val="24"/>
                <w:lang w:val="en-US" w:eastAsia="zh-CN" w:bidi="ar"/>
              </w:rPr>
              <w:t>部分</w:t>
            </w:r>
            <w:r>
              <w:rPr>
                <w:rFonts w:hint="default" w:ascii="Times New Roman" w:hAnsi="Times New Roman" w:eastAsia="宋体" w:cs="Times New Roman"/>
                <w:b w:val="0"/>
                <w:bCs/>
                <w:color w:val="auto"/>
                <w:kern w:val="0"/>
                <w:sz w:val="24"/>
                <w:szCs w:val="24"/>
                <w:lang w:val="en-US" w:eastAsia="zh-CN" w:bidi="ar"/>
              </w:rPr>
              <w:t>稳定供给杨德环能电厂作为燃料综合利用，日利用瓦斯量约</w:t>
            </w:r>
            <w:r>
              <w:rPr>
                <w:rStyle w:val="26"/>
                <w:rFonts w:hint="default" w:ascii="Times New Roman" w:hAnsi="Times New Roman" w:eastAsia="宋体" w:cs="Times New Roman"/>
                <w:b w:val="0"/>
                <w:bCs/>
                <w:color w:val="auto"/>
                <w:kern w:val="0"/>
                <w:sz w:val="24"/>
                <w:szCs w:val="24"/>
                <w:lang w:val="en-US" w:eastAsia="zh-CN" w:bidi="ar"/>
              </w:rPr>
              <w:t>5万m³/d</w:t>
            </w:r>
            <w:r>
              <w:rPr>
                <w:rFonts w:hint="default" w:ascii="Times New Roman" w:hAnsi="Times New Roman" w:eastAsia="宋体" w:cs="Times New Roman"/>
                <w:b w:val="0"/>
                <w:bCs/>
                <w:color w:val="auto"/>
                <w:kern w:val="0"/>
                <w:sz w:val="24"/>
                <w:szCs w:val="24"/>
                <w:lang w:val="en-US" w:eastAsia="zh-CN" w:bidi="ar"/>
              </w:rPr>
              <w:t>，用于电厂发电及配套生产用能；剩余富余</w:t>
            </w:r>
            <w:r>
              <w:rPr>
                <w:rFonts w:hint="eastAsia" w:ascii="Times New Roman" w:hAnsi="Times New Roman" w:eastAsia="宋体" w:cs="Times New Roman"/>
                <w:bCs w:val="0"/>
                <w:color w:val="auto"/>
                <w:kern w:val="2"/>
                <w:sz w:val="24"/>
                <w:szCs w:val="21"/>
                <w:highlight w:val="none"/>
                <w:lang w:val="en-US" w:eastAsia="zh-CN"/>
              </w:rPr>
              <w:t>折纯</w:t>
            </w:r>
            <w:r>
              <w:rPr>
                <w:rFonts w:hint="default" w:ascii="Times New Roman" w:hAnsi="Times New Roman" w:eastAsia="宋体" w:cs="Times New Roman"/>
                <w:b w:val="0"/>
                <w:bCs/>
                <w:color w:val="auto"/>
                <w:kern w:val="0"/>
                <w:sz w:val="24"/>
                <w:szCs w:val="24"/>
                <w:lang w:val="en-US" w:eastAsia="zh-CN" w:bidi="ar"/>
              </w:rPr>
              <w:t>瓦斯气量约</w:t>
            </w:r>
            <w:r>
              <w:rPr>
                <w:rStyle w:val="26"/>
                <w:rFonts w:hint="default" w:ascii="Times New Roman" w:hAnsi="Times New Roman" w:eastAsia="宋体" w:cs="Times New Roman"/>
                <w:b w:val="0"/>
                <w:bCs/>
                <w:color w:val="auto"/>
                <w:kern w:val="0"/>
                <w:sz w:val="24"/>
                <w:szCs w:val="24"/>
                <w:lang w:val="en-US" w:eastAsia="zh-CN" w:bidi="ar"/>
              </w:rPr>
              <w:t>5.08万</w:t>
            </w:r>
            <w:r>
              <w:rPr>
                <w:rFonts w:hint="eastAsia" w:ascii="Times New Roman" w:hAnsi="Times New Roman" w:eastAsia="宋体" w:cs="Times New Roman"/>
                <w:bCs w:val="0"/>
                <w:color w:val="auto"/>
                <w:kern w:val="2"/>
                <w:sz w:val="24"/>
                <w:szCs w:val="21"/>
                <w:highlight w:val="none"/>
                <w:lang w:val="en-US" w:eastAsia="zh-CN"/>
              </w:rPr>
              <w:t>m</w:t>
            </w:r>
            <w:r>
              <w:rPr>
                <w:rFonts w:hint="eastAsia" w:ascii="Times New Roman" w:hAnsi="Times New Roman" w:eastAsia="宋体" w:cs="Times New Roman"/>
                <w:bCs w:val="0"/>
                <w:color w:val="auto"/>
                <w:kern w:val="2"/>
                <w:sz w:val="24"/>
                <w:szCs w:val="21"/>
                <w:highlight w:val="none"/>
                <w:vertAlign w:val="superscript"/>
                <w:lang w:val="en-US" w:eastAsia="zh-CN"/>
              </w:rPr>
              <w:t>3</w:t>
            </w:r>
            <w:r>
              <w:rPr>
                <w:rStyle w:val="26"/>
                <w:rFonts w:hint="default" w:ascii="Times New Roman" w:hAnsi="Times New Roman" w:eastAsia="宋体" w:cs="Times New Roman"/>
                <w:b w:val="0"/>
                <w:bCs/>
                <w:color w:val="auto"/>
                <w:kern w:val="0"/>
                <w:sz w:val="24"/>
                <w:szCs w:val="24"/>
                <w:lang w:val="en-US" w:eastAsia="zh-CN" w:bidi="ar"/>
              </w:rPr>
              <w:t>/d</w:t>
            </w:r>
            <w:r>
              <w:rPr>
                <w:rStyle w:val="26"/>
                <w:rFonts w:hint="eastAsia" w:ascii="Times New Roman" w:hAnsi="Times New Roman" w:eastAsia="宋体" w:cs="Times New Roman"/>
                <w:b w:val="0"/>
                <w:bCs/>
                <w:color w:val="auto"/>
                <w:kern w:val="0"/>
                <w:sz w:val="24"/>
                <w:szCs w:val="24"/>
                <w:lang w:val="en-US" w:eastAsia="zh-CN" w:bidi="ar"/>
              </w:rPr>
              <w:t>，</w:t>
            </w:r>
            <w:r>
              <w:rPr>
                <w:rFonts w:hint="eastAsia" w:ascii="Times New Roman" w:hAnsi="Times New Roman" w:eastAsia="宋体" w:cs="Times New Roman"/>
                <w:bCs w:val="0"/>
                <w:color w:val="auto"/>
                <w:kern w:val="2"/>
                <w:sz w:val="24"/>
                <w:szCs w:val="21"/>
                <w:highlight w:val="none"/>
                <w:lang w:val="en-US" w:eastAsia="zh-CN"/>
              </w:rPr>
              <w:t>本项目每日</w:t>
            </w:r>
            <w:r>
              <w:rPr>
                <w:rFonts w:hint="eastAsia" w:cs="Times New Roman"/>
                <w:bCs w:val="0"/>
                <w:color w:val="auto"/>
                <w:kern w:val="2"/>
                <w:sz w:val="24"/>
                <w:szCs w:val="21"/>
                <w:highlight w:val="none"/>
                <w:lang w:val="en-US" w:eastAsia="zh-CN"/>
              </w:rPr>
              <w:t>混合瓦斯气</w:t>
            </w:r>
            <w:r>
              <w:rPr>
                <w:rFonts w:hint="eastAsia" w:ascii="Times New Roman" w:hAnsi="Times New Roman" w:eastAsia="宋体" w:cs="Times New Roman"/>
                <w:bCs w:val="0"/>
                <w:color w:val="auto"/>
                <w:kern w:val="2"/>
                <w:sz w:val="24"/>
                <w:szCs w:val="21"/>
                <w:highlight w:val="none"/>
                <w:lang w:val="en-US" w:eastAsia="zh-CN"/>
              </w:rPr>
              <w:t>使用量为</w:t>
            </w:r>
            <w:r>
              <w:rPr>
                <w:rFonts w:hint="eastAsia" w:cs="Times New Roman"/>
                <w:bCs w:val="0"/>
                <w:color w:val="auto"/>
                <w:kern w:val="2"/>
                <w:sz w:val="24"/>
                <w:szCs w:val="21"/>
                <w:highlight w:val="none"/>
                <w:lang w:val="en-US" w:eastAsia="zh-CN"/>
              </w:rPr>
              <w:t>57600</w:t>
            </w:r>
            <w:r>
              <w:rPr>
                <w:rFonts w:hint="eastAsia" w:ascii="Times New Roman" w:hAnsi="Times New Roman" w:eastAsia="宋体" w:cs="Times New Roman"/>
                <w:bCs w:val="0"/>
                <w:color w:val="auto"/>
                <w:kern w:val="2"/>
                <w:sz w:val="24"/>
                <w:szCs w:val="21"/>
                <w:highlight w:val="none"/>
                <w:lang w:val="en-US" w:eastAsia="zh-CN"/>
              </w:rPr>
              <w:t>m</w:t>
            </w:r>
            <w:r>
              <w:rPr>
                <w:rFonts w:hint="eastAsia" w:ascii="Times New Roman" w:hAnsi="Times New Roman" w:eastAsia="宋体" w:cs="Times New Roman"/>
                <w:bCs w:val="0"/>
                <w:color w:val="auto"/>
                <w:kern w:val="2"/>
                <w:sz w:val="24"/>
                <w:szCs w:val="21"/>
                <w:highlight w:val="none"/>
                <w:vertAlign w:val="superscript"/>
                <w:lang w:val="en-US" w:eastAsia="zh-CN"/>
              </w:rPr>
              <w:t>3</w:t>
            </w:r>
            <w:r>
              <w:rPr>
                <w:rFonts w:hint="eastAsia" w:ascii="Times New Roman" w:hAnsi="Times New Roman" w:eastAsia="宋体" w:cs="Times New Roman"/>
                <w:bCs w:val="0"/>
                <w:color w:val="auto"/>
                <w:kern w:val="2"/>
                <w:sz w:val="24"/>
                <w:szCs w:val="21"/>
                <w:highlight w:val="none"/>
                <w:lang w:val="en-US" w:eastAsia="zh-CN"/>
              </w:rPr>
              <w:t>，</w:t>
            </w:r>
            <w:r>
              <w:rPr>
                <w:rFonts w:hint="eastAsia" w:cs="Times New Roman"/>
                <w:bCs w:val="0"/>
                <w:color w:val="auto"/>
                <w:kern w:val="2"/>
                <w:sz w:val="24"/>
                <w:szCs w:val="21"/>
                <w:highlight w:val="none"/>
                <w:lang w:val="en-US" w:eastAsia="zh-CN"/>
              </w:rPr>
              <w:t>根据瓦斯成分折纯瓦斯量为7200m</w:t>
            </w:r>
            <w:r>
              <w:rPr>
                <w:rFonts w:hint="eastAsia" w:cs="Times New Roman"/>
                <w:bCs w:val="0"/>
                <w:color w:val="auto"/>
                <w:kern w:val="2"/>
                <w:sz w:val="24"/>
                <w:szCs w:val="21"/>
                <w:highlight w:val="none"/>
                <w:vertAlign w:val="superscript"/>
                <w:lang w:val="en-US" w:eastAsia="zh-CN"/>
              </w:rPr>
              <w:t>3</w:t>
            </w:r>
            <w:r>
              <w:rPr>
                <w:rFonts w:hint="eastAsia" w:cs="Times New Roman"/>
                <w:bCs w:val="0"/>
                <w:color w:val="auto"/>
                <w:kern w:val="2"/>
                <w:sz w:val="24"/>
                <w:szCs w:val="21"/>
                <w:highlight w:val="none"/>
                <w:lang w:val="en-US" w:eastAsia="zh-CN"/>
              </w:rPr>
              <w:t>，</w:t>
            </w:r>
            <w:r>
              <w:rPr>
                <w:rFonts w:hint="eastAsia" w:ascii="Times New Roman" w:hAnsi="Times New Roman" w:eastAsia="宋体" w:cs="Times New Roman"/>
                <w:bCs w:val="0"/>
                <w:color w:val="auto"/>
                <w:kern w:val="2"/>
                <w:sz w:val="24"/>
                <w:szCs w:val="21"/>
                <w:highlight w:val="none"/>
                <w:lang w:val="en-US" w:eastAsia="zh-CN"/>
              </w:rPr>
              <w:t>兴裕煤矿低浓度瓦斯可满足本项目生产需求。</w:t>
            </w:r>
          </w:p>
          <w:p w14:paraId="5CF16E07">
            <w:pPr>
              <w:keepNext w:val="0"/>
              <w:keepLines w:val="0"/>
              <w:suppressLineNumbers w:val="0"/>
              <w:adjustRightInd w:val="0"/>
              <w:snapToGrid w:val="0"/>
              <w:spacing w:before="0" w:beforeAutospacing="0" w:after="0" w:afterAutospacing="0" w:line="360" w:lineRule="auto"/>
              <w:ind w:left="0" w:right="0"/>
              <w:rPr>
                <w:rFonts w:hint="eastAsia" w:ascii="宋体" w:hAnsi="宋体" w:cs="宋体"/>
                <w:b/>
                <w:color w:val="auto"/>
                <w:sz w:val="24"/>
                <w:highlight w:val="none"/>
              </w:rPr>
            </w:pPr>
            <w:r>
              <w:rPr>
                <w:rFonts w:hint="eastAsia" w:ascii="Times New Roman" w:hAnsi="Times New Roman" w:cs="宋体"/>
                <w:b/>
                <w:color w:val="auto"/>
                <w:sz w:val="24"/>
                <w:highlight w:val="none"/>
                <w:lang w:val="en-US" w:eastAsia="zh-CN"/>
              </w:rPr>
              <w:t>2.</w:t>
            </w:r>
            <w:r>
              <w:rPr>
                <w:rFonts w:hint="eastAsia" w:cs="宋体"/>
                <w:b/>
                <w:color w:val="auto"/>
                <w:sz w:val="24"/>
                <w:highlight w:val="none"/>
                <w:lang w:val="en-US" w:eastAsia="zh-CN"/>
              </w:rPr>
              <w:t>6</w:t>
            </w:r>
            <w:r>
              <w:rPr>
                <w:rFonts w:hint="eastAsia" w:ascii="宋体" w:hAnsi="宋体" w:cs="宋体"/>
                <w:b/>
                <w:color w:val="auto"/>
                <w:sz w:val="24"/>
                <w:highlight w:val="none"/>
              </w:rPr>
              <w:t>工作制度</w:t>
            </w:r>
            <w:r>
              <w:rPr>
                <w:rFonts w:hint="eastAsia" w:ascii="宋体" w:hAnsi="宋体" w:cs="宋体"/>
                <w:b/>
                <w:color w:val="auto"/>
                <w:sz w:val="24"/>
                <w:highlight w:val="none"/>
                <w:lang w:val="en-US" w:eastAsia="zh-CN"/>
              </w:rPr>
              <w:t>及</w:t>
            </w:r>
            <w:r>
              <w:rPr>
                <w:rFonts w:hint="eastAsia" w:ascii="宋体" w:hAnsi="宋体" w:cs="宋体"/>
                <w:b/>
                <w:color w:val="auto"/>
                <w:sz w:val="24"/>
                <w:highlight w:val="none"/>
              </w:rPr>
              <w:t>劳动定员</w:t>
            </w:r>
          </w:p>
          <w:p w14:paraId="1EC3236F">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宋体" w:hAnsi="宋体" w:eastAsia="宋体" w:cs="宋体"/>
                <w:bCs/>
                <w:color w:val="auto"/>
                <w:sz w:val="24"/>
                <w:highlight w:val="none"/>
              </w:rPr>
            </w:pPr>
            <w:r>
              <w:rPr>
                <w:rFonts w:hint="eastAsia" w:ascii="宋体" w:hAnsi="宋体" w:cs="宋体"/>
                <w:bCs/>
                <w:color w:val="auto"/>
                <w:sz w:val="24"/>
                <w:highlight w:val="none"/>
              </w:rPr>
              <w:t>工作制度：年工作</w:t>
            </w:r>
            <w:r>
              <w:rPr>
                <w:rFonts w:hint="eastAsia" w:ascii="Times New Roman" w:hAnsi="Times New Roman" w:cs="宋体"/>
                <w:bCs/>
                <w:color w:val="auto"/>
                <w:sz w:val="24"/>
                <w:highlight w:val="none"/>
                <w:lang w:val="en-US" w:eastAsia="zh-CN"/>
              </w:rPr>
              <w:t>330</w:t>
            </w:r>
            <w:r>
              <w:rPr>
                <w:rFonts w:hint="eastAsia" w:ascii="宋体" w:hAnsi="宋体" w:cs="宋体"/>
                <w:bCs/>
                <w:color w:val="auto"/>
                <w:sz w:val="24"/>
                <w:highlight w:val="none"/>
              </w:rPr>
              <w:t>天</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每日</w:t>
            </w:r>
            <w:r>
              <w:rPr>
                <w:rFonts w:hint="eastAsia" w:ascii="Times New Roman" w:hAnsi="Times New Roman" w:cs="宋体"/>
                <w:bCs/>
                <w:color w:val="auto"/>
                <w:sz w:val="24"/>
                <w:highlight w:val="none"/>
                <w:lang w:val="en-US" w:eastAsia="zh-CN"/>
              </w:rPr>
              <w:t>1</w:t>
            </w:r>
            <w:r>
              <w:rPr>
                <w:rFonts w:hint="eastAsia" w:ascii="宋体" w:hAnsi="宋体" w:cs="宋体"/>
                <w:bCs/>
                <w:color w:val="auto"/>
                <w:sz w:val="24"/>
                <w:highlight w:val="none"/>
              </w:rPr>
              <w:t>班，每班</w:t>
            </w:r>
            <w:r>
              <w:rPr>
                <w:rFonts w:hint="eastAsia" w:ascii="Times New Roman" w:hAnsi="Times New Roman" w:cs="宋体"/>
                <w:bCs/>
                <w:color w:val="auto"/>
                <w:sz w:val="24"/>
                <w:highlight w:val="none"/>
                <w:lang w:val="en-US" w:eastAsia="zh-CN"/>
              </w:rPr>
              <w:t>8</w:t>
            </w:r>
            <w:r>
              <w:rPr>
                <w:rFonts w:hint="eastAsia" w:ascii="宋体" w:hAnsi="宋体" w:cs="宋体"/>
                <w:bCs/>
                <w:color w:val="auto"/>
                <w:sz w:val="24"/>
                <w:highlight w:val="none"/>
              </w:rPr>
              <w:t>小时</w:t>
            </w:r>
            <w:r>
              <w:rPr>
                <w:rFonts w:hint="default" w:ascii="Times New Roman" w:hAnsi="Times New Roman" w:eastAsia="宋体" w:cs="Times New Roman"/>
                <w:bCs/>
                <w:color w:val="auto"/>
                <w:sz w:val="24"/>
                <w:highlight w:val="none"/>
              </w:rPr>
              <w:t>。</w:t>
            </w:r>
          </w:p>
          <w:p w14:paraId="6519AC7E">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cs="宋体"/>
                <w:bCs/>
                <w:color w:val="auto"/>
                <w:sz w:val="24"/>
                <w:highlight w:val="none"/>
                <w:lang w:eastAsia="zh-CN"/>
              </w:rPr>
            </w:pPr>
            <w:r>
              <w:rPr>
                <w:rFonts w:hint="eastAsia" w:ascii="宋体" w:hAnsi="宋体" w:cs="宋体"/>
                <w:bCs/>
                <w:color w:val="auto"/>
                <w:sz w:val="24"/>
                <w:highlight w:val="none"/>
              </w:rPr>
              <w:t>劳动定员：</w:t>
            </w:r>
            <w:r>
              <w:rPr>
                <w:rFonts w:hint="eastAsia" w:ascii="宋体" w:hAnsi="宋体" w:cs="宋体"/>
                <w:bCs/>
                <w:color w:val="auto"/>
                <w:sz w:val="24"/>
                <w:highlight w:val="none"/>
                <w:lang w:val="en-US" w:eastAsia="zh-CN"/>
              </w:rPr>
              <w:t>本项目</w:t>
            </w:r>
            <w:r>
              <w:rPr>
                <w:rFonts w:hint="eastAsia" w:ascii="宋体" w:hAnsi="宋体" w:cs="宋体"/>
                <w:bCs/>
                <w:color w:val="auto"/>
                <w:sz w:val="24"/>
                <w:highlight w:val="none"/>
              </w:rPr>
              <w:t>职工定员</w:t>
            </w:r>
            <w:r>
              <w:rPr>
                <w:rFonts w:hint="eastAsia" w:ascii="Times New Roman" w:hAnsi="Times New Roman" w:cs="宋体"/>
                <w:bCs/>
                <w:color w:val="auto"/>
                <w:sz w:val="24"/>
                <w:highlight w:val="none"/>
                <w:lang w:val="en-US" w:eastAsia="zh-CN"/>
              </w:rPr>
              <w:t>10</w:t>
            </w:r>
            <w:r>
              <w:rPr>
                <w:rFonts w:hint="eastAsia" w:ascii="宋体" w:hAnsi="宋体" w:cs="宋体"/>
                <w:bCs/>
                <w:color w:val="auto"/>
                <w:sz w:val="24"/>
                <w:highlight w:val="none"/>
              </w:rPr>
              <w:t>人</w:t>
            </w:r>
            <w:r>
              <w:rPr>
                <w:rFonts w:hint="eastAsia" w:ascii="宋体" w:hAnsi="宋体" w:cs="宋体"/>
                <w:bCs/>
                <w:color w:val="auto"/>
                <w:sz w:val="24"/>
                <w:highlight w:val="none"/>
                <w:lang w:eastAsia="zh-CN"/>
              </w:rPr>
              <w:t>。</w:t>
            </w:r>
          </w:p>
          <w:p w14:paraId="57D101B2">
            <w:pPr>
              <w:keepNext w:val="0"/>
              <w:keepLines w:val="0"/>
              <w:suppressLineNumbers w:val="0"/>
              <w:adjustRightInd w:val="0"/>
              <w:snapToGrid w:val="0"/>
              <w:spacing w:before="0" w:beforeAutospacing="0" w:after="0" w:afterAutospacing="0" w:line="360" w:lineRule="auto"/>
              <w:ind w:left="0" w:right="0" w:firstLine="0" w:firstLineChars="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2.7环保投资</w:t>
            </w:r>
          </w:p>
          <w:p w14:paraId="6F54ACF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宋体" w:hAnsi="宋体" w:cs="宋体"/>
                <w:bCs/>
                <w:color w:val="auto"/>
                <w:sz w:val="24"/>
                <w:highlight w:val="none"/>
                <w:lang w:val="en-US" w:eastAsia="zh-CN"/>
              </w:rPr>
            </w:pPr>
            <w:r>
              <w:rPr>
                <w:rFonts w:hint="default" w:ascii="Times New Roman" w:hAnsi="Times New Roman" w:cs="Times New Roman"/>
                <w:bCs/>
                <w:color w:val="auto"/>
                <w:sz w:val="24"/>
                <w:highlight w:val="none"/>
                <w:lang w:val="en-US" w:eastAsia="zh-CN"/>
              </w:rPr>
              <w:t>本项目总投资</w:t>
            </w:r>
            <w:r>
              <w:rPr>
                <w:rFonts w:hint="eastAsia" w:ascii="Times New Roman" w:hAnsi="Times New Roman" w:cs="Times New Roman"/>
                <w:bCs/>
                <w:color w:val="auto"/>
                <w:sz w:val="24"/>
                <w:highlight w:val="none"/>
                <w:lang w:val="en-US" w:eastAsia="zh-CN"/>
              </w:rPr>
              <w:t>100</w:t>
            </w:r>
            <w:r>
              <w:rPr>
                <w:rFonts w:hint="default" w:ascii="Times New Roman" w:hAnsi="Times New Roman" w:cs="Times New Roman"/>
                <w:bCs/>
                <w:color w:val="auto"/>
                <w:sz w:val="24"/>
                <w:highlight w:val="none"/>
                <w:lang w:val="en-US" w:eastAsia="zh-CN"/>
              </w:rPr>
              <w:t>万元，其中环保投资</w:t>
            </w:r>
            <w:r>
              <w:rPr>
                <w:rFonts w:hint="eastAsia" w:cs="Times New Roman"/>
                <w:bCs/>
                <w:color w:val="auto"/>
                <w:sz w:val="24"/>
                <w:highlight w:val="none"/>
                <w:lang w:val="en-US" w:eastAsia="zh-CN"/>
              </w:rPr>
              <w:t>15</w:t>
            </w:r>
            <w:r>
              <w:rPr>
                <w:rFonts w:hint="default" w:ascii="Times New Roman" w:hAnsi="Times New Roman" w:cs="Times New Roman"/>
                <w:bCs/>
                <w:color w:val="auto"/>
                <w:sz w:val="24"/>
                <w:highlight w:val="none"/>
                <w:lang w:val="en-US" w:eastAsia="zh-CN"/>
              </w:rPr>
              <w:t>万元，占总投资的</w:t>
            </w:r>
            <w:r>
              <w:rPr>
                <w:rFonts w:hint="eastAsia" w:ascii="Times New Roman" w:hAnsi="Times New Roman" w:cs="Times New Roman"/>
                <w:bCs/>
                <w:color w:val="auto"/>
                <w:sz w:val="24"/>
                <w:highlight w:val="none"/>
                <w:lang w:val="en-US" w:eastAsia="zh-CN"/>
              </w:rPr>
              <w:t>1</w:t>
            </w:r>
            <w:r>
              <w:rPr>
                <w:rFonts w:hint="eastAsia" w:cs="Times New Roman"/>
                <w:bCs/>
                <w:color w:val="auto"/>
                <w:sz w:val="24"/>
                <w:highlight w:val="none"/>
                <w:lang w:val="en-US" w:eastAsia="zh-CN"/>
              </w:rPr>
              <w:t>5</w:t>
            </w:r>
            <w:r>
              <w:rPr>
                <w:rFonts w:hint="default" w:ascii="Times New Roman" w:hAnsi="Times New Roman" w:cs="Times New Roman"/>
                <w:bCs/>
                <w:color w:val="auto"/>
                <w:sz w:val="24"/>
                <w:highlight w:val="none"/>
                <w:lang w:val="en-US" w:eastAsia="zh-CN"/>
              </w:rPr>
              <w:t>%</w:t>
            </w:r>
            <w:r>
              <w:rPr>
                <w:rFonts w:hint="eastAsia" w:ascii="宋体" w:hAnsi="宋体" w:cs="宋体"/>
                <w:bCs/>
                <w:color w:val="auto"/>
                <w:sz w:val="24"/>
                <w:highlight w:val="none"/>
                <w:lang w:val="en-US" w:eastAsia="zh-CN"/>
              </w:rPr>
              <w:t>。</w:t>
            </w:r>
          </w:p>
          <w:p w14:paraId="1B30E3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textAlignment w:val="auto"/>
              <w:rPr>
                <w:rFonts w:hint="eastAsia" w:ascii="宋体" w:hAnsi="宋体" w:cs="宋体"/>
                <w:b/>
                <w:color w:val="auto"/>
                <w:sz w:val="24"/>
                <w:highlight w:val="none"/>
              </w:rPr>
            </w:pPr>
            <w:r>
              <w:rPr>
                <w:rFonts w:hint="eastAsia" w:ascii="Times New Roman" w:hAnsi="Times New Roman" w:cs="宋体"/>
                <w:b/>
                <w:color w:val="auto"/>
                <w:sz w:val="24"/>
                <w:highlight w:val="none"/>
                <w:lang w:val="en-US" w:eastAsia="zh-CN"/>
              </w:rPr>
              <w:t>2.</w:t>
            </w:r>
            <w:r>
              <w:rPr>
                <w:rFonts w:hint="eastAsia" w:cs="宋体"/>
                <w:b/>
                <w:color w:val="auto"/>
                <w:sz w:val="24"/>
                <w:highlight w:val="none"/>
                <w:lang w:val="en-US" w:eastAsia="zh-CN"/>
              </w:rPr>
              <w:t>8</w:t>
            </w:r>
            <w:r>
              <w:rPr>
                <w:rFonts w:hint="eastAsia" w:ascii="宋体" w:hAnsi="宋体" w:cs="宋体"/>
                <w:b/>
                <w:color w:val="auto"/>
                <w:sz w:val="24"/>
                <w:highlight w:val="none"/>
              </w:rPr>
              <w:t>平面布置</w:t>
            </w:r>
          </w:p>
          <w:p w14:paraId="34159207">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厂界为不规则多边形，生产厂房位于厂区中部，原料库位于生产车间</w:t>
            </w:r>
            <w:r>
              <w:rPr>
                <w:rFonts w:hint="eastAsia" w:ascii="Times New Roman" w:hAnsi="Times New Roman" w:cs="Times New Roman"/>
                <w:bCs/>
                <w:color w:val="auto"/>
                <w:sz w:val="24"/>
                <w:szCs w:val="24"/>
                <w:highlight w:val="none"/>
                <w:lang w:val="en-US" w:eastAsia="zh-CN"/>
              </w:rPr>
              <w:t>北侧</w:t>
            </w:r>
            <w:r>
              <w:rPr>
                <w:rFonts w:hint="default" w:ascii="Times New Roman" w:hAnsi="Times New Roman" w:cs="Times New Roman"/>
                <w:bCs/>
                <w:color w:val="auto"/>
                <w:sz w:val="24"/>
                <w:szCs w:val="24"/>
                <w:highlight w:val="none"/>
                <w:lang w:val="en-US" w:eastAsia="zh-CN"/>
              </w:rPr>
              <w:t>，产品库位于生产厂房</w:t>
            </w:r>
            <w:r>
              <w:rPr>
                <w:rFonts w:hint="eastAsia" w:ascii="Times New Roman" w:hAnsi="Times New Roman" w:cs="Times New Roman"/>
                <w:bCs/>
                <w:color w:val="auto"/>
                <w:sz w:val="24"/>
                <w:szCs w:val="24"/>
                <w:highlight w:val="none"/>
                <w:lang w:val="en-US" w:eastAsia="zh-CN"/>
              </w:rPr>
              <w:t>东侧</w:t>
            </w:r>
            <w:r>
              <w:rPr>
                <w:rFonts w:hint="default" w:ascii="Times New Roman" w:hAnsi="Times New Roman" w:cs="Times New Roman"/>
                <w:bCs/>
                <w:color w:val="auto"/>
                <w:sz w:val="24"/>
                <w:szCs w:val="24"/>
                <w:highlight w:val="none"/>
                <w:lang w:val="en-US" w:eastAsia="zh-CN"/>
              </w:rPr>
              <w:t>，初期雨水池位于厂区西南部。</w:t>
            </w:r>
            <w:r>
              <w:rPr>
                <w:rFonts w:hint="eastAsia" w:ascii="Times New Roman" w:hAnsi="Times New Roman" w:cs="Times New Roman"/>
                <w:bCs/>
                <w:color w:val="auto"/>
                <w:sz w:val="24"/>
                <w:szCs w:val="24"/>
                <w:highlight w:val="none"/>
                <w:lang w:val="en-US" w:eastAsia="zh-CN"/>
              </w:rPr>
              <w:t>办公室位于</w:t>
            </w:r>
            <w:r>
              <w:rPr>
                <w:rFonts w:hint="default" w:ascii="Times New Roman" w:hAnsi="Times New Roman" w:cs="Times New Roman"/>
                <w:bCs/>
                <w:color w:val="auto"/>
                <w:sz w:val="24"/>
                <w:szCs w:val="24"/>
                <w:highlight w:val="none"/>
                <w:lang w:val="en-US" w:eastAsia="zh-CN"/>
              </w:rPr>
              <w:t>生产厂房</w:t>
            </w:r>
            <w:r>
              <w:rPr>
                <w:rFonts w:hint="eastAsia" w:ascii="Times New Roman" w:hAnsi="Times New Roman" w:cs="Times New Roman"/>
                <w:bCs/>
                <w:color w:val="auto"/>
                <w:sz w:val="24"/>
                <w:szCs w:val="24"/>
                <w:highlight w:val="none"/>
                <w:lang w:val="en-US" w:eastAsia="zh-CN"/>
              </w:rPr>
              <w:t>东北侧。</w:t>
            </w:r>
          </w:p>
          <w:p w14:paraId="13DC7BE4">
            <w:pPr>
              <w:keepNext w:val="0"/>
              <w:keepLines w:val="0"/>
              <w:suppressLineNumbers w:val="0"/>
              <w:adjustRightInd w:val="0"/>
              <w:snapToGrid w:val="0"/>
              <w:spacing w:before="0" w:beforeAutospacing="0" w:after="0" w:afterAutospacing="0" w:line="360" w:lineRule="auto"/>
              <w:ind w:left="0" w:right="0"/>
              <w:rPr>
                <w:rFonts w:hint="eastAsia" w:ascii="宋体" w:hAnsi="宋体" w:cs="宋体"/>
                <w:b/>
                <w:color w:val="auto"/>
                <w:sz w:val="24"/>
                <w:highlight w:val="none"/>
              </w:rPr>
            </w:pPr>
            <w:r>
              <w:rPr>
                <w:rFonts w:hint="eastAsia" w:ascii="Times New Roman" w:hAnsi="Times New Roman" w:eastAsia="宋体" w:cs="宋体"/>
                <w:b/>
                <w:color w:val="auto"/>
                <w:sz w:val="24"/>
                <w:highlight w:val="none"/>
                <w:lang w:val="en-US" w:eastAsia="zh-CN"/>
              </w:rPr>
              <w:t>2.</w:t>
            </w:r>
            <w:r>
              <w:rPr>
                <w:rFonts w:hint="eastAsia" w:cs="宋体"/>
                <w:b/>
                <w:color w:val="auto"/>
                <w:sz w:val="24"/>
                <w:highlight w:val="none"/>
                <w:lang w:val="en-US" w:eastAsia="zh-CN"/>
              </w:rPr>
              <w:t>9</w:t>
            </w:r>
            <w:r>
              <w:rPr>
                <w:rFonts w:hint="eastAsia" w:ascii="宋体" w:hAnsi="宋体" w:cs="宋体"/>
                <w:b/>
                <w:color w:val="auto"/>
                <w:sz w:val="24"/>
                <w:highlight w:val="none"/>
              </w:rPr>
              <w:t>公</w:t>
            </w:r>
            <w:r>
              <w:rPr>
                <w:rFonts w:hint="eastAsia" w:ascii="宋体" w:hAnsi="宋体" w:cs="宋体"/>
                <w:b/>
                <w:color w:val="auto"/>
                <w:sz w:val="24"/>
                <w:highlight w:val="none"/>
                <w:lang w:val="en-US" w:eastAsia="zh-CN"/>
              </w:rPr>
              <w:t>辅</w:t>
            </w:r>
            <w:r>
              <w:rPr>
                <w:rFonts w:hint="eastAsia" w:ascii="宋体" w:hAnsi="宋体" w:cs="宋体"/>
                <w:b/>
                <w:color w:val="auto"/>
                <w:sz w:val="24"/>
                <w:highlight w:val="none"/>
              </w:rPr>
              <w:t>工程</w:t>
            </w:r>
          </w:p>
          <w:p w14:paraId="3CC30FC8">
            <w:pPr>
              <w:keepNext w:val="0"/>
              <w:keepLines w:val="0"/>
              <w:suppressLineNumbers w:val="0"/>
              <w:adjustRightInd w:val="0"/>
              <w:snapToGrid w:val="0"/>
              <w:spacing w:before="0" w:beforeAutospacing="0" w:after="0" w:afterAutospacing="0" w:line="360" w:lineRule="auto"/>
              <w:ind w:left="0" w:right="0"/>
              <w:rPr>
                <w:rFonts w:hint="eastAsia" w:ascii="宋体" w:hAnsi="宋体" w:cs="宋体"/>
                <w:b/>
                <w:color w:val="auto"/>
                <w:sz w:val="24"/>
                <w:highlight w:val="none"/>
              </w:rPr>
            </w:pPr>
            <w:r>
              <w:rPr>
                <w:rFonts w:hint="default" w:ascii="Times New Roman" w:hAnsi="Times New Roman" w:cs="Times New Roman"/>
                <w:b/>
                <w:color w:val="auto"/>
                <w:sz w:val="24"/>
                <w:highlight w:val="none"/>
                <w:lang w:val="en-US" w:eastAsia="zh-CN"/>
              </w:rPr>
              <w:t>2.</w:t>
            </w:r>
            <w:r>
              <w:rPr>
                <w:rFonts w:hint="eastAsia" w:cs="Times New Roman"/>
                <w:b/>
                <w:color w:val="auto"/>
                <w:sz w:val="24"/>
                <w:highlight w:val="none"/>
                <w:lang w:val="en-US" w:eastAsia="zh-CN"/>
              </w:rPr>
              <w:t>9</w:t>
            </w:r>
            <w:r>
              <w:rPr>
                <w:rFonts w:hint="default" w:ascii="Times New Roman" w:hAnsi="Times New Roman" w:cs="Times New Roman"/>
                <w:b/>
                <w:color w:val="auto"/>
                <w:sz w:val="24"/>
                <w:highlight w:val="none"/>
                <w:lang w:val="en-US" w:eastAsia="zh-CN"/>
              </w:rPr>
              <w:t>.1</w:t>
            </w:r>
            <w:r>
              <w:rPr>
                <w:rFonts w:hint="eastAsia" w:ascii="宋体" w:hAnsi="宋体" w:cs="宋体"/>
                <w:b/>
                <w:color w:val="auto"/>
                <w:sz w:val="24"/>
                <w:highlight w:val="none"/>
              </w:rPr>
              <w:t>给排水</w:t>
            </w:r>
          </w:p>
          <w:p w14:paraId="1FBE3EA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宋体" w:hAnsi="宋体" w:cs="宋体"/>
                <w:bCs/>
                <w:color w:val="auto"/>
                <w:sz w:val="24"/>
                <w:highlight w:val="none"/>
              </w:rPr>
            </w:pPr>
            <w:r>
              <w:rPr>
                <w:rFonts w:hint="eastAsia" w:ascii="Times New Roman" w:hAnsi="Times New Roman" w:cs="宋体"/>
                <w:bCs/>
                <w:color w:val="auto"/>
                <w:sz w:val="24"/>
                <w:highlight w:val="none"/>
                <w:lang w:eastAsia="zh-CN"/>
              </w:rPr>
              <w:t>（</w:t>
            </w:r>
            <w:r>
              <w:rPr>
                <w:rFonts w:hint="eastAsia" w:ascii="Times New Roman" w:hAnsi="Times New Roman" w:cs="宋体"/>
                <w:bCs/>
                <w:color w:val="auto"/>
                <w:sz w:val="24"/>
                <w:highlight w:val="none"/>
                <w:lang w:val="en-US" w:eastAsia="zh-CN"/>
              </w:rPr>
              <w:t>1</w:t>
            </w:r>
            <w:r>
              <w:rPr>
                <w:rFonts w:hint="eastAsia" w:ascii="Times New Roman" w:hAnsi="Times New Roman" w:cs="宋体"/>
                <w:bCs/>
                <w:color w:val="auto"/>
                <w:sz w:val="24"/>
                <w:highlight w:val="none"/>
                <w:lang w:eastAsia="zh-CN"/>
              </w:rPr>
              <w:t>）</w:t>
            </w:r>
            <w:r>
              <w:rPr>
                <w:rFonts w:hint="eastAsia" w:ascii="宋体" w:hAnsi="宋体" w:cs="宋体"/>
                <w:bCs/>
                <w:color w:val="auto"/>
                <w:sz w:val="24"/>
                <w:highlight w:val="none"/>
              </w:rPr>
              <w:t>水源</w:t>
            </w:r>
          </w:p>
          <w:p w14:paraId="40B5FAA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本项目</w:t>
            </w:r>
            <w:r>
              <w:rPr>
                <w:rFonts w:hint="default" w:ascii="Times New Roman" w:hAnsi="Times New Roman" w:eastAsia="宋体" w:cs="Times New Roman"/>
                <w:bCs/>
                <w:color w:val="auto"/>
                <w:sz w:val="24"/>
                <w:highlight w:val="none"/>
                <w:lang w:val="en-US" w:eastAsia="zh-CN"/>
              </w:rPr>
              <w:t>用水</w:t>
            </w:r>
            <w:r>
              <w:rPr>
                <w:rFonts w:hint="default" w:ascii="Times New Roman" w:hAnsi="Times New Roman" w:eastAsia="宋体" w:cs="Times New Roman"/>
                <w:bCs/>
                <w:color w:val="auto"/>
                <w:sz w:val="24"/>
                <w:szCs w:val="21"/>
                <w:highlight w:val="none"/>
                <w:lang w:val="en-US" w:eastAsia="zh-CN"/>
              </w:rPr>
              <w:t>为外购，采用罐车拉运</w:t>
            </w:r>
            <w:r>
              <w:rPr>
                <w:rFonts w:hint="default" w:ascii="Times New Roman" w:hAnsi="Times New Roman" w:eastAsia="宋体" w:cs="Times New Roman"/>
                <w:bCs/>
                <w:color w:val="auto"/>
                <w:sz w:val="24"/>
                <w:highlight w:val="none"/>
                <w:lang w:val="en-US" w:eastAsia="zh-CN"/>
              </w:rPr>
              <w:t>。</w:t>
            </w:r>
          </w:p>
          <w:p w14:paraId="453F1D20">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宋体" w:hAnsi="宋体" w:cs="宋体"/>
                <w:bCs/>
                <w:color w:val="auto"/>
                <w:sz w:val="24"/>
                <w:highlight w:val="none"/>
              </w:rPr>
            </w:pPr>
            <w:r>
              <w:rPr>
                <w:rFonts w:hint="eastAsia" w:ascii="Times New Roman" w:hAnsi="Times New Roman" w:cs="宋体"/>
                <w:bCs/>
                <w:color w:val="auto"/>
                <w:sz w:val="24"/>
                <w:highlight w:val="none"/>
                <w:lang w:eastAsia="zh-CN"/>
              </w:rPr>
              <w:t>（</w:t>
            </w:r>
            <w:r>
              <w:rPr>
                <w:rFonts w:hint="eastAsia" w:ascii="Times New Roman" w:hAnsi="Times New Roman" w:cs="宋体"/>
                <w:bCs/>
                <w:color w:val="auto"/>
                <w:sz w:val="24"/>
                <w:highlight w:val="none"/>
                <w:lang w:val="en-US" w:eastAsia="zh-CN"/>
              </w:rPr>
              <w:t>2</w:t>
            </w:r>
            <w:r>
              <w:rPr>
                <w:rFonts w:hint="eastAsia" w:ascii="Times New Roman" w:hAnsi="Times New Roman" w:cs="宋体"/>
                <w:bCs/>
                <w:color w:val="auto"/>
                <w:sz w:val="24"/>
                <w:highlight w:val="none"/>
                <w:lang w:eastAsia="zh-CN"/>
              </w:rPr>
              <w:t>）</w:t>
            </w:r>
            <w:r>
              <w:rPr>
                <w:rFonts w:hint="eastAsia" w:ascii="宋体" w:hAnsi="宋体" w:cs="宋体"/>
                <w:bCs/>
                <w:color w:val="auto"/>
                <w:sz w:val="24"/>
                <w:highlight w:val="none"/>
              </w:rPr>
              <w:t>给</w:t>
            </w:r>
            <w:r>
              <w:rPr>
                <w:rFonts w:hint="eastAsia" w:ascii="宋体" w:hAnsi="宋体" w:cs="宋体"/>
                <w:bCs/>
                <w:color w:val="auto"/>
                <w:sz w:val="24"/>
                <w:highlight w:val="none"/>
                <w:lang w:val="en-US" w:eastAsia="zh-CN"/>
              </w:rPr>
              <w:t>排</w:t>
            </w:r>
            <w:r>
              <w:rPr>
                <w:rFonts w:hint="eastAsia" w:ascii="宋体" w:hAnsi="宋体" w:cs="宋体"/>
                <w:bCs/>
                <w:color w:val="auto"/>
                <w:sz w:val="24"/>
                <w:highlight w:val="none"/>
              </w:rPr>
              <w:t>水</w:t>
            </w:r>
          </w:p>
          <w:p w14:paraId="35994C4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lang w:val="en-US" w:eastAsia="zh-CN"/>
              </w:rPr>
              <w:t>①厂区内道路</w:t>
            </w:r>
            <w:r>
              <w:rPr>
                <w:rFonts w:hint="default" w:ascii="Times New Roman" w:hAnsi="Times New Roman" w:eastAsia="宋体" w:cs="Times New Roman"/>
                <w:bCs/>
                <w:color w:val="auto"/>
                <w:sz w:val="24"/>
                <w:szCs w:val="24"/>
                <w:highlight w:val="none"/>
              </w:rPr>
              <w:t>洒水</w:t>
            </w:r>
          </w:p>
          <w:p w14:paraId="07B439B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rPr>
              <w:t>洒水定额参照《山西省用水定额第3部分：服务业用水定额》（DB14/T1049.3-2021）中表10浇洒道路</w:t>
            </w:r>
            <w:r>
              <w:rPr>
                <w:rFonts w:hint="default" w:ascii="Times New Roman" w:hAnsi="Times New Roman" w:eastAsia="宋体" w:cs="Times New Roman"/>
                <w:bCs/>
                <w:color w:val="auto"/>
                <w:sz w:val="24"/>
                <w:szCs w:val="24"/>
                <w:highlight w:val="none"/>
                <w:lang w:val="en-US" w:eastAsia="zh-CN"/>
              </w:rPr>
              <w:t>先进</w:t>
            </w:r>
            <w:r>
              <w:rPr>
                <w:rFonts w:hint="default" w:ascii="Times New Roman" w:hAnsi="Times New Roman" w:eastAsia="宋体" w:cs="Times New Roman"/>
                <w:bCs/>
                <w:color w:val="auto"/>
                <w:sz w:val="24"/>
                <w:szCs w:val="24"/>
                <w:highlight w:val="none"/>
              </w:rPr>
              <w:t>值用水定额—</w:t>
            </w:r>
            <w:r>
              <w:rPr>
                <w:rFonts w:hint="default" w:ascii="Times New Roman" w:hAnsi="Times New Roman" w:eastAsia="宋体" w:cs="Times New Roman"/>
                <w:bCs/>
                <w:color w:val="auto"/>
                <w:sz w:val="24"/>
                <w:szCs w:val="24"/>
                <w:highlight w:val="none"/>
                <w:lang w:val="en-US" w:eastAsia="zh-CN"/>
              </w:rPr>
              <w:t>1.5</w:t>
            </w:r>
            <w:r>
              <w:rPr>
                <w:rFonts w:hint="default" w:ascii="Times New Roman" w:hAnsi="Times New Roman" w:eastAsia="宋体" w:cs="Times New Roman"/>
                <w:bCs/>
                <w:color w:val="auto"/>
                <w:sz w:val="24"/>
                <w:szCs w:val="24"/>
                <w:highlight w:val="none"/>
              </w:rPr>
              <w:t>L/（m</w:t>
            </w:r>
            <w:r>
              <w:rPr>
                <w:rFonts w:hint="default" w:ascii="Times New Roman" w:hAnsi="Times New Roman" w:eastAsia="宋体" w:cs="Times New Roman"/>
                <w:bCs/>
                <w:color w:val="auto"/>
                <w:sz w:val="24"/>
                <w:szCs w:val="24"/>
                <w:highlight w:val="none"/>
                <w:vertAlign w:val="superscript"/>
              </w:rPr>
              <w:t>2</w:t>
            </w:r>
            <w:r>
              <w:rPr>
                <w:rFonts w:hint="default" w:ascii="Times New Roman" w:hAnsi="Times New Roman" w:eastAsia="宋体" w:cs="Times New Roman"/>
                <w:bCs/>
                <w:color w:val="auto"/>
                <w:sz w:val="24"/>
                <w:szCs w:val="24"/>
                <w:highlight w:val="none"/>
              </w:rPr>
              <w:t>·d），</w:t>
            </w:r>
            <w:r>
              <w:rPr>
                <w:rFonts w:hint="default" w:ascii="Times New Roman" w:hAnsi="Times New Roman" w:eastAsia="宋体" w:cs="Times New Roman"/>
                <w:bCs/>
                <w:color w:val="auto"/>
                <w:sz w:val="24"/>
                <w:szCs w:val="24"/>
                <w:highlight w:val="none"/>
                <w:lang w:val="en-US" w:eastAsia="zh-CN"/>
              </w:rPr>
              <w:t>全厂道路面积100m</w:t>
            </w:r>
            <w:r>
              <w:rPr>
                <w:rFonts w:hint="default" w:ascii="Times New Roman" w:hAnsi="Times New Roman" w:eastAsia="宋体" w:cs="Times New Roman"/>
                <w:bCs/>
                <w:color w:val="auto"/>
                <w:sz w:val="24"/>
                <w:szCs w:val="24"/>
                <w:highlight w:val="none"/>
                <w:vertAlign w:val="superscript"/>
                <w:lang w:val="en-US" w:eastAsia="zh-CN"/>
              </w:rPr>
              <w:t>2</w:t>
            </w:r>
            <w:r>
              <w:rPr>
                <w:rFonts w:hint="default" w:ascii="Times New Roman" w:hAnsi="Times New Roman" w:eastAsia="宋体" w:cs="Times New Roman"/>
                <w:bCs/>
                <w:color w:val="auto"/>
                <w:sz w:val="24"/>
                <w:szCs w:val="24"/>
                <w:highlight w:val="none"/>
              </w:rPr>
              <w:t>，道路洒水用水量为</w:t>
            </w:r>
            <w:r>
              <w:rPr>
                <w:rFonts w:hint="default" w:ascii="Times New Roman" w:hAnsi="Times New Roman" w:eastAsia="宋体" w:cs="Times New Roman"/>
                <w:bCs/>
                <w:color w:val="auto"/>
                <w:sz w:val="24"/>
                <w:szCs w:val="24"/>
                <w:highlight w:val="none"/>
                <w:lang w:val="en-US" w:eastAsia="zh-CN"/>
              </w:rPr>
              <w:t>0.15</w:t>
            </w:r>
            <w:r>
              <w:rPr>
                <w:rFonts w:hint="default" w:ascii="Times New Roman" w:hAnsi="Times New Roman" w:eastAsia="宋体" w:cs="Times New Roman"/>
                <w:bCs/>
                <w:color w:val="auto"/>
                <w:sz w:val="24"/>
                <w:szCs w:val="24"/>
                <w:highlight w:val="none"/>
              </w:rPr>
              <w:t>m</w:t>
            </w:r>
            <w:r>
              <w:rPr>
                <w:rFonts w:hint="default" w:ascii="Times New Roman" w:hAnsi="Times New Roman" w:eastAsia="宋体" w:cs="Times New Roman"/>
                <w:bCs/>
                <w:color w:val="auto"/>
                <w:sz w:val="24"/>
                <w:szCs w:val="24"/>
                <w:highlight w:val="none"/>
                <w:vertAlign w:val="superscript"/>
              </w:rPr>
              <w:t>3</w:t>
            </w:r>
            <w:r>
              <w:rPr>
                <w:rFonts w:hint="default" w:ascii="Times New Roman" w:hAnsi="Times New Roman" w:eastAsia="宋体" w:cs="Times New Roman"/>
                <w:bCs/>
                <w:color w:val="auto"/>
                <w:sz w:val="24"/>
                <w:szCs w:val="24"/>
                <w:highlight w:val="none"/>
              </w:rPr>
              <w:t>/d。</w:t>
            </w:r>
          </w:p>
          <w:p w14:paraId="3B61E53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②</w:t>
            </w:r>
            <w:r>
              <w:rPr>
                <w:rFonts w:hint="default" w:ascii="Times New Roman" w:hAnsi="Times New Roman" w:eastAsia="宋体" w:cs="Times New Roman"/>
                <w:snapToGrid w:val="0"/>
                <w:color w:val="auto"/>
                <w:sz w:val="24"/>
                <w:szCs w:val="24"/>
                <w:highlight w:val="none"/>
              </w:rPr>
              <w:t>本项目</w:t>
            </w:r>
            <w:r>
              <w:rPr>
                <w:rFonts w:hint="default"/>
                <w:color w:val="auto"/>
                <w:sz w:val="24"/>
                <w:szCs w:val="24"/>
                <w:highlight w:val="none"/>
              </w:rPr>
              <w:t>通过间接水冷的方式对玻璃微珠进行冷却</w:t>
            </w:r>
            <w:r>
              <w:rPr>
                <w:rFonts w:hint="default" w:ascii="Times New Roman" w:hAnsi="Times New Roman" w:eastAsia="宋体" w:cs="Times New Roman"/>
                <w:snapToGrid/>
                <w:color w:val="auto"/>
                <w:sz w:val="24"/>
                <w:szCs w:val="24"/>
                <w:highlight w:val="none"/>
              </w:rPr>
              <w:t>，</w:t>
            </w:r>
            <w:r>
              <w:rPr>
                <w:rFonts w:hint="eastAsia" w:ascii="Times New Roman" w:hAnsi="Times New Roman" w:cs="Times New Roman"/>
                <w:snapToGrid/>
                <w:color w:val="auto"/>
                <w:sz w:val="24"/>
                <w:szCs w:val="24"/>
                <w:highlight w:val="none"/>
                <w:lang w:val="en-US" w:eastAsia="zh-CN"/>
              </w:rPr>
              <w:t>设置1座20m</w:t>
            </w:r>
            <w:r>
              <w:rPr>
                <w:rFonts w:hint="eastAsia" w:ascii="Times New Roman" w:hAnsi="Times New Roman" w:cs="Times New Roman"/>
                <w:snapToGrid/>
                <w:color w:val="auto"/>
                <w:sz w:val="24"/>
                <w:szCs w:val="24"/>
                <w:highlight w:val="none"/>
                <w:vertAlign w:val="superscript"/>
                <w:lang w:val="en-US" w:eastAsia="zh-CN"/>
              </w:rPr>
              <w:t>3</w:t>
            </w:r>
            <w:r>
              <w:rPr>
                <w:rFonts w:hint="eastAsia" w:ascii="Times New Roman" w:hAnsi="Times New Roman" w:cs="Times New Roman"/>
                <w:snapToGrid/>
                <w:color w:val="auto"/>
                <w:sz w:val="24"/>
                <w:szCs w:val="24"/>
                <w:highlight w:val="none"/>
                <w:lang w:val="en-US" w:eastAsia="zh-CN"/>
              </w:rPr>
              <w:t>的循环水池，</w:t>
            </w:r>
            <w:r>
              <w:rPr>
                <w:rFonts w:hint="default" w:ascii="Times New Roman" w:hAnsi="Times New Roman" w:eastAsia="宋体" w:cs="Times New Roman"/>
                <w:snapToGrid w:val="0"/>
                <w:color w:val="auto"/>
                <w:sz w:val="24"/>
                <w:szCs w:val="24"/>
                <w:highlight w:val="none"/>
                <w:lang w:eastAsia="zh-CN"/>
              </w:rPr>
              <w:t>项目冷却系统总的循环能力为</w:t>
            </w:r>
            <w:r>
              <w:rPr>
                <w:rFonts w:hint="default" w:ascii="Times New Roman" w:hAnsi="Times New Roman" w:eastAsia="宋体" w:cs="Times New Roman"/>
                <w:snapToGrid w:val="0"/>
                <w:color w:val="auto"/>
                <w:sz w:val="24"/>
                <w:szCs w:val="24"/>
                <w:highlight w:val="none"/>
                <w:lang w:val="en-US" w:eastAsia="zh-CN"/>
              </w:rPr>
              <w:t>15m</w:t>
            </w:r>
            <w:r>
              <w:rPr>
                <w:rFonts w:hint="default" w:ascii="Times New Roman" w:hAnsi="Times New Roman" w:eastAsia="宋体" w:cs="Times New Roman"/>
                <w:snapToGrid w:val="0"/>
                <w:color w:val="auto"/>
                <w:sz w:val="24"/>
                <w:szCs w:val="24"/>
                <w:highlight w:val="none"/>
                <w:vertAlign w:val="superscript"/>
                <w:lang w:val="en-US" w:eastAsia="zh-CN"/>
              </w:rPr>
              <w:t>3</w:t>
            </w:r>
            <w:r>
              <w:rPr>
                <w:rFonts w:hint="default" w:ascii="Times New Roman" w:hAnsi="Times New Roman" w:eastAsia="宋体" w:cs="Times New Roman"/>
                <w:snapToGrid w:val="0"/>
                <w:color w:val="auto"/>
                <w:sz w:val="24"/>
                <w:szCs w:val="24"/>
                <w:highlight w:val="none"/>
                <w:lang w:val="en-US" w:eastAsia="zh-CN"/>
              </w:rPr>
              <w:t>/h，</w:t>
            </w:r>
            <w:r>
              <w:rPr>
                <w:rFonts w:hint="default" w:ascii="Times New Roman" w:hAnsi="Times New Roman" w:eastAsia="宋体" w:cs="Times New Roman"/>
                <w:snapToGrid w:val="0"/>
                <w:color w:val="auto"/>
                <w:sz w:val="24"/>
                <w:szCs w:val="24"/>
                <w:highlight w:val="none"/>
              </w:rPr>
              <w:t>根据《工业循环冷却水处理设计规范》（GB/T50050-2017），循环水系统损耗量约为循环水量的</w:t>
            </w:r>
            <w:r>
              <w:rPr>
                <w:rFonts w:hint="eastAsia" w:cs="Times New Roman"/>
                <w:snapToGrid w:val="0"/>
                <w:color w:val="auto"/>
                <w:sz w:val="24"/>
                <w:szCs w:val="24"/>
                <w:highlight w:val="none"/>
                <w:lang w:val="en-US" w:eastAsia="zh-CN"/>
              </w:rPr>
              <w:t>5</w:t>
            </w:r>
            <w:r>
              <w:rPr>
                <w:rFonts w:hint="default" w:ascii="Times New Roman" w:hAnsi="Times New Roman" w:eastAsia="宋体" w:cs="Times New Roman"/>
                <w:snapToGrid w:val="0"/>
                <w:color w:val="auto"/>
                <w:sz w:val="24"/>
                <w:szCs w:val="24"/>
                <w:highlight w:val="none"/>
              </w:rPr>
              <w:t>%，</w:t>
            </w:r>
            <w:r>
              <w:rPr>
                <w:rFonts w:hint="default" w:ascii="Times New Roman" w:hAnsi="Times New Roman" w:eastAsia="宋体" w:cs="Times New Roman"/>
                <w:snapToGrid w:val="0"/>
                <w:color w:val="auto"/>
                <w:sz w:val="24"/>
                <w:szCs w:val="24"/>
                <w:highlight w:val="none"/>
                <w:lang w:eastAsia="zh-CN"/>
              </w:rPr>
              <w:t>即补水量约为</w:t>
            </w:r>
            <w:r>
              <w:rPr>
                <w:rFonts w:hint="eastAsia" w:cs="Times New Roman"/>
                <w:snapToGrid w:val="0"/>
                <w:color w:val="auto"/>
                <w:sz w:val="24"/>
                <w:szCs w:val="24"/>
                <w:highlight w:val="none"/>
                <w:lang w:val="en-US" w:eastAsia="zh-CN"/>
              </w:rPr>
              <w:t>0.75</w:t>
            </w:r>
            <w:r>
              <w:rPr>
                <w:rFonts w:hint="default" w:ascii="Times New Roman" w:hAnsi="Times New Roman" w:eastAsia="宋体" w:cs="Times New Roman"/>
                <w:snapToGrid w:val="0"/>
                <w:color w:val="auto"/>
                <w:sz w:val="24"/>
                <w:szCs w:val="24"/>
                <w:highlight w:val="none"/>
                <w:lang w:val="en-US" w:eastAsia="zh-CN"/>
              </w:rPr>
              <w:t>m</w:t>
            </w:r>
            <w:r>
              <w:rPr>
                <w:rFonts w:hint="default" w:ascii="Times New Roman" w:hAnsi="Times New Roman" w:eastAsia="宋体" w:cs="Times New Roman"/>
                <w:snapToGrid w:val="0"/>
                <w:color w:val="auto"/>
                <w:sz w:val="24"/>
                <w:szCs w:val="24"/>
                <w:highlight w:val="none"/>
                <w:vertAlign w:val="superscript"/>
                <w:lang w:val="en-US" w:eastAsia="zh-CN"/>
              </w:rPr>
              <w:t>3</w:t>
            </w:r>
            <w:r>
              <w:rPr>
                <w:rFonts w:hint="default" w:ascii="Times New Roman" w:hAnsi="Times New Roman" w:eastAsia="宋体" w:cs="Times New Roman"/>
                <w:snapToGrid w:val="0"/>
                <w:color w:val="auto"/>
                <w:sz w:val="24"/>
                <w:szCs w:val="24"/>
                <w:highlight w:val="none"/>
                <w:lang w:val="en-US" w:eastAsia="zh-CN"/>
              </w:rPr>
              <w:t>/h</w:t>
            </w:r>
            <w:r>
              <w:rPr>
                <w:rFonts w:hint="eastAsia" w:cs="Times New Roman"/>
                <w:snapToGrid w:val="0"/>
                <w:color w:val="auto"/>
                <w:sz w:val="24"/>
                <w:szCs w:val="24"/>
                <w:highlight w:val="none"/>
                <w:lang w:val="en-US" w:eastAsia="zh-CN"/>
              </w:rPr>
              <w:t>（6</w:t>
            </w:r>
            <w:r>
              <w:rPr>
                <w:rFonts w:hint="default" w:ascii="Times New Roman" w:hAnsi="Times New Roman" w:eastAsia="宋体" w:cs="Times New Roman"/>
                <w:snapToGrid w:val="0"/>
                <w:color w:val="auto"/>
                <w:sz w:val="24"/>
                <w:szCs w:val="24"/>
                <w:highlight w:val="none"/>
                <w:lang w:val="en-US" w:eastAsia="zh-CN"/>
              </w:rPr>
              <w:t>m</w:t>
            </w:r>
            <w:r>
              <w:rPr>
                <w:rFonts w:hint="default" w:ascii="Times New Roman" w:hAnsi="Times New Roman" w:eastAsia="宋体" w:cs="Times New Roman"/>
                <w:snapToGrid w:val="0"/>
                <w:color w:val="auto"/>
                <w:sz w:val="24"/>
                <w:szCs w:val="24"/>
                <w:highlight w:val="none"/>
                <w:vertAlign w:val="superscript"/>
                <w:lang w:val="en-US" w:eastAsia="zh-CN"/>
              </w:rPr>
              <w:t>3</w:t>
            </w:r>
            <w:r>
              <w:rPr>
                <w:rFonts w:hint="default" w:ascii="Times New Roman" w:hAnsi="Times New Roman" w:eastAsia="宋体" w:cs="Times New Roman"/>
                <w:snapToGrid w:val="0"/>
                <w:color w:val="auto"/>
                <w:sz w:val="24"/>
                <w:szCs w:val="24"/>
                <w:highlight w:val="none"/>
                <w:lang w:val="en-US" w:eastAsia="zh-CN"/>
              </w:rPr>
              <w:t>/</w:t>
            </w:r>
            <w:r>
              <w:rPr>
                <w:rFonts w:hint="eastAsia" w:ascii="Times New Roman" w:hAnsi="Times New Roman" w:cs="Times New Roman"/>
                <w:snapToGrid w:val="0"/>
                <w:color w:val="auto"/>
                <w:sz w:val="24"/>
                <w:szCs w:val="24"/>
                <w:highlight w:val="none"/>
                <w:lang w:val="en-US" w:eastAsia="zh-CN"/>
              </w:rPr>
              <w:t>d</w:t>
            </w:r>
            <w:r>
              <w:rPr>
                <w:rFonts w:hint="eastAsia" w:cs="Times New Roman"/>
                <w:snapToGrid w:val="0"/>
                <w:color w:val="auto"/>
                <w:sz w:val="24"/>
                <w:szCs w:val="24"/>
                <w:highlight w:val="none"/>
                <w:lang w:val="en-US" w:eastAsia="zh-CN"/>
              </w:rPr>
              <w:t>）</w:t>
            </w:r>
            <w:r>
              <w:rPr>
                <w:rFonts w:hint="default" w:ascii="Times New Roman" w:hAnsi="Times New Roman" w:eastAsia="宋体" w:cs="Times New Roman"/>
                <w:snapToGrid w:val="0"/>
                <w:color w:val="auto"/>
                <w:sz w:val="24"/>
                <w:szCs w:val="24"/>
                <w:highlight w:val="none"/>
                <w:lang w:val="en-US" w:eastAsia="zh-CN"/>
              </w:rPr>
              <w:t>，则年用水量为</w:t>
            </w:r>
            <w:r>
              <w:rPr>
                <w:rFonts w:hint="eastAsia" w:cs="Times New Roman"/>
                <w:snapToGrid w:val="0"/>
                <w:color w:val="auto"/>
                <w:sz w:val="24"/>
                <w:szCs w:val="24"/>
                <w:highlight w:val="none"/>
                <w:lang w:val="en-US" w:eastAsia="zh-CN"/>
              </w:rPr>
              <w:t>1980</w:t>
            </w:r>
            <w:r>
              <w:rPr>
                <w:rFonts w:hint="default" w:ascii="Times New Roman" w:hAnsi="Times New Roman" w:eastAsia="宋体" w:cs="Times New Roman"/>
                <w:snapToGrid w:val="0"/>
                <w:color w:val="auto"/>
                <w:sz w:val="24"/>
                <w:szCs w:val="24"/>
                <w:highlight w:val="none"/>
                <w:lang w:val="en-US" w:eastAsia="zh-CN"/>
              </w:rPr>
              <w:t>m</w:t>
            </w:r>
            <w:r>
              <w:rPr>
                <w:rFonts w:hint="default" w:ascii="Times New Roman" w:hAnsi="Times New Roman" w:eastAsia="宋体" w:cs="Times New Roman"/>
                <w:snapToGrid w:val="0"/>
                <w:color w:val="auto"/>
                <w:sz w:val="24"/>
                <w:szCs w:val="24"/>
                <w:highlight w:val="none"/>
                <w:vertAlign w:val="superscript"/>
                <w:lang w:val="en-US" w:eastAsia="zh-CN"/>
              </w:rPr>
              <w:t>3</w:t>
            </w:r>
            <w:r>
              <w:rPr>
                <w:rFonts w:hint="default" w:ascii="Times New Roman" w:hAnsi="Times New Roman" w:eastAsia="宋体" w:cs="Times New Roman"/>
                <w:snapToGrid w:val="0"/>
                <w:color w:val="auto"/>
                <w:sz w:val="24"/>
                <w:szCs w:val="24"/>
                <w:highlight w:val="none"/>
                <w:lang w:val="en-US" w:eastAsia="zh-CN"/>
              </w:rPr>
              <w:t>/a</w:t>
            </w:r>
            <w:r>
              <w:rPr>
                <w:rFonts w:hint="default" w:ascii="Times New Roman" w:hAnsi="Times New Roman" w:eastAsia="宋体" w:cs="Times New Roman"/>
                <w:snapToGrid w:val="0"/>
                <w:color w:val="auto"/>
                <w:sz w:val="24"/>
                <w:szCs w:val="24"/>
                <w:highlight w:val="none"/>
              </w:rPr>
              <w:t>。</w:t>
            </w:r>
          </w:p>
          <w:p w14:paraId="00F63D2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③</w:t>
            </w:r>
            <w:r>
              <w:rPr>
                <w:rFonts w:hint="default" w:cs="Times New Roman"/>
                <w:bCs/>
                <w:color w:val="auto"/>
                <w:sz w:val="24"/>
                <w:szCs w:val="24"/>
                <w:highlight w:val="none"/>
                <w:lang w:val="en-US" w:eastAsia="zh-CN"/>
              </w:rPr>
              <w:t>绿化用水</w:t>
            </w:r>
          </w:p>
          <w:p w14:paraId="43A8D70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snapToGrid w:val="0"/>
                <w:color w:val="auto"/>
                <w:sz w:val="24"/>
                <w:highlight w:val="none"/>
                <w:lang w:val="en-US" w:eastAsia="zh-CN"/>
              </w:rPr>
              <w:t>本项目绿化面积约</w:t>
            </w:r>
            <w:r>
              <w:rPr>
                <w:rFonts w:hint="eastAsia" w:ascii="Times New Roman" w:hAnsi="Times New Roman" w:cs="Times New Roman"/>
                <w:snapToGrid w:val="0"/>
                <w:color w:val="auto"/>
                <w:sz w:val="24"/>
                <w:highlight w:val="none"/>
                <w:lang w:val="en-US" w:eastAsia="zh-CN"/>
              </w:rPr>
              <w:t>50</w:t>
            </w:r>
            <w:r>
              <w:rPr>
                <w:rFonts w:hint="eastAsia" w:ascii="Times New Roman" w:hAnsi="Times New Roman" w:eastAsia="宋体" w:cs="Times New Roman"/>
                <w:snapToGrid w:val="0"/>
                <w:color w:val="auto"/>
                <w:sz w:val="24"/>
                <w:highlight w:val="none"/>
                <w:lang w:val="en-US" w:eastAsia="zh-CN"/>
              </w:rPr>
              <w:t>m</w:t>
            </w:r>
            <w:r>
              <w:rPr>
                <w:rFonts w:hint="eastAsia" w:ascii="Times New Roman" w:hAnsi="Times New Roman" w:eastAsia="宋体" w:cs="Times New Roman"/>
                <w:snapToGrid w:val="0"/>
                <w:color w:val="auto"/>
                <w:sz w:val="24"/>
                <w:highlight w:val="none"/>
                <w:vertAlign w:val="superscript"/>
                <w:lang w:val="en-US" w:eastAsia="zh-CN"/>
              </w:rPr>
              <w:t>2</w:t>
            </w:r>
            <w:r>
              <w:rPr>
                <w:rFonts w:hint="eastAsia" w:ascii="Times New Roman" w:hAnsi="Times New Roman" w:eastAsia="宋体" w:cs="Times New Roman"/>
                <w:snapToGrid w:val="0"/>
                <w:color w:val="auto"/>
                <w:sz w:val="24"/>
                <w:highlight w:val="none"/>
                <w:lang w:val="en-US" w:eastAsia="zh-CN"/>
              </w:rPr>
              <w:t>，根据《山西省用水定额 第3部分：服务业用水定额》（DB14/T1049.3-2021），绿化洒水按1.5L（m</w:t>
            </w:r>
            <w:r>
              <w:rPr>
                <w:rFonts w:hint="eastAsia" w:ascii="Times New Roman" w:hAnsi="Times New Roman" w:eastAsia="宋体" w:cs="Times New Roman"/>
                <w:snapToGrid w:val="0"/>
                <w:color w:val="auto"/>
                <w:sz w:val="24"/>
                <w:highlight w:val="none"/>
                <w:vertAlign w:val="superscript"/>
                <w:lang w:val="en-US" w:eastAsia="zh-CN"/>
              </w:rPr>
              <w:t>2</w:t>
            </w:r>
            <w:r>
              <w:rPr>
                <w:rFonts w:hint="eastAsia" w:ascii="Times New Roman" w:hAnsi="Times New Roman" w:eastAsia="宋体" w:cs="Times New Roman"/>
                <w:snapToGrid w:val="0"/>
                <w:color w:val="auto"/>
                <w:sz w:val="24"/>
                <w:highlight w:val="none"/>
                <w:lang w:val="en-US" w:eastAsia="zh-CN"/>
              </w:rPr>
              <w:t>·d），洒水天数按照260天计算，则洒水量为</w:t>
            </w:r>
            <w:r>
              <w:rPr>
                <w:rFonts w:hint="eastAsia" w:ascii="Times New Roman" w:hAnsi="Times New Roman" w:cs="Times New Roman"/>
                <w:snapToGrid w:val="0"/>
                <w:color w:val="auto"/>
                <w:sz w:val="24"/>
                <w:highlight w:val="none"/>
                <w:lang w:val="en-US" w:eastAsia="zh-CN"/>
              </w:rPr>
              <w:t>0.075</w:t>
            </w:r>
            <w:r>
              <w:rPr>
                <w:rFonts w:hint="eastAsia" w:ascii="Times New Roman" w:hAnsi="Times New Roman" w:eastAsia="宋体" w:cs="Times New Roman"/>
                <w:snapToGrid w:val="0"/>
                <w:color w:val="auto"/>
                <w:sz w:val="24"/>
                <w:highlight w:val="none"/>
                <w:lang w:val="en-US" w:eastAsia="zh-CN"/>
              </w:rPr>
              <w:t>m</w:t>
            </w:r>
            <w:r>
              <w:rPr>
                <w:rFonts w:hint="eastAsia" w:ascii="Times New Roman" w:hAnsi="Times New Roman" w:eastAsia="宋体" w:cs="Times New Roman"/>
                <w:snapToGrid w:val="0"/>
                <w:color w:val="auto"/>
                <w:sz w:val="24"/>
                <w:highlight w:val="none"/>
                <w:vertAlign w:val="superscript"/>
                <w:lang w:val="en-US" w:eastAsia="zh-CN"/>
              </w:rPr>
              <w:t>3</w:t>
            </w:r>
            <w:r>
              <w:rPr>
                <w:rFonts w:hint="eastAsia" w:ascii="Times New Roman" w:hAnsi="Times New Roman" w:eastAsia="宋体" w:cs="Times New Roman"/>
                <w:snapToGrid w:val="0"/>
                <w:color w:val="auto"/>
                <w:sz w:val="24"/>
                <w:highlight w:val="none"/>
                <w:lang w:val="en-US" w:eastAsia="zh-CN"/>
              </w:rPr>
              <w:t>/d（</w:t>
            </w:r>
            <w:r>
              <w:rPr>
                <w:rFonts w:hint="eastAsia" w:ascii="Times New Roman" w:hAnsi="Times New Roman" w:cs="Times New Roman"/>
                <w:snapToGrid w:val="0"/>
                <w:color w:val="auto"/>
                <w:sz w:val="24"/>
                <w:highlight w:val="none"/>
                <w:lang w:val="en-US" w:eastAsia="zh-CN"/>
              </w:rPr>
              <w:t>19.5</w:t>
            </w:r>
            <w:r>
              <w:rPr>
                <w:rFonts w:hint="eastAsia" w:ascii="Times New Roman" w:hAnsi="Times New Roman" w:eastAsia="宋体" w:cs="Times New Roman"/>
                <w:snapToGrid w:val="0"/>
                <w:color w:val="auto"/>
                <w:sz w:val="24"/>
                <w:highlight w:val="none"/>
                <w:lang w:val="en-US" w:eastAsia="zh-CN"/>
              </w:rPr>
              <w:t>m</w:t>
            </w:r>
            <w:r>
              <w:rPr>
                <w:rFonts w:hint="eastAsia" w:ascii="Times New Roman" w:hAnsi="Times New Roman" w:eastAsia="宋体" w:cs="Times New Roman"/>
                <w:snapToGrid w:val="0"/>
                <w:color w:val="auto"/>
                <w:sz w:val="24"/>
                <w:highlight w:val="none"/>
                <w:vertAlign w:val="superscript"/>
                <w:lang w:val="en-US" w:eastAsia="zh-CN"/>
              </w:rPr>
              <w:t>3</w:t>
            </w:r>
            <w:r>
              <w:rPr>
                <w:rFonts w:hint="eastAsia" w:ascii="Times New Roman" w:hAnsi="Times New Roman" w:eastAsia="宋体" w:cs="Times New Roman"/>
                <w:snapToGrid w:val="0"/>
                <w:color w:val="auto"/>
                <w:sz w:val="24"/>
                <w:highlight w:val="none"/>
                <w:lang w:val="en-US" w:eastAsia="zh-CN"/>
              </w:rPr>
              <w:t>/a）。</w:t>
            </w:r>
          </w:p>
          <w:p w14:paraId="31B5726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szCs w:val="24"/>
                <w:highlight w:val="none"/>
                <w:lang w:eastAsia="zh-CN"/>
              </w:rPr>
            </w:pPr>
            <w:r>
              <w:rPr>
                <w:rFonts w:hint="default" w:ascii="Times New Roman" w:hAnsi="Times New Roman" w:eastAsia="宋体" w:cs="Times New Roman"/>
                <w:bCs/>
                <w:color w:val="auto"/>
                <w:sz w:val="24"/>
                <w:szCs w:val="24"/>
                <w:highlight w:val="none"/>
                <w:lang w:val="en-US" w:eastAsia="zh-CN"/>
              </w:rPr>
              <w:fldChar w:fldCharType="begin"/>
            </w:r>
            <w:r>
              <w:rPr>
                <w:rFonts w:hint="default" w:ascii="Times New Roman" w:hAnsi="Times New Roman" w:eastAsia="宋体" w:cs="Times New Roman"/>
                <w:bCs/>
                <w:color w:val="auto"/>
                <w:sz w:val="24"/>
                <w:szCs w:val="24"/>
                <w:highlight w:val="none"/>
                <w:lang w:val="en-US" w:eastAsia="zh-CN"/>
              </w:rPr>
              <w:instrText xml:space="preserve"> = 4 \* GB3 \* MERGEFORMAT </w:instrText>
            </w:r>
            <w:r>
              <w:rPr>
                <w:rFonts w:hint="default" w:ascii="Times New Roman" w:hAnsi="Times New Roman" w:eastAsia="宋体" w:cs="Times New Roman"/>
                <w:bCs/>
                <w:color w:val="auto"/>
                <w:sz w:val="24"/>
                <w:szCs w:val="24"/>
                <w:highlight w:val="none"/>
                <w:lang w:val="en-US" w:eastAsia="zh-CN"/>
              </w:rPr>
              <w:fldChar w:fldCharType="separate"/>
            </w:r>
            <w:r>
              <w:rPr>
                <w:rFonts w:hint="default"/>
                <w:color w:val="auto"/>
                <w:sz w:val="24"/>
                <w:szCs w:val="24"/>
              </w:rPr>
              <w:t>④</w:t>
            </w:r>
            <w:r>
              <w:rPr>
                <w:rFonts w:hint="default" w:ascii="Times New Roman" w:hAnsi="Times New Roman" w:eastAsia="宋体" w:cs="Times New Roman"/>
                <w:bCs/>
                <w:color w:val="auto"/>
                <w:sz w:val="24"/>
                <w:szCs w:val="24"/>
                <w:highlight w:val="none"/>
                <w:lang w:val="en-US" w:eastAsia="zh-CN"/>
              </w:rPr>
              <w:fldChar w:fldCharType="end"/>
            </w:r>
            <w:r>
              <w:rPr>
                <w:rFonts w:hint="default" w:cs="Times New Roman"/>
                <w:bCs/>
                <w:color w:val="auto"/>
                <w:sz w:val="24"/>
                <w:szCs w:val="24"/>
                <w:highlight w:val="none"/>
                <w:lang w:val="en-US" w:eastAsia="zh-CN"/>
              </w:rPr>
              <w:t>盥洗废水</w:t>
            </w:r>
          </w:p>
          <w:p w14:paraId="53DD48B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lang w:val="en-US" w:eastAsia="zh-CN"/>
              </w:rPr>
              <w:t>本项目定员10人，</w:t>
            </w:r>
            <w:r>
              <w:rPr>
                <w:rFonts w:hint="default" w:ascii="Times New Roman" w:hAnsi="Times New Roman" w:eastAsia="宋体" w:cs="Times New Roman"/>
                <w:bCs/>
                <w:color w:val="auto"/>
                <w:sz w:val="24"/>
                <w:szCs w:val="24"/>
                <w:highlight w:val="none"/>
              </w:rPr>
              <w:t>职工均为附近村庄居民，厂内</w:t>
            </w:r>
            <w:r>
              <w:rPr>
                <w:rFonts w:hint="default" w:ascii="Times New Roman" w:hAnsi="Times New Roman" w:eastAsia="宋体" w:cs="Times New Roman"/>
                <w:bCs/>
                <w:color w:val="auto"/>
                <w:sz w:val="24"/>
                <w:szCs w:val="24"/>
                <w:highlight w:val="none"/>
                <w:lang w:val="en-US" w:eastAsia="zh-CN"/>
              </w:rPr>
              <w:t>设宿舍</w:t>
            </w:r>
            <w:r>
              <w:rPr>
                <w:rFonts w:hint="default" w:ascii="Times New Roman" w:hAnsi="Times New Roman" w:eastAsia="宋体" w:cs="Times New Roman"/>
                <w:bCs/>
                <w:color w:val="auto"/>
                <w:sz w:val="24"/>
                <w:szCs w:val="24"/>
                <w:highlight w:val="none"/>
              </w:rPr>
              <w:t>、浴室</w:t>
            </w:r>
            <w:r>
              <w:rPr>
                <w:rFonts w:hint="default" w:ascii="Times New Roman" w:hAnsi="Times New Roman" w:eastAsia="宋体" w:cs="Times New Roman"/>
                <w:bCs/>
                <w:color w:val="auto"/>
                <w:sz w:val="24"/>
                <w:szCs w:val="24"/>
                <w:highlight w:val="none"/>
                <w:lang w:eastAsia="zh-CN"/>
              </w:rPr>
              <w:t>，</w:t>
            </w:r>
            <w:r>
              <w:rPr>
                <w:rFonts w:hint="default" w:ascii="Times New Roman" w:hAnsi="Times New Roman" w:eastAsia="宋体" w:cs="Times New Roman"/>
                <w:bCs/>
                <w:color w:val="auto"/>
                <w:sz w:val="24"/>
                <w:szCs w:val="24"/>
                <w:highlight w:val="none"/>
                <w:lang w:val="en-US" w:eastAsia="zh-CN"/>
              </w:rPr>
              <w:t>不设食堂</w:t>
            </w:r>
            <w:r>
              <w:rPr>
                <w:rFonts w:hint="default" w:ascii="Times New Roman" w:hAnsi="Times New Roman" w:eastAsia="宋体" w:cs="Times New Roman"/>
                <w:bCs/>
                <w:color w:val="auto"/>
                <w:sz w:val="24"/>
                <w:szCs w:val="24"/>
                <w:highlight w:val="none"/>
              </w:rPr>
              <w:t>。</w:t>
            </w:r>
          </w:p>
          <w:p w14:paraId="6E182CE5">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highlight w:val="yellow"/>
                <w:lang w:val="en-US" w:eastAsia="zh-CN"/>
              </w:rPr>
            </w:pPr>
            <w:r>
              <w:rPr>
                <w:rFonts w:hint="eastAsia" w:ascii="Times New Roman" w:hAnsi="Times New Roman" w:cs="Times New Roman"/>
                <w:bCs/>
                <w:color w:val="auto"/>
                <w:sz w:val="24"/>
                <w:highlight w:val="none"/>
                <w:lang w:val="en-US" w:eastAsia="zh-CN"/>
              </w:rPr>
              <w:t>参照</w:t>
            </w:r>
            <w:r>
              <w:rPr>
                <w:rFonts w:hint="eastAsia" w:ascii="宋体" w:hAnsi="宋体" w:cs="宋体"/>
                <w:bCs/>
                <w:color w:val="auto"/>
                <w:sz w:val="24"/>
                <w:highlight w:val="none"/>
              </w:rPr>
              <w:t>《山西省用水定额第</w:t>
            </w:r>
            <w:r>
              <w:rPr>
                <w:rFonts w:hint="eastAsia" w:ascii="Times New Roman" w:hAnsi="Times New Roman" w:cs="宋体"/>
                <w:bCs/>
                <w:color w:val="auto"/>
                <w:sz w:val="24"/>
                <w:highlight w:val="none"/>
                <w:lang w:val="en-US" w:eastAsia="zh-CN"/>
              </w:rPr>
              <w:t>4</w:t>
            </w:r>
            <w:r>
              <w:rPr>
                <w:rFonts w:hint="eastAsia" w:ascii="宋体" w:hAnsi="宋体" w:cs="宋体"/>
                <w:bCs/>
                <w:color w:val="auto"/>
                <w:sz w:val="24"/>
                <w:highlight w:val="none"/>
              </w:rPr>
              <w:t>部分：</w:t>
            </w:r>
            <w:r>
              <w:rPr>
                <w:rFonts w:hint="eastAsia" w:ascii="宋体" w:hAnsi="宋体" w:cs="宋体"/>
                <w:bCs/>
                <w:color w:val="auto"/>
                <w:sz w:val="24"/>
                <w:highlight w:val="none"/>
                <w:lang w:val="en-US" w:eastAsia="zh-CN"/>
              </w:rPr>
              <w:t>居民生活</w:t>
            </w:r>
            <w:r>
              <w:rPr>
                <w:rFonts w:hint="eastAsia" w:ascii="宋体" w:hAnsi="宋体" w:cs="宋体"/>
                <w:bCs/>
                <w:color w:val="auto"/>
                <w:sz w:val="24"/>
                <w:highlight w:val="none"/>
              </w:rPr>
              <w:t>额》（</w:t>
            </w:r>
            <w:r>
              <w:rPr>
                <w:rFonts w:hint="eastAsia" w:ascii="Times New Roman" w:hAnsi="Times New Roman" w:cs="宋体"/>
                <w:bCs/>
                <w:color w:val="auto"/>
                <w:sz w:val="24"/>
                <w:highlight w:val="none"/>
              </w:rPr>
              <w:t>DB14</w:t>
            </w:r>
            <w:r>
              <w:rPr>
                <w:rFonts w:hint="eastAsia" w:ascii="宋体" w:hAnsi="宋体" w:cs="宋体"/>
                <w:bCs/>
                <w:color w:val="auto"/>
                <w:sz w:val="24"/>
                <w:highlight w:val="none"/>
              </w:rPr>
              <w:t>/</w:t>
            </w:r>
            <w:r>
              <w:rPr>
                <w:rFonts w:hint="eastAsia" w:ascii="Times New Roman" w:hAnsi="Times New Roman" w:cs="宋体"/>
                <w:bCs/>
                <w:color w:val="auto"/>
                <w:sz w:val="24"/>
                <w:highlight w:val="none"/>
              </w:rPr>
              <w:t>T1049</w:t>
            </w:r>
            <w:r>
              <w:rPr>
                <w:rFonts w:hint="eastAsia" w:ascii="宋体" w:hAnsi="宋体" w:cs="宋体"/>
                <w:bCs/>
                <w:color w:val="auto"/>
                <w:sz w:val="24"/>
                <w:highlight w:val="none"/>
              </w:rPr>
              <w:t>.</w:t>
            </w:r>
            <w:r>
              <w:rPr>
                <w:rFonts w:hint="eastAsia" w:ascii="Times New Roman" w:hAnsi="Times New Roman" w:cs="宋体"/>
                <w:bCs/>
                <w:color w:val="auto"/>
                <w:sz w:val="24"/>
                <w:highlight w:val="none"/>
                <w:lang w:val="en-US" w:eastAsia="zh-CN"/>
              </w:rPr>
              <w:t>4</w:t>
            </w:r>
            <w:r>
              <w:rPr>
                <w:rFonts w:hint="eastAsia" w:ascii="宋体" w:hAnsi="宋体" w:cs="宋体"/>
                <w:bCs/>
                <w:color w:val="auto"/>
                <w:sz w:val="24"/>
                <w:highlight w:val="none"/>
              </w:rPr>
              <w:t>-</w:t>
            </w:r>
            <w:r>
              <w:rPr>
                <w:rFonts w:hint="eastAsia" w:ascii="Times New Roman" w:hAnsi="Times New Roman" w:cs="宋体"/>
                <w:bCs/>
                <w:color w:val="auto"/>
                <w:sz w:val="24"/>
                <w:highlight w:val="none"/>
                <w:lang w:val="en-US" w:eastAsia="zh-CN"/>
              </w:rPr>
              <w:t>2025</w:t>
            </w:r>
            <w:r>
              <w:rPr>
                <w:rFonts w:hint="eastAsia" w:ascii="宋体" w:hAnsi="宋体" w:cs="宋体"/>
                <w:bCs/>
                <w:color w:val="auto"/>
                <w:sz w:val="24"/>
                <w:highlight w:val="none"/>
              </w:rPr>
              <w:t>）</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中表3农村分散式供水用水定额——</w:t>
            </w:r>
            <w:r>
              <w:rPr>
                <w:rFonts w:hint="eastAsia" w:ascii="Times New Roman" w:hAnsi="Times New Roman" w:cs="Times New Roman"/>
                <w:bCs/>
                <w:color w:val="auto"/>
                <w:sz w:val="24"/>
                <w:highlight w:val="none"/>
                <w:lang w:val="en-US" w:eastAsia="zh-CN"/>
              </w:rPr>
              <w:t>80</w:t>
            </w:r>
            <w:r>
              <w:rPr>
                <w:rFonts w:hint="default" w:ascii="Times New Roman" w:hAnsi="Times New Roman" w:cs="Times New Roman"/>
                <w:bCs/>
                <w:color w:val="auto"/>
                <w:sz w:val="24"/>
                <w:highlight w:val="none"/>
              </w:rPr>
              <w:t>L/人·天</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则</w:t>
            </w:r>
            <w:r>
              <w:rPr>
                <w:rFonts w:hint="default" w:ascii="Times New Roman" w:hAnsi="Times New Roman" w:cs="Times New Roman"/>
                <w:bCs/>
                <w:color w:val="auto"/>
                <w:sz w:val="24"/>
                <w:highlight w:val="none"/>
                <w:lang w:val="en-US" w:eastAsia="zh-CN"/>
              </w:rPr>
              <w:t>本项目职工</w:t>
            </w:r>
            <w:r>
              <w:rPr>
                <w:rFonts w:hint="default" w:ascii="Times New Roman" w:hAnsi="Times New Roman" w:cs="Times New Roman"/>
                <w:bCs/>
                <w:color w:val="auto"/>
                <w:sz w:val="24"/>
                <w:highlight w:val="none"/>
              </w:rPr>
              <w:t>日</w:t>
            </w:r>
            <w:r>
              <w:rPr>
                <w:rFonts w:hint="default" w:ascii="Times New Roman" w:hAnsi="Times New Roman" w:eastAsia="宋体" w:cs="Times New Roman"/>
                <w:bCs/>
                <w:color w:val="auto"/>
                <w:sz w:val="24"/>
                <w:highlight w:val="none"/>
              </w:rPr>
              <w:t>常洗漱用水量为</w:t>
            </w:r>
            <w:r>
              <w:rPr>
                <w:rFonts w:hint="eastAsia" w:ascii="Times New Roman" w:hAnsi="Times New Roman" w:eastAsia="宋体" w:cs="Times New Roman"/>
                <w:bCs/>
                <w:color w:val="auto"/>
                <w:sz w:val="24"/>
                <w:highlight w:val="none"/>
                <w:lang w:val="en-US" w:eastAsia="zh-CN"/>
              </w:rPr>
              <w:t>0.8</w:t>
            </w:r>
            <w:r>
              <w:rPr>
                <w:rFonts w:hint="default" w:ascii="Times New Roman" w:hAnsi="Times New Roman" w:eastAsia="宋体" w:cs="Times New Roman"/>
                <w:bCs/>
                <w:color w:val="auto"/>
                <w:sz w:val="24"/>
                <w:highlight w:val="none"/>
              </w:rPr>
              <w:t>m</w:t>
            </w:r>
            <w:r>
              <w:rPr>
                <w:rFonts w:hint="default" w:ascii="Times New Roman" w:hAnsi="Times New Roman" w:eastAsia="宋体" w:cs="Times New Roman"/>
                <w:bCs/>
                <w:color w:val="auto"/>
                <w:sz w:val="24"/>
                <w:highlight w:val="none"/>
                <w:vertAlign w:val="superscript"/>
              </w:rPr>
              <w:t>3</w:t>
            </w:r>
            <w:r>
              <w:rPr>
                <w:rFonts w:hint="default" w:ascii="Times New Roman" w:hAnsi="Times New Roman" w:eastAsia="宋体" w:cs="Times New Roman"/>
                <w:bCs/>
                <w:color w:val="auto"/>
                <w:sz w:val="24"/>
                <w:highlight w:val="none"/>
              </w:rPr>
              <w:t>/d。</w:t>
            </w:r>
            <w:r>
              <w:rPr>
                <w:rFonts w:hint="default" w:ascii="Times New Roman" w:hAnsi="Times New Roman" w:eastAsia="宋体" w:cs="Times New Roman"/>
                <w:color w:val="auto"/>
                <w:kern w:val="0"/>
                <w:sz w:val="24"/>
                <w:szCs w:val="24"/>
                <w:highlight w:val="none"/>
                <w:lang w:val="en-US" w:eastAsia="zh-CN" w:bidi="ar"/>
              </w:rPr>
              <w:t>按产污系数0.8计算</w:t>
            </w:r>
            <w:r>
              <w:rPr>
                <w:rFonts w:hint="eastAsia" w:ascii="Times New Roman" w:hAnsi="Times New Roman" w:eastAsia="宋体" w:cs="Times New Roman"/>
                <w:color w:val="auto"/>
                <w:kern w:val="0"/>
                <w:sz w:val="24"/>
                <w:szCs w:val="24"/>
                <w:highlight w:val="none"/>
                <w:lang w:val="en-US" w:eastAsia="zh-CN" w:bidi="ar"/>
              </w:rPr>
              <w:t>，则</w:t>
            </w:r>
            <w:r>
              <w:rPr>
                <w:rFonts w:hint="eastAsia" w:cs="Times New Roman"/>
                <w:color w:val="auto"/>
                <w:kern w:val="0"/>
                <w:sz w:val="24"/>
                <w:szCs w:val="24"/>
                <w:highlight w:val="none"/>
                <w:lang w:val="en-US" w:eastAsia="zh-CN" w:bidi="ar"/>
              </w:rPr>
              <w:t>盥洗废水</w:t>
            </w:r>
            <w:r>
              <w:rPr>
                <w:rFonts w:hint="eastAsia" w:ascii="Times New Roman" w:hAnsi="Times New Roman" w:cs="Times New Roman"/>
                <w:color w:val="auto"/>
                <w:sz w:val="24"/>
                <w:szCs w:val="24"/>
                <w:highlight w:val="none"/>
                <w:lang w:val="en-US" w:eastAsia="zh-CN"/>
              </w:rPr>
              <w:t>产生量为0.64</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/d，</w:t>
            </w:r>
            <w:r>
              <w:rPr>
                <w:rFonts w:hint="eastAsia" w:ascii="Times New Roman" w:hAnsi="Times New Roman" w:cs="Times New Roman"/>
                <w:color w:val="auto"/>
                <w:sz w:val="24"/>
                <w:szCs w:val="24"/>
                <w:highlight w:val="none"/>
                <w:lang w:val="en-US" w:eastAsia="zh-CN"/>
              </w:rPr>
              <w:t>用于</w:t>
            </w:r>
            <w:r>
              <w:rPr>
                <w:rFonts w:hint="default" w:ascii="Times New Roman" w:hAnsi="Times New Roman" w:cs="Times New Roman"/>
                <w:color w:val="auto"/>
                <w:sz w:val="24"/>
                <w:szCs w:val="24"/>
                <w:highlight w:val="none"/>
                <w:lang w:val="en-US" w:eastAsia="zh-CN"/>
              </w:rPr>
              <w:t>厂区增湿抑尘</w:t>
            </w:r>
            <w:r>
              <w:rPr>
                <w:rFonts w:hint="eastAsia" w:ascii="Times New Roman" w:hAnsi="Times New Roman" w:cs="Times New Roman"/>
                <w:color w:val="auto"/>
                <w:sz w:val="24"/>
                <w:szCs w:val="24"/>
                <w:highlight w:val="none"/>
                <w:lang w:val="en-US" w:eastAsia="zh-CN"/>
              </w:rPr>
              <w:t>。</w:t>
            </w:r>
          </w:p>
          <w:p w14:paraId="32B6112F">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员工如厕采用卫生旱厕，由环卫部门定期清掏。</w:t>
            </w:r>
          </w:p>
          <w:p w14:paraId="4DE411BA">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表</w:t>
            </w:r>
            <w:r>
              <w:rPr>
                <w:rFonts w:hint="default" w:ascii="Times New Roman" w:hAnsi="Times New Roman" w:eastAsia="宋体" w:cs="Times New Roman"/>
                <w:b/>
                <w:color w:val="auto"/>
                <w:sz w:val="24"/>
                <w:szCs w:val="24"/>
                <w:highlight w:val="none"/>
                <w:lang w:val="en-US" w:eastAsia="zh-CN"/>
              </w:rPr>
              <w:t>2-</w:t>
            </w:r>
            <w:r>
              <w:rPr>
                <w:rFonts w:hint="eastAsia" w:cs="Times New Roman"/>
                <w:b/>
                <w:color w:val="auto"/>
                <w:sz w:val="24"/>
                <w:szCs w:val="24"/>
                <w:highlight w:val="none"/>
                <w:lang w:val="en-US" w:eastAsia="zh-CN"/>
              </w:rPr>
              <w:t>8</w:t>
            </w:r>
            <w:r>
              <w:rPr>
                <w:rFonts w:hint="default" w:ascii="Times New Roman" w:hAnsi="Times New Roman" w:eastAsia="宋体" w:cs="Times New Roman"/>
                <w:b/>
                <w:color w:val="auto"/>
                <w:sz w:val="24"/>
                <w:szCs w:val="24"/>
                <w:highlight w:val="none"/>
                <w:lang w:val="en-US" w:eastAsia="zh-CN"/>
              </w:rPr>
              <w:t>本</w:t>
            </w:r>
            <w:r>
              <w:rPr>
                <w:rFonts w:hint="default" w:ascii="Times New Roman" w:hAnsi="Times New Roman" w:eastAsia="宋体" w:cs="Times New Roman"/>
                <w:b/>
                <w:color w:val="auto"/>
                <w:sz w:val="24"/>
                <w:szCs w:val="24"/>
                <w:highlight w:val="none"/>
              </w:rPr>
              <w:t>项目用水量及废水产生量一览表单位：m</w:t>
            </w:r>
            <w:r>
              <w:rPr>
                <w:rFonts w:hint="default" w:ascii="Times New Roman" w:hAnsi="Times New Roman" w:eastAsia="宋体" w:cs="Times New Roman"/>
                <w:b/>
                <w:color w:val="auto"/>
                <w:sz w:val="24"/>
                <w:szCs w:val="24"/>
                <w:highlight w:val="none"/>
                <w:vertAlign w:val="superscript"/>
              </w:rPr>
              <w:t>3</w:t>
            </w:r>
            <w:r>
              <w:rPr>
                <w:rFonts w:hint="default" w:ascii="Times New Roman" w:hAnsi="Times New Roman" w:eastAsia="宋体" w:cs="Times New Roman"/>
                <w:b/>
                <w:color w:val="auto"/>
                <w:sz w:val="24"/>
                <w:szCs w:val="24"/>
                <w:highlight w:val="none"/>
              </w:rPr>
              <w:t>/d</w:t>
            </w:r>
          </w:p>
          <w:tbl>
            <w:tblPr>
              <w:tblStyle w:val="23"/>
              <w:tblW w:w="4996"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49"/>
              <w:gridCol w:w="1548"/>
              <w:gridCol w:w="1212"/>
              <w:gridCol w:w="883"/>
              <w:gridCol w:w="1909"/>
              <w:gridCol w:w="905"/>
              <w:gridCol w:w="905"/>
            </w:tblGrid>
            <w:tr w14:paraId="117E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371" w:type="pct"/>
                  <w:gridSpan w:val="2"/>
                  <w:noWrap w:val="0"/>
                  <w:vAlign w:val="center"/>
                </w:tcPr>
                <w:p w14:paraId="177AD1FB">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cs="宋体"/>
                      <w:b/>
                      <w:color w:val="auto"/>
                      <w:sz w:val="21"/>
                      <w:szCs w:val="21"/>
                      <w:highlight w:val="none"/>
                    </w:rPr>
                  </w:pPr>
                  <w:r>
                    <w:rPr>
                      <w:rFonts w:hint="eastAsia" w:ascii="宋体" w:hAnsi="宋体" w:cs="宋体"/>
                      <w:b/>
                      <w:color w:val="auto"/>
                      <w:sz w:val="21"/>
                      <w:szCs w:val="21"/>
                      <w:highlight w:val="none"/>
                    </w:rPr>
                    <w:t>用水类型</w:t>
                  </w:r>
                </w:p>
              </w:tc>
              <w:tc>
                <w:tcPr>
                  <w:tcW w:w="1307" w:type="pct"/>
                  <w:gridSpan w:val="2"/>
                  <w:noWrap w:val="0"/>
                  <w:vAlign w:val="center"/>
                </w:tcPr>
                <w:p w14:paraId="5920C98C">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cs="宋体"/>
                      <w:b/>
                      <w:color w:val="auto"/>
                      <w:sz w:val="21"/>
                      <w:szCs w:val="21"/>
                      <w:highlight w:val="none"/>
                    </w:rPr>
                  </w:pPr>
                  <w:r>
                    <w:rPr>
                      <w:rFonts w:hint="eastAsia" w:ascii="宋体" w:hAnsi="宋体" w:cs="宋体"/>
                      <w:b/>
                      <w:color w:val="auto"/>
                      <w:sz w:val="21"/>
                      <w:szCs w:val="21"/>
                      <w:highlight w:val="none"/>
                    </w:rPr>
                    <w:t>用水量指标</w:t>
                  </w:r>
                </w:p>
              </w:tc>
              <w:tc>
                <w:tcPr>
                  <w:tcW w:w="1191" w:type="pct"/>
                  <w:noWrap w:val="0"/>
                  <w:vAlign w:val="center"/>
                </w:tcPr>
                <w:p w14:paraId="55C60B0F">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cs="宋体"/>
                      <w:b/>
                      <w:color w:val="auto"/>
                      <w:sz w:val="21"/>
                      <w:szCs w:val="21"/>
                      <w:highlight w:val="none"/>
                    </w:rPr>
                  </w:pPr>
                  <w:r>
                    <w:rPr>
                      <w:rFonts w:hint="eastAsia" w:ascii="宋体" w:hAnsi="宋体" w:cs="宋体"/>
                      <w:b/>
                      <w:color w:val="auto"/>
                      <w:sz w:val="21"/>
                      <w:szCs w:val="21"/>
                      <w:highlight w:val="none"/>
                    </w:rPr>
                    <w:t>用水量（</w:t>
                  </w:r>
                  <w:r>
                    <w:rPr>
                      <w:rFonts w:hint="eastAsia" w:ascii="Times New Roman" w:hAnsi="Times New Roman" w:cs="宋体"/>
                      <w:b/>
                      <w:color w:val="auto"/>
                      <w:sz w:val="21"/>
                      <w:szCs w:val="21"/>
                      <w:highlight w:val="none"/>
                    </w:rPr>
                    <w:t>m</w:t>
                  </w:r>
                  <w:r>
                    <w:rPr>
                      <w:rFonts w:hint="eastAsia" w:ascii="Times New Roman" w:hAnsi="Times New Roman" w:cs="宋体"/>
                      <w:b/>
                      <w:color w:val="auto"/>
                      <w:sz w:val="21"/>
                      <w:szCs w:val="21"/>
                      <w:highlight w:val="none"/>
                      <w:vertAlign w:val="superscript"/>
                    </w:rPr>
                    <w:t>3</w:t>
                  </w:r>
                  <w:r>
                    <w:rPr>
                      <w:rFonts w:hint="eastAsia" w:ascii="Times New Roman" w:hAnsi="Times New Roman" w:cs="宋体"/>
                      <w:b/>
                      <w:color w:val="auto"/>
                      <w:sz w:val="21"/>
                      <w:szCs w:val="21"/>
                      <w:highlight w:val="none"/>
                    </w:rPr>
                    <w:t>/d</w:t>
                  </w:r>
                  <w:r>
                    <w:rPr>
                      <w:rFonts w:hint="eastAsia" w:ascii="宋体" w:hAnsi="宋体" w:cs="宋体"/>
                      <w:b/>
                      <w:color w:val="auto"/>
                      <w:sz w:val="21"/>
                      <w:szCs w:val="21"/>
                      <w:highlight w:val="none"/>
                    </w:rPr>
                    <w:t>）</w:t>
                  </w:r>
                </w:p>
              </w:tc>
              <w:tc>
                <w:tcPr>
                  <w:tcW w:w="565" w:type="pct"/>
                  <w:noWrap w:val="0"/>
                  <w:vAlign w:val="center"/>
                </w:tcPr>
                <w:p w14:paraId="0EAC8EF2">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废水量</w:t>
                  </w:r>
                  <w:r>
                    <w:rPr>
                      <w:rFonts w:hint="eastAsia" w:ascii="宋体" w:hAnsi="宋体" w:cs="宋体"/>
                      <w:b/>
                      <w:color w:val="auto"/>
                      <w:sz w:val="21"/>
                      <w:szCs w:val="21"/>
                      <w:highlight w:val="none"/>
                    </w:rPr>
                    <w:t>（</w:t>
                  </w:r>
                  <w:r>
                    <w:rPr>
                      <w:rFonts w:hint="eastAsia" w:ascii="Times New Roman" w:hAnsi="Times New Roman" w:cs="宋体"/>
                      <w:b/>
                      <w:color w:val="auto"/>
                      <w:sz w:val="21"/>
                      <w:szCs w:val="21"/>
                      <w:highlight w:val="none"/>
                    </w:rPr>
                    <w:t>m</w:t>
                  </w:r>
                  <w:r>
                    <w:rPr>
                      <w:rFonts w:hint="eastAsia" w:ascii="Times New Roman" w:hAnsi="Times New Roman" w:cs="宋体"/>
                      <w:b/>
                      <w:color w:val="auto"/>
                      <w:sz w:val="21"/>
                      <w:szCs w:val="21"/>
                      <w:highlight w:val="none"/>
                      <w:vertAlign w:val="superscript"/>
                    </w:rPr>
                    <w:t>3</w:t>
                  </w:r>
                  <w:r>
                    <w:rPr>
                      <w:rFonts w:hint="eastAsia" w:ascii="Times New Roman" w:hAnsi="Times New Roman" w:cs="宋体"/>
                      <w:b/>
                      <w:color w:val="auto"/>
                      <w:sz w:val="21"/>
                      <w:szCs w:val="21"/>
                      <w:highlight w:val="none"/>
                    </w:rPr>
                    <w:t>/d</w:t>
                  </w:r>
                  <w:r>
                    <w:rPr>
                      <w:rFonts w:hint="eastAsia" w:ascii="宋体" w:hAnsi="宋体" w:cs="宋体"/>
                      <w:b/>
                      <w:color w:val="auto"/>
                      <w:sz w:val="21"/>
                      <w:szCs w:val="21"/>
                      <w:highlight w:val="none"/>
                    </w:rPr>
                    <w:t>）</w:t>
                  </w:r>
                </w:p>
              </w:tc>
              <w:tc>
                <w:tcPr>
                  <w:tcW w:w="565" w:type="pct"/>
                  <w:noWrap w:val="0"/>
                  <w:vAlign w:val="center"/>
                </w:tcPr>
                <w:p w14:paraId="7BA9B66B">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cs="宋体"/>
                      <w:b/>
                      <w:color w:val="auto"/>
                      <w:sz w:val="21"/>
                      <w:szCs w:val="21"/>
                      <w:highlight w:val="none"/>
                    </w:rPr>
                  </w:pPr>
                  <w:r>
                    <w:rPr>
                      <w:rFonts w:hint="eastAsia" w:ascii="宋体" w:hAnsi="宋体" w:cs="宋体"/>
                      <w:b/>
                      <w:color w:val="auto"/>
                      <w:sz w:val="21"/>
                      <w:szCs w:val="21"/>
                      <w:highlight w:val="none"/>
                    </w:rPr>
                    <w:t>排水量（</w:t>
                  </w:r>
                  <w:r>
                    <w:rPr>
                      <w:rFonts w:hint="eastAsia" w:ascii="Times New Roman" w:hAnsi="Times New Roman" w:cs="宋体"/>
                      <w:b/>
                      <w:color w:val="auto"/>
                      <w:sz w:val="21"/>
                      <w:szCs w:val="21"/>
                      <w:highlight w:val="none"/>
                    </w:rPr>
                    <w:t>m</w:t>
                  </w:r>
                  <w:r>
                    <w:rPr>
                      <w:rFonts w:hint="eastAsia" w:ascii="Times New Roman" w:hAnsi="Times New Roman" w:cs="宋体"/>
                      <w:b/>
                      <w:color w:val="auto"/>
                      <w:sz w:val="21"/>
                      <w:szCs w:val="21"/>
                      <w:highlight w:val="none"/>
                      <w:vertAlign w:val="superscript"/>
                    </w:rPr>
                    <w:t>3</w:t>
                  </w:r>
                  <w:r>
                    <w:rPr>
                      <w:rFonts w:hint="eastAsia" w:ascii="Times New Roman" w:hAnsi="Times New Roman" w:cs="宋体"/>
                      <w:b/>
                      <w:color w:val="auto"/>
                      <w:sz w:val="21"/>
                      <w:szCs w:val="21"/>
                      <w:highlight w:val="none"/>
                    </w:rPr>
                    <w:t>/d</w:t>
                  </w:r>
                  <w:r>
                    <w:rPr>
                      <w:rFonts w:hint="eastAsia" w:ascii="宋体" w:hAnsi="宋体" w:cs="宋体"/>
                      <w:b/>
                      <w:color w:val="auto"/>
                      <w:sz w:val="21"/>
                      <w:szCs w:val="21"/>
                      <w:highlight w:val="none"/>
                    </w:rPr>
                    <w:t>）</w:t>
                  </w:r>
                </w:p>
              </w:tc>
            </w:tr>
            <w:tr w14:paraId="4DBD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5" w:type="pct"/>
                  <w:noWrap w:val="0"/>
                  <w:vAlign w:val="center"/>
                </w:tcPr>
                <w:p w14:paraId="7A65BD8D">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bCs/>
                      <w:color w:val="auto"/>
                      <w:sz w:val="21"/>
                      <w:szCs w:val="21"/>
                      <w:highlight w:val="none"/>
                      <w:lang w:eastAsia="zh-CN"/>
                    </w:rPr>
                  </w:pPr>
                  <w:r>
                    <w:rPr>
                      <w:rFonts w:hint="eastAsia" w:ascii="宋体" w:hAnsi="宋体" w:cs="宋体"/>
                      <w:bCs/>
                      <w:color w:val="auto"/>
                      <w:sz w:val="21"/>
                      <w:szCs w:val="21"/>
                      <w:highlight w:val="none"/>
                      <w:lang w:val="en-US" w:eastAsia="zh-CN"/>
                    </w:rPr>
                    <w:t>盥洗用水</w:t>
                  </w:r>
                </w:p>
              </w:tc>
              <w:tc>
                <w:tcPr>
                  <w:tcW w:w="965" w:type="pct"/>
                  <w:noWrap w:val="0"/>
                  <w:vAlign w:val="center"/>
                </w:tcPr>
                <w:p w14:paraId="53DE2CDE">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cs="宋体"/>
                      <w:bCs/>
                      <w:color w:val="auto"/>
                      <w:sz w:val="21"/>
                      <w:szCs w:val="21"/>
                      <w:highlight w:val="none"/>
                    </w:rPr>
                  </w:pPr>
                  <w:r>
                    <w:rPr>
                      <w:rFonts w:hint="eastAsia" w:ascii="宋体" w:hAnsi="宋体" w:cs="宋体"/>
                      <w:bCs/>
                      <w:color w:val="auto"/>
                      <w:sz w:val="21"/>
                      <w:szCs w:val="21"/>
                      <w:highlight w:val="none"/>
                    </w:rPr>
                    <w:t>职工日常用水</w:t>
                  </w:r>
                </w:p>
              </w:tc>
              <w:tc>
                <w:tcPr>
                  <w:tcW w:w="756" w:type="pct"/>
                  <w:noWrap w:val="0"/>
                  <w:vAlign w:val="center"/>
                </w:tcPr>
                <w:p w14:paraId="4F9C4AC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lang w:val="en-US" w:eastAsia="zh-CN"/>
                    </w:rPr>
                    <w:t>80</w:t>
                  </w:r>
                  <w:r>
                    <w:rPr>
                      <w:rFonts w:hint="default" w:ascii="Times New Roman" w:hAnsi="Times New Roman" w:cs="Times New Roman"/>
                      <w:bCs/>
                      <w:color w:val="auto"/>
                      <w:sz w:val="21"/>
                      <w:szCs w:val="21"/>
                      <w:highlight w:val="none"/>
                    </w:rPr>
                    <w:t>L/人·d</w:t>
                  </w:r>
                </w:p>
              </w:tc>
              <w:tc>
                <w:tcPr>
                  <w:tcW w:w="551" w:type="pct"/>
                  <w:noWrap w:val="0"/>
                  <w:vAlign w:val="center"/>
                </w:tcPr>
                <w:p w14:paraId="54EAAE3A">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cs="宋体"/>
                      <w:bCs/>
                      <w:color w:val="auto"/>
                      <w:sz w:val="21"/>
                      <w:szCs w:val="21"/>
                      <w:highlight w:val="none"/>
                    </w:rPr>
                  </w:pPr>
                  <w:r>
                    <w:rPr>
                      <w:rFonts w:hint="eastAsia" w:ascii="Times New Roman" w:hAnsi="Times New Roman" w:cs="宋体"/>
                      <w:bCs/>
                      <w:color w:val="auto"/>
                      <w:sz w:val="21"/>
                      <w:szCs w:val="21"/>
                      <w:highlight w:val="none"/>
                      <w:lang w:val="en-US" w:eastAsia="zh-CN"/>
                    </w:rPr>
                    <w:t>10</w:t>
                  </w:r>
                  <w:r>
                    <w:rPr>
                      <w:rFonts w:hint="eastAsia" w:ascii="宋体" w:hAnsi="宋体" w:cs="宋体"/>
                      <w:bCs/>
                      <w:color w:val="auto"/>
                      <w:sz w:val="21"/>
                      <w:szCs w:val="21"/>
                      <w:highlight w:val="none"/>
                    </w:rPr>
                    <w:t>人</w:t>
                  </w:r>
                </w:p>
              </w:tc>
              <w:tc>
                <w:tcPr>
                  <w:tcW w:w="1191" w:type="pct"/>
                  <w:noWrap w:val="0"/>
                  <w:vAlign w:val="center"/>
                </w:tcPr>
                <w:p w14:paraId="26A0CC4C">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cs="宋体"/>
                      <w:bCs/>
                      <w:color w:val="auto"/>
                      <w:sz w:val="21"/>
                      <w:szCs w:val="21"/>
                      <w:highlight w:val="none"/>
                      <w:lang w:val="en-US" w:eastAsia="zh-CN"/>
                    </w:rPr>
                  </w:pPr>
                  <w:r>
                    <w:rPr>
                      <w:rFonts w:hint="eastAsia" w:ascii="Times New Roman" w:hAnsi="Times New Roman" w:cs="宋体"/>
                      <w:bCs/>
                      <w:color w:val="auto"/>
                      <w:sz w:val="21"/>
                      <w:szCs w:val="21"/>
                      <w:highlight w:val="none"/>
                      <w:lang w:val="en-US" w:eastAsia="zh-CN"/>
                    </w:rPr>
                    <w:t>0.8</w:t>
                  </w:r>
                </w:p>
              </w:tc>
              <w:tc>
                <w:tcPr>
                  <w:tcW w:w="565" w:type="pct"/>
                  <w:noWrap w:val="0"/>
                  <w:vAlign w:val="center"/>
                </w:tcPr>
                <w:p w14:paraId="2AAC59F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宋体"/>
                      <w:bCs/>
                      <w:color w:val="auto"/>
                      <w:sz w:val="21"/>
                      <w:szCs w:val="21"/>
                      <w:highlight w:val="none"/>
                      <w:lang w:val="en-US" w:eastAsia="zh-CN"/>
                    </w:rPr>
                  </w:pPr>
                  <w:r>
                    <w:rPr>
                      <w:rFonts w:hint="eastAsia" w:ascii="Times New Roman" w:hAnsi="Times New Roman" w:eastAsia="宋体" w:cs="宋体"/>
                      <w:bCs/>
                      <w:color w:val="auto"/>
                      <w:sz w:val="21"/>
                      <w:szCs w:val="21"/>
                      <w:highlight w:val="none"/>
                      <w:lang w:val="en-US" w:eastAsia="zh-CN"/>
                    </w:rPr>
                    <w:t>0.64</w:t>
                  </w:r>
                </w:p>
              </w:tc>
              <w:tc>
                <w:tcPr>
                  <w:tcW w:w="565" w:type="pct"/>
                  <w:noWrap w:val="0"/>
                  <w:vAlign w:val="center"/>
                </w:tcPr>
                <w:p w14:paraId="039BA3B2">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宋体"/>
                      <w:bCs/>
                      <w:color w:val="auto"/>
                      <w:sz w:val="21"/>
                      <w:szCs w:val="21"/>
                      <w:highlight w:val="none"/>
                      <w:lang w:val="en-US" w:eastAsia="zh-CN"/>
                    </w:rPr>
                  </w:pPr>
                  <w:r>
                    <w:rPr>
                      <w:rFonts w:hint="eastAsia" w:ascii="Times New Roman" w:hAnsi="Times New Roman" w:eastAsia="宋体" w:cs="宋体"/>
                      <w:bCs/>
                      <w:color w:val="auto"/>
                      <w:sz w:val="21"/>
                      <w:szCs w:val="21"/>
                      <w:highlight w:val="none"/>
                      <w:lang w:val="en-US" w:eastAsia="zh-CN"/>
                    </w:rPr>
                    <w:t>0</w:t>
                  </w:r>
                </w:p>
              </w:tc>
            </w:tr>
            <w:tr w14:paraId="0AC3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 w:hRule="atLeast"/>
              </w:trPr>
              <w:tc>
                <w:tcPr>
                  <w:tcW w:w="405" w:type="pct"/>
                  <w:noWrap w:val="0"/>
                  <w:vAlign w:val="center"/>
                </w:tcPr>
                <w:p w14:paraId="66E264B5">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宋体"/>
                      <w:bCs/>
                      <w:color w:val="auto"/>
                      <w:sz w:val="21"/>
                      <w:szCs w:val="21"/>
                      <w:highlight w:val="none"/>
                      <w:lang w:val="en-US" w:eastAsia="zh-CN"/>
                    </w:rPr>
                  </w:pPr>
                  <w:r>
                    <w:rPr>
                      <w:rFonts w:hint="eastAsia" w:ascii="Times New Roman" w:hAnsi="Times New Roman" w:eastAsia="宋体" w:cs="宋体"/>
                      <w:bCs/>
                      <w:color w:val="auto"/>
                      <w:sz w:val="21"/>
                      <w:szCs w:val="21"/>
                      <w:highlight w:val="none"/>
                      <w:lang w:val="en-US" w:eastAsia="zh-CN"/>
                    </w:rPr>
                    <w:t>道路</w:t>
                  </w:r>
                </w:p>
              </w:tc>
              <w:tc>
                <w:tcPr>
                  <w:tcW w:w="965" w:type="pct"/>
                  <w:noWrap w:val="0"/>
                  <w:vAlign w:val="center"/>
                </w:tcPr>
                <w:p w14:paraId="6B811E25">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宋体"/>
                      <w:bCs/>
                      <w:color w:val="auto"/>
                      <w:sz w:val="21"/>
                      <w:szCs w:val="21"/>
                      <w:highlight w:val="none"/>
                      <w:lang w:val="en-US" w:eastAsia="zh-CN"/>
                    </w:rPr>
                  </w:pPr>
                  <w:r>
                    <w:rPr>
                      <w:rFonts w:hint="eastAsia" w:ascii="Times New Roman" w:hAnsi="Times New Roman" w:eastAsia="宋体" w:cs="宋体"/>
                      <w:bCs/>
                      <w:color w:val="auto"/>
                      <w:sz w:val="21"/>
                      <w:szCs w:val="21"/>
                      <w:highlight w:val="none"/>
                      <w:lang w:val="en-US" w:eastAsia="zh-CN"/>
                    </w:rPr>
                    <w:t>厂区内道路洒水</w:t>
                  </w:r>
                </w:p>
              </w:tc>
              <w:tc>
                <w:tcPr>
                  <w:tcW w:w="756" w:type="pct"/>
                  <w:noWrap w:val="0"/>
                  <w:vAlign w:val="center"/>
                </w:tcPr>
                <w:p w14:paraId="43198284">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宋体"/>
                      <w:bCs/>
                      <w:color w:val="auto"/>
                      <w:sz w:val="21"/>
                      <w:szCs w:val="21"/>
                      <w:highlight w:val="none"/>
                      <w:lang w:val="en-US" w:eastAsia="zh-CN"/>
                    </w:rPr>
                  </w:pPr>
                  <w:r>
                    <w:rPr>
                      <w:rFonts w:hint="eastAsia" w:ascii="Times New Roman" w:hAnsi="Times New Roman" w:eastAsia="宋体" w:cs="宋体"/>
                      <w:bCs/>
                      <w:color w:val="auto"/>
                      <w:sz w:val="21"/>
                      <w:szCs w:val="21"/>
                      <w:highlight w:val="none"/>
                      <w:lang w:val="en-US" w:eastAsia="zh-CN"/>
                    </w:rPr>
                    <w:t>1.5L/</w:t>
                  </w:r>
                  <w:r>
                    <w:rPr>
                      <w:rFonts w:hint="eastAsia" w:cs="宋体"/>
                      <w:bCs/>
                      <w:color w:val="auto"/>
                      <w:sz w:val="21"/>
                      <w:szCs w:val="21"/>
                      <w:highlight w:val="none"/>
                      <w:lang w:val="en-US" w:eastAsia="zh-CN"/>
                    </w:rPr>
                    <w:t>(</w:t>
                  </w:r>
                  <w:r>
                    <w:rPr>
                      <w:rFonts w:hint="eastAsia" w:ascii="Times New Roman" w:hAnsi="Times New Roman" w:eastAsia="宋体" w:cs="宋体"/>
                      <w:bCs/>
                      <w:color w:val="auto"/>
                      <w:sz w:val="21"/>
                      <w:szCs w:val="21"/>
                      <w:highlight w:val="none"/>
                      <w:lang w:val="en-US" w:eastAsia="zh-CN"/>
                    </w:rPr>
                    <w:t>m</w:t>
                  </w:r>
                  <w:r>
                    <w:rPr>
                      <w:rFonts w:hint="eastAsia" w:ascii="Times New Roman" w:hAnsi="Times New Roman" w:eastAsia="宋体" w:cs="宋体"/>
                      <w:bCs/>
                      <w:color w:val="auto"/>
                      <w:sz w:val="21"/>
                      <w:szCs w:val="21"/>
                      <w:highlight w:val="none"/>
                      <w:vertAlign w:val="superscript"/>
                      <w:lang w:val="en-US" w:eastAsia="zh-CN"/>
                    </w:rPr>
                    <w:t>2</w:t>
                  </w:r>
                  <w:r>
                    <w:rPr>
                      <w:rFonts w:hint="eastAsia" w:ascii="Times New Roman" w:hAnsi="Times New Roman" w:eastAsia="宋体" w:cs="宋体"/>
                      <w:bCs/>
                      <w:color w:val="auto"/>
                      <w:sz w:val="21"/>
                      <w:szCs w:val="21"/>
                      <w:highlight w:val="none"/>
                      <w:lang w:val="en-US" w:eastAsia="zh-CN"/>
                    </w:rPr>
                    <w:t>·d</w:t>
                  </w:r>
                  <w:r>
                    <w:rPr>
                      <w:rFonts w:hint="eastAsia" w:cs="宋体"/>
                      <w:bCs/>
                      <w:color w:val="auto"/>
                      <w:sz w:val="21"/>
                      <w:szCs w:val="21"/>
                      <w:highlight w:val="none"/>
                      <w:lang w:val="en-US" w:eastAsia="zh-CN"/>
                    </w:rPr>
                    <w:t>)</w:t>
                  </w:r>
                </w:p>
              </w:tc>
              <w:tc>
                <w:tcPr>
                  <w:tcW w:w="551" w:type="pct"/>
                  <w:noWrap w:val="0"/>
                  <w:vAlign w:val="center"/>
                </w:tcPr>
                <w:p w14:paraId="65B9F2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105" w:leftChars="-50" w:right="-105" w:rightChars="-50"/>
                    <w:jc w:val="center"/>
                    <w:textAlignment w:val="auto"/>
                    <w:rPr>
                      <w:rFonts w:hint="eastAsia" w:ascii="Times New Roman" w:hAnsi="Times New Roman" w:eastAsia="宋体" w:cs="宋体"/>
                      <w:bCs/>
                      <w:color w:val="auto"/>
                      <w:sz w:val="21"/>
                      <w:szCs w:val="21"/>
                      <w:highlight w:val="none"/>
                      <w:lang w:val="en-US" w:eastAsia="zh-CN"/>
                    </w:rPr>
                  </w:pPr>
                  <w:r>
                    <w:rPr>
                      <w:rFonts w:hint="eastAsia" w:ascii="Times New Roman" w:hAnsi="Times New Roman" w:eastAsia="宋体" w:cs="宋体"/>
                      <w:bCs/>
                      <w:color w:val="auto"/>
                      <w:sz w:val="21"/>
                      <w:szCs w:val="21"/>
                      <w:highlight w:val="none"/>
                      <w:lang w:val="en-US" w:eastAsia="zh-CN"/>
                    </w:rPr>
                    <w:t>100m</w:t>
                  </w:r>
                  <w:r>
                    <w:rPr>
                      <w:rFonts w:hint="eastAsia" w:ascii="Times New Roman" w:hAnsi="Times New Roman" w:eastAsia="宋体" w:cs="宋体"/>
                      <w:bCs/>
                      <w:color w:val="auto"/>
                      <w:sz w:val="21"/>
                      <w:szCs w:val="21"/>
                      <w:highlight w:val="none"/>
                      <w:vertAlign w:val="superscript"/>
                      <w:lang w:val="en-US" w:eastAsia="zh-CN"/>
                    </w:rPr>
                    <w:t>2</w:t>
                  </w:r>
                </w:p>
              </w:tc>
              <w:tc>
                <w:tcPr>
                  <w:tcW w:w="1191" w:type="pct"/>
                  <w:noWrap w:val="0"/>
                  <w:vAlign w:val="center"/>
                </w:tcPr>
                <w:p w14:paraId="08E0ABE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宋体"/>
                      <w:bCs/>
                      <w:color w:val="auto"/>
                      <w:sz w:val="21"/>
                      <w:szCs w:val="21"/>
                      <w:highlight w:val="none"/>
                      <w:lang w:val="en-US" w:eastAsia="zh-CN"/>
                    </w:rPr>
                  </w:pPr>
                  <w:r>
                    <w:rPr>
                      <w:rFonts w:hint="eastAsia" w:ascii="Times New Roman" w:hAnsi="Times New Roman" w:eastAsia="宋体" w:cs="宋体"/>
                      <w:bCs/>
                      <w:color w:val="auto"/>
                      <w:sz w:val="21"/>
                      <w:szCs w:val="21"/>
                      <w:highlight w:val="none"/>
                      <w:lang w:val="en-US" w:eastAsia="zh-CN"/>
                    </w:rPr>
                    <w:t>0.15</w:t>
                  </w:r>
                </w:p>
              </w:tc>
              <w:tc>
                <w:tcPr>
                  <w:tcW w:w="565" w:type="pct"/>
                  <w:noWrap w:val="0"/>
                  <w:vAlign w:val="center"/>
                </w:tcPr>
                <w:p w14:paraId="2CD2B8BC">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宋体"/>
                      <w:bCs/>
                      <w:color w:val="auto"/>
                      <w:sz w:val="21"/>
                      <w:szCs w:val="21"/>
                      <w:highlight w:val="none"/>
                      <w:lang w:val="en-US" w:eastAsia="zh-CN"/>
                    </w:rPr>
                  </w:pPr>
                  <w:r>
                    <w:rPr>
                      <w:rFonts w:hint="eastAsia" w:ascii="Times New Roman" w:hAnsi="Times New Roman" w:eastAsia="宋体" w:cs="宋体"/>
                      <w:bCs/>
                      <w:color w:val="auto"/>
                      <w:sz w:val="21"/>
                      <w:szCs w:val="21"/>
                      <w:highlight w:val="none"/>
                      <w:lang w:val="en-US" w:eastAsia="zh-CN"/>
                    </w:rPr>
                    <w:t>0</w:t>
                  </w:r>
                </w:p>
              </w:tc>
              <w:tc>
                <w:tcPr>
                  <w:tcW w:w="565" w:type="pct"/>
                  <w:noWrap w:val="0"/>
                  <w:vAlign w:val="center"/>
                </w:tcPr>
                <w:p w14:paraId="18FF15BA">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宋体"/>
                      <w:bCs/>
                      <w:color w:val="auto"/>
                      <w:sz w:val="21"/>
                      <w:szCs w:val="21"/>
                      <w:highlight w:val="none"/>
                      <w:lang w:val="en-US" w:eastAsia="zh-CN"/>
                    </w:rPr>
                  </w:pPr>
                  <w:r>
                    <w:rPr>
                      <w:rFonts w:hint="eastAsia" w:ascii="Times New Roman" w:hAnsi="Times New Roman" w:eastAsia="宋体" w:cs="宋体"/>
                      <w:bCs/>
                      <w:color w:val="auto"/>
                      <w:sz w:val="21"/>
                      <w:szCs w:val="21"/>
                      <w:highlight w:val="none"/>
                      <w:lang w:val="en-US" w:eastAsia="zh-CN"/>
                    </w:rPr>
                    <w:t>0</w:t>
                  </w:r>
                </w:p>
              </w:tc>
            </w:tr>
            <w:tr w14:paraId="1A61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 w:hRule="atLeast"/>
              </w:trPr>
              <w:tc>
                <w:tcPr>
                  <w:tcW w:w="405" w:type="pct"/>
                  <w:noWrap w:val="0"/>
                  <w:vAlign w:val="center"/>
                </w:tcPr>
                <w:p w14:paraId="69BDD2F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宋体"/>
                      <w:bCs/>
                      <w:color w:val="auto"/>
                      <w:sz w:val="21"/>
                      <w:szCs w:val="21"/>
                      <w:highlight w:val="none"/>
                      <w:lang w:val="en-US" w:eastAsia="zh-CN"/>
                    </w:rPr>
                  </w:pPr>
                  <w:r>
                    <w:rPr>
                      <w:rFonts w:hint="eastAsia" w:cs="宋体"/>
                      <w:bCs/>
                      <w:color w:val="auto"/>
                      <w:sz w:val="21"/>
                      <w:szCs w:val="21"/>
                      <w:highlight w:val="none"/>
                      <w:lang w:val="en-US" w:eastAsia="zh-CN"/>
                    </w:rPr>
                    <w:t>绿化</w:t>
                  </w:r>
                </w:p>
              </w:tc>
              <w:tc>
                <w:tcPr>
                  <w:tcW w:w="965" w:type="pct"/>
                  <w:noWrap w:val="0"/>
                  <w:vAlign w:val="center"/>
                </w:tcPr>
                <w:p w14:paraId="6E1C239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宋体"/>
                      <w:bCs/>
                      <w:color w:val="auto"/>
                      <w:sz w:val="21"/>
                      <w:szCs w:val="21"/>
                      <w:highlight w:val="none"/>
                      <w:lang w:val="en-US" w:eastAsia="zh-CN"/>
                    </w:rPr>
                  </w:pPr>
                  <w:r>
                    <w:rPr>
                      <w:rFonts w:hint="eastAsia" w:cs="宋体"/>
                      <w:bCs/>
                      <w:color w:val="auto"/>
                      <w:sz w:val="21"/>
                      <w:szCs w:val="21"/>
                      <w:highlight w:val="none"/>
                      <w:lang w:val="en-US" w:eastAsia="zh-CN"/>
                    </w:rPr>
                    <w:t>绿化用水</w:t>
                  </w:r>
                </w:p>
              </w:tc>
              <w:tc>
                <w:tcPr>
                  <w:tcW w:w="756" w:type="pct"/>
                  <w:noWrap w:val="0"/>
                  <w:vAlign w:val="center"/>
                </w:tcPr>
                <w:p w14:paraId="3EC6B26E">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宋体"/>
                      <w:bCs/>
                      <w:color w:val="auto"/>
                      <w:sz w:val="21"/>
                      <w:szCs w:val="21"/>
                      <w:highlight w:val="none"/>
                      <w:lang w:val="en-US" w:eastAsia="zh-CN"/>
                    </w:rPr>
                  </w:pPr>
                  <w:r>
                    <w:rPr>
                      <w:rFonts w:hint="eastAsia" w:ascii="Times New Roman" w:hAnsi="Times New Roman" w:eastAsia="宋体" w:cs="Times New Roman"/>
                      <w:snapToGrid w:val="0"/>
                      <w:color w:val="auto"/>
                      <w:sz w:val="21"/>
                      <w:highlight w:val="none"/>
                      <w:lang w:val="en-US" w:eastAsia="zh-CN"/>
                    </w:rPr>
                    <w:t>1.5L</w:t>
                  </w:r>
                  <w:r>
                    <w:rPr>
                      <w:rFonts w:hint="eastAsia" w:cs="Times New Roman"/>
                      <w:snapToGrid w:val="0"/>
                      <w:color w:val="auto"/>
                      <w:sz w:val="21"/>
                      <w:highlight w:val="none"/>
                      <w:lang w:val="en-US" w:eastAsia="zh-CN"/>
                    </w:rPr>
                    <w:t>(</w:t>
                  </w:r>
                  <w:r>
                    <w:rPr>
                      <w:rFonts w:hint="eastAsia" w:ascii="Times New Roman" w:hAnsi="Times New Roman" w:eastAsia="宋体" w:cs="Times New Roman"/>
                      <w:snapToGrid w:val="0"/>
                      <w:color w:val="auto"/>
                      <w:sz w:val="21"/>
                      <w:highlight w:val="none"/>
                      <w:lang w:val="en-US" w:eastAsia="zh-CN"/>
                    </w:rPr>
                    <w:t>m</w:t>
                  </w:r>
                  <w:r>
                    <w:rPr>
                      <w:rFonts w:hint="eastAsia" w:ascii="Times New Roman" w:hAnsi="Times New Roman" w:eastAsia="宋体" w:cs="Times New Roman"/>
                      <w:snapToGrid w:val="0"/>
                      <w:color w:val="auto"/>
                      <w:sz w:val="21"/>
                      <w:highlight w:val="none"/>
                      <w:vertAlign w:val="superscript"/>
                      <w:lang w:val="en-US" w:eastAsia="zh-CN"/>
                    </w:rPr>
                    <w:t>2</w:t>
                  </w:r>
                  <w:r>
                    <w:rPr>
                      <w:rFonts w:hint="eastAsia" w:ascii="Times New Roman" w:hAnsi="Times New Roman" w:eastAsia="宋体" w:cs="Times New Roman"/>
                      <w:snapToGrid w:val="0"/>
                      <w:color w:val="auto"/>
                      <w:sz w:val="21"/>
                      <w:highlight w:val="none"/>
                      <w:lang w:val="en-US" w:eastAsia="zh-CN"/>
                    </w:rPr>
                    <w:t>·d</w:t>
                  </w:r>
                  <w:r>
                    <w:rPr>
                      <w:rFonts w:hint="eastAsia" w:cs="Times New Roman"/>
                      <w:snapToGrid w:val="0"/>
                      <w:color w:val="auto"/>
                      <w:sz w:val="21"/>
                      <w:highlight w:val="none"/>
                      <w:lang w:val="en-US" w:eastAsia="zh-CN"/>
                    </w:rPr>
                    <w:t>)</w:t>
                  </w:r>
                </w:p>
              </w:tc>
              <w:tc>
                <w:tcPr>
                  <w:tcW w:w="551" w:type="pct"/>
                  <w:noWrap w:val="0"/>
                  <w:vAlign w:val="center"/>
                </w:tcPr>
                <w:p w14:paraId="15126C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105" w:leftChars="-50" w:right="-105" w:rightChars="-50"/>
                    <w:jc w:val="center"/>
                    <w:textAlignment w:val="auto"/>
                    <w:rPr>
                      <w:rFonts w:hint="default" w:ascii="Times New Roman" w:hAnsi="Times New Roman" w:eastAsia="宋体" w:cs="宋体"/>
                      <w:bCs/>
                      <w:color w:val="auto"/>
                      <w:sz w:val="21"/>
                      <w:szCs w:val="21"/>
                      <w:highlight w:val="none"/>
                      <w:lang w:val="en-US" w:eastAsia="zh-CN"/>
                    </w:rPr>
                  </w:pPr>
                  <w:r>
                    <w:rPr>
                      <w:rFonts w:hint="eastAsia" w:cs="宋体"/>
                      <w:bCs/>
                      <w:color w:val="auto"/>
                      <w:sz w:val="21"/>
                      <w:szCs w:val="21"/>
                      <w:highlight w:val="none"/>
                      <w:lang w:val="en-US" w:eastAsia="zh-CN"/>
                    </w:rPr>
                    <w:t>50</w:t>
                  </w:r>
                </w:p>
              </w:tc>
              <w:tc>
                <w:tcPr>
                  <w:tcW w:w="1191" w:type="pct"/>
                  <w:noWrap w:val="0"/>
                  <w:vAlign w:val="center"/>
                </w:tcPr>
                <w:p w14:paraId="1F77ABB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宋体"/>
                      <w:bCs/>
                      <w:color w:val="auto"/>
                      <w:sz w:val="21"/>
                      <w:szCs w:val="21"/>
                      <w:highlight w:val="none"/>
                      <w:lang w:val="en-US" w:eastAsia="zh-CN"/>
                    </w:rPr>
                  </w:pPr>
                  <w:r>
                    <w:rPr>
                      <w:rFonts w:hint="eastAsia" w:cs="宋体"/>
                      <w:bCs/>
                      <w:color w:val="auto"/>
                      <w:sz w:val="21"/>
                      <w:szCs w:val="21"/>
                      <w:highlight w:val="none"/>
                      <w:lang w:val="en-US" w:eastAsia="zh-CN"/>
                    </w:rPr>
                    <w:t>0.075</w:t>
                  </w:r>
                </w:p>
              </w:tc>
              <w:tc>
                <w:tcPr>
                  <w:tcW w:w="565" w:type="pct"/>
                  <w:noWrap w:val="0"/>
                  <w:vAlign w:val="center"/>
                </w:tcPr>
                <w:p w14:paraId="446F697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宋体"/>
                      <w:bCs/>
                      <w:color w:val="auto"/>
                      <w:sz w:val="21"/>
                      <w:szCs w:val="21"/>
                      <w:highlight w:val="none"/>
                      <w:lang w:val="en-US" w:eastAsia="zh-CN"/>
                    </w:rPr>
                  </w:pPr>
                  <w:r>
                    <w:rPr>
                      <w:rFonts w:hint="eastAsia" w:cs="宋体"/>
                      <w:bCs/>
                      <w:color w:val="auto"/>
                      <w:sz w:val="21"/>
                      <w:szCs w:val="21"/>
                      <w:highlight w:val="none"/>
                      <w:lang w:val="en-US" w:eastAsia="zh-CN"/>
                    </w:rPr>
                    <w:t>0</w:t>
                  </w:r>
                </w:p>
              </w:tc>
              <w:tc>
                <w:tcPr>
                  <w:tcW w:w="565" w:type="pct"/>
                  <w:noWrap w:val="0"/>
                  <w:vAlign w:val="center"/>
                </w:tcPr>
                <w:p w14:paraId="13637C1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宋体"/>
                      <w:bCs/>
                      <w:color w:val="auto"/>
                      <w:sz w:val="21"/>
                      <w:szCs w:val="21"/>
                      <w:highlight w:val="none"/>
                      <w:lang w:val="en-US" w:eastAsia="zh-CN"/>
                    </w:rPr>
                  </w:pPr>
                  <w:r>
                    <w:rPr>
                      <w:rFonts w:hint="eastAsia" w:cs="宋体"/>
                      <w:bCs/>
                      <w:color w:val="auto"/>
                      <w:sz w:val="21"/>
                      <w:szCs w:val="21"/>
                      <w:highlight w:val="none"/>
                      <w:lang w:val="en-US" w:eastAsia="zh-CN"/>
                    </w:rPr>
                    <w:t>0</w:t>
                  </w:r>
                </w:p>
              </w:tc>
            </w:tr>
            <w:tr w14:paraId="4FC7B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atLeast"/>
              </w:trPr>
              <w:tc>
                <w:tcPr>
                  <w:tcW w:w="405" w:type="pct"/>
                  <w:noWrap w:val="0"/>
                  <w:vAlign w:val="center"/>
                </w:tcPr>
                <w:p w14:paraId="5F947F4B">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cs="宋体"/>
                      <w:bCs/>
                      <w:color w:val="auto"/>
                      <w:kern w:val="2"/>
                      <w:sz w:val="21"/>
                      <w:szCs w:val="21"/>
                      <w:highlight w:val="none"/>
                      <w:lang w:val="en-US" w:eastAsia="zh-CN" w:bidi="ar-SA"/>
                    </w:rPr>
                  </w:pPr>
                  <w:r>
                    <w:rPr>
                      <w:rFonts w:hint="eastAsia" w:ascii="宋体" w:hAnsi="宋体" w:cs="宋体"/>
                      <w:bCs/>
                      <w:color w:val="auto"/>
                      <w:sz w:val="21"/>
                      <w:szCs w:val="21"/>
                      <w:highlight w:val="none"/>
                      <w:lang w:val="en-US" w:eastAsia="zh-CN"/>
                    </w:rPr>
                    <w:t>生产用水</w:t>
                  </w:r>
                </w:p>
              </w:tc>
              <w:tc>
                <w:tcPr>
                  <w:tcW w:w="965" w:type="pct"/>
                  <w:noWrap w:val="0"/>
                  <w:vAlign w:val="center"/>
                </w:tcPr>
                <w:p w14:paraId="48C7BD01">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cs="宋体"/>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eastAsia="zh-CN"/>
                    </w:rPr>
                    <w:t>循环水系统补水</w:t>
                  </w:r>
                </w:p>
              </w:tc>
              <w:tc>
                <w:tcPr>
                  <w:tcW w:w="756" w:type="pct"/>
                  <w:noWrap w:val="0"/>
                  <w:vAlign w:val="center"/>
                </w:tcPr>
                <w:p w14:paraId="1648B658">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rPr>
                    <w:t>5</w:t>
                  </w:r>
                  <w:r>
                    <w:rPr>
                      <w:rFonts w:hint="eastAsia" w:ascii="Times New Roman" w:hAnsi="Times New Roman" w:cs="Times New Roman"/>
                      <w:bCs/>
                      <w:color w:val="auto"/>
                      <w:kern w:val="2"/>
                      <w:sz w:val="21"/>
                      <w:szCs w:val="21"/>
                      <w:highlight w:val="none"/>
                      <w:lang w:val="en-US" w:eastAsia="zh-CN"/>
                    </w:rPr>
                    <w:t>%</w:t>
                  </w:r>
                </w:p>
              </w:tc>
              <w:tc>
                <w:tcPr>
                  <w:tcW w:w="551" w:type="pct"/>
                  <w:noWrap w:val="0"/>
                  <w:vAlign w:val="center"/>
                </w:tcPr>
                <w:p w14:paraId="55246A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105" w:leftChars="-50" w:right="-105" w:rightChars="-50"/>
                    <w:jc w:val="center"/>
                    <w:textAlignment w:val="auto"/>
                    <w:rPr>
                      <w:rFonts w:hint="eastAsia" w:ascii="宋体" w:hAnsi="宋体" w:cs="宋体"/>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rPr>
                    <w:t>0.</w:t>
                  </w:r>
                  <w:r>
                    <w:rPr>
                      <w:rFonts w:hint="eastAsia" w:cs="Times New Roman"/>
                      <w:bCs/>
                      <w:color w:val="auto"/>
                      <w:kern w:val="2"/>
                      <w:sz w:val="21"/>
                      <w:szCs w:val="21"/>
                      <w:highlight w:val="none"/>
                      <w:lang w:val="en-US" w:eastAsia="zh-CN"/>
                    </w:rPr>
                    <w:t>7</w:t>
                  </w:r>
                  <w:r>
                    <w:rPr>
                      <w:rFonts w:hint="eastAsia" w:ascii="Times New Roman" w:hAnsi="Times New Roman" w:cs="Times New Roman"/>
                      <w:bCs/>
                      <w:color w:val="auto"/>
                      <w:kern w:val="2"/>
                      <w:sz w:val="21"/>
                      <w:szCs w:val="21"/>
                      <w:highlight w:val="none"/>
                      <w:lang w:val="en-US" w:eastAsia="zh-CN"/>
                    </w:rPr>
                    <w:t>5m</w:t>
                  </w:r>
                  <w:r>
                    <w:rPr>
                      <w:rFonts w:hint="eastAsia" w:ascii="Times New Roman" w:hAnsi="Times New Roman" w:cs="Times New Roman"/>
                      <w:bCs/>
                      <w:color w:val="auto"/>
                      <w:kern w:val="2"/>
                      <w:sz w:val="21"/>
                      <w:szCs w:val="21"/>
                      <w:highlight w:val="none"/>
                      <w:vertAlign w:val="superscript"/>
                      <w:lang w:val="en-US" w:eastAsia="zh-CN"/>
                    </w:rPr>
                    <w:t>3</w:t>
                  </w:r>
                  <w:r>
                    <w:rPr>
                      <w:rFonts w:hint="eastAsia" w:ascii="Times New Roman" w:hAnsi="Times New Roman" w:cs="Times New Roman"/>
                      <w:bCs/>
                      <w:color w:val="auto"/>
                      <w:kern w:val="2"/>
                      <w:sz w:val="21"/>
                      <w:szCs w:val="21"/>
                      <w:highlight w:val="none"/>
                      <w:lang w:val="en-US" w:eastAsia="zh-CN"/>
                    </w:rPr>
                    <w:t>/h</w:t>
                  </w:r>
                </w:p>
              </w:tc>
              <w:tc>
                <w:tcPr>
                  <w:tcW w:w="1191" w:type="pct"/>
                  <w:noWrap w:val="0"/>
                  <w:vAlign w:val="center"/>
                </w:tcPr>
                <w:p w14:paraId="128F0761">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cs="宋体"/>
                      <w:bCs/>
                      <w:color w:val="auto"/>
                      <w:kern w:val="2"/>
                      <w:sz w:val="21"/>
                      <w:szCs w:val="21"/>
                      <w:highlight w:val="none"/>
                      <w:lang w:val="en-US" w:eastAsia="zh-CN" w:bidi="ar-SA"/>
                    </w:rPr>
                  </w:pPr>
                  <w:r>
                    <w:rPr>
                      <w:rFonts w:hint="eastAsia" w:cs="宋体"/>
                      <w:bCs/>
                      <w:color w:val="auto"/>
                      <w:sz w:val="21"/>
                      <w:szCs w:val="21"/>
                      <w:highlight w:val="none"/>
                      <w:lang w:val="en-US" w:eastAsia="zh-CN"/>
                    </w:rPr>
                    <w:t>6</w:t>
                  </w:r>
                </w:p>
              </w:tc>
              <w:tc>
                <w:tcPr>
                  <w:tcW w:w="565" w:type="pct"/>
                  <w:noWrap w:val="0"/>
                  <w:vAlign w:val="center"/>
                </w:tcPr>
                <w:p w14:paraId="381A4617">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宋体"/>
                      <w:bCs/>
                      <w:color w:val="auto"/>
                      <w:kern w:val="2"/>
                      <w:sz w:val="21"/>
                      <w:szCs w:val="21"/>
                      <w:highlight w:val="none"/>
                      <w:lang w:val="en-US" w:eastAsia="zh-CN" w:bidi="ar-SA"/>
                    </w:rPr>
                  </w:pPr>
                  <w:r>
                    <w:rPr>
                      <w:rFonts w:hint="eastAsia" w:ascii="Times New Roman" w:hAnsi="Times New Roman" w:eastAsia="宋体" w:cs="宋体"/>
                      <w:bCs/>
                      <w:color w:val="auto"/>
                      <w:sz w:val="21"/>
                      <w:szCs w:val="21"/>
                      <w:highlight w:val="none"/>
                      <w:lang w:val="en-US" w:eastAsia="zh-CN"/>
                    </w:rPr>
                    <w:t>0</w:t>
                  </w:r>
                </w:p>
              </w:tc>
              <w:tc>
                <w:tcPr>
                  <w:tcW w:w="565" w:type="pct"/>
                  <w:noWrap w:val="0"/>
                  <w:vAlign w:val="center"/>
                </w:tcPr>
                <w:p w14:paraId="052C8B60">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宋体"/>
                      <w:bCs/>
                      <w:color w:val="auto"/>
                      <w:kern w:val="2"/>
                      <w:sz w:val="21"/>
                      <w:szCs w:val="21"/>
                      <w:highlight w:val="none"/>
                      <w:lang w:val="en-US" w:eastAsia="zh-CN" w:bidi="ar-SA"/>
                    </w:rPr>
                  </w:pPr>
                  <w:r>
                    <w:rPr>
                      <w:rFonts w:hint="eastAsia" w:ascii="Times New Roman" w:hAnsi="Times New Roman" w:eastAsia="宋体" w:cs="宋体"/>
                      <w:bCs/>
                      <w:color w:val="auto"/>
                      <w:sz w:val="21"/>
                      <w:szCs w:val="21"/>
                      <w:highlight w:val="none"/>
                      <w:lang w:val="en-US" w:eastAsia="zh-CN"/>
                    </w:rPr>
                    <w:t>0</w:t>
                  </w:r>
                </w:p>
              </w:tc>
            </w:tr>
            <w:tr w14:paraId="5C10A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2678" w:type="pct"/>
                  <w:gridSpan w:val="4"/>
                  <w:noWrap w:val="0"/>
                  <w:vAlign w:val="center"/>
                </w:tcPr>
                <w:p w14:paraId="715F20F4">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用水量（非采暖期）</w:t>
                  </w:r>
                </w:p>
              </w:tc>
              <w:tc>
                <w:tcPr>
                  <w:tcW w:w="1191" w:type="pct"/>
                  <w:noWrap w:val="0"/>
                  <w:vAlign w:val="center"/>
                </w:tcPr>
                <w:p w14:paraId="2794D36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Cs/>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7.025</w:t>
                  </w:r>
                </w:p>
              </w:tc>
              <w:tc>
                <w:tcPr>
                  <w:tcW w:w="565" w:type="pct"/>
                  <w:noWrap w:val="0"/>
                  <w:vAlign w:val="center"/>
                </w:tcPr>
                <w:p w14:paraId="3AA801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宋体"/>
                      <w:bCs/>
                      <w:color w:val="auto"/>
                      <w:kern w:val="2"/>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0.64</w:t>
                  </w:r>
                </w:p>
              </w:tc>
              <w:tc>
                <w:tcPr>
                  <w:tcW w:w="565" w:type="pct"/>
                  <w:noWrap w:val="0"/>
                  <w:vAlign w:val="center"/>
                </w:tcPr>
                <w:p w14:paraId="77308A54">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宋体"/>
                      <w:bCs/>
                      <w:color w:val="auto"/>
                      <w:kern w:val="2"/>
                      <w:sz w:val="21"/>
                      <w:szCs w:val="21"/>
                      <w:highlight w:val="none"/>
                      <w:lang w:val="en-US" w:eastAsia="zh-CN" w:bidi="ar-SA"/>
                    </w:rPr>
                  </w:pPr>
                  <w:r>
                    <w:rPr>
                      <w:rFonts w:hint="eastAsia" w:ascii="Times New Roman" w:hAnsi="Times New Roman" w:eastAsia="宋体" w:cs="宋体"/>
                      <w:bCs/>
                      <w:color w:val="auto"/>
                      <w:sz w:val="21"/>
                      <w:szCs w:val="21"/>
                      <w:highlight w:val="none"/>
                      <w:lang w:val="en-US" w:eastAsia="zh-CN"/>
                    </w:rPr>
                    <w:t>0</w:t>
                  </w:r>
                </w:p>
              </w:tc>
            </w:tr>
            <w:tr w14:paraId="27CE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2678" w:type="pct"/>
                  <w:gridSpan w:val="4"/>
                  <w:shd w:val="clear" w:color="auto" w:fill="auto"/>
                  <w:noWrap w:val="0"/>
                  <w:vAlign w:val="center"/>
                </w:tcPr>
                <w:p w14:paraId="460D1744">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宋体" w:hAnsi="宋体" w:eastAsia="宋体" w:cs="宋体"/>
                      <w:bCs/>
                      <w:color w:val="auto"/>
                      <w:kern w:val="2"/>
                      <w:sz w:val="21"/>
                      <w:szCs w:val="21"/>
                      <w:highlight w:val="none"/>
                      <w:lang w:val="en-US" w:eastAsia="zh-CN" w:bidi="ar-SA"/>
                    </w:rPr>
                  </w:pPr>
                  <w:r>
                    <w:rPr>
                      <w:rFonts w:hint="eastAsia" w:ascii="宋体" w:hAnsi="宋体" w:cs="宋体"/>
                      <w:bCs/>
                      <w:color w:val="auto"/>
                      <w:sz w:val="21"/>
                      <w:szCs w:val="21"/>
                      <w:highlight w:val="none"/>
                      <w:lang w:val="en-US" w:eastAsia="zh-CN"/>
                    </w:rPr>
                    <w:t>用水量（采暖期）</w:t>
                  </w:r>
                </w:p>
              </w:tc>
              <w:tc>
                <w:tcPr>
                  <w:tcW w:w="1191" w:type="pct"/>
                  <w:shd w:val="clear" w:color="auto" w:fill="auto"/>
                  <w:noWrap w:val="0"/>
                  <w:vAlign w:val="center"/>
                </w:tcPr>
                <w:p w14:paraId="7316B404">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Cs/>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6.95</w:t>
                  </w:r>
                </w:p>
              </w:tc>
              <w:tc>
                <w:tcPr>
                  <w:tcW w:w="565" w:type="pct"/>
                  <w:shd w:val="clear" w:color="auto" w:fill="auto"/>
                  <w:noWrap w:val="0"/>
                  <w:vAlign w:val="center"/>
                </w:tcPr>
                <w:p w14:paraId="24F7F6F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宋体"/>
                      <w:bCs/>
                      <w:color w:val="auto"/>
                      <w:kern w:val="2"/>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0.64</w:t>
                  </w:r>
                </w:p>
              </w:tc>
              <w:tc>
                <w:tcPr>
                  <w:tcW w:w="565" w:type="pct"/>
                  <w:shd w:val="clear" w:color="auto" w:fill="auto"/>
                  <w:noWrap w:val="0"/>
                  <w:vAlign w:val="center"/>
                </w:tcPr>
                <w:p w14:paraId="51065A3C">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Times New Roman" w:hAnsi="Times New Roman" w:eastAsia="宋体" w:cs="宋体"/>
                      <w:bCs/>
                      <w:color w:val="auto"/>
                      <w:kern w:val="2"/>
                      <w:sz w:val="21"/>
                      <w:szCs w:val="21"/>
                      <w:highlight w:val="none"/>
                      <w:lang w:val="en-US" w:eastAsia="zh-CN" w:bidi="ar-SA"/>
                    </w:rPr>
                  </w:pPr>
                  <w:r>
                    <w:rPr>
                      <w:rFonts w:hint="eastAsia" w:ascii="Times New Roman" w:hAnsi="Times New Roman" w:eastAsia="宋体" w:cs="宋体"/>
                      <w:bCs/>
                      <w:color w:val="auto"/>
                      <w:sz w:val="21"/>
                      <w:szCs w:val="21"/>
                      <w:highlight w:val="none"/>
                      <w:lang w:val="en-US" w:eastAsia="zh-CN"/>
                    </w:rPr>
                    <w:t>0</w:t>
                  </w:r>
                </w:p>
              </w:tc>
            </w:tr>
          </w:tbl>
          <w:p w14:paraId="26076E04">
            <w:pPr>
              <w:keepNext w:val="0"/>
              <w:keepLines w:val="0"/>
              <w:suppressLineNumbers w:val="0"/>
              <w:adjustRightInd w:val="0"/>
              <w:snapToGrid w:val="0"/>
              <w:spacing w:before="0" w:beforeAutospacing="0" w:after="0" w:afterAutospacing="0" w:line="360" w:lineRule="auto"/>
              <w:ind w:left="0" w:right="0" w:firstLine="0" w:firstLineChars="0"/>
              <w:jc w:val="center"/>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drawing>
                <wp:inline distT="0" distB="0" distL="114300" distR="114300">
                  <wp:extent cx="3258185" cy="2826385"/>
                  <wp:effectExtent l="0" t="0" r="0" b="0"/>
                  <wp:docPr id="15"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CB019B1-382A-4266-B25C-5B523AA43C14-1" descr="wps"/>
                          <pic:cNvPicPr>
                            <a:picLocks noChangeAspect="1"/>
                          </pic:cNvPicPr>
                        </pic:nvPicPr>
                        <pic:blipFill>
                          <a:blip r:embed="rId19"/>
                          <a:stretch>
                            <a:fillRect/>
                          </a:stretch>
                        </pic:blipFill>
                        <pic:spPr>
                          <a:xfrm>
                            <a:off x="0" y="0"/>
                            <a:ext cx="3258185" cy="2826385"/>
                          </a:xfrm>
                          <a:prstGeom prst="rect">
                            <a:avLst/>
                          </a:prstGeom>
                        </pic:spPr>
                      </pic:pic>
                    </a:graphicData>
                  </a:graphic>
                </wp:inline>
              </w:drawing>
            </w:r>
          </w:p>
          <w:p w14:paraId="3747C4AD">
            <w:pPr>
              <w:keepNext w:val="0"/>
              <w:keepLines w:val="0"/>
              <w:suppressLineNumbers w:val="0"/>
              <w:adjustRightInd w:val="0"/>
              <w:snapToGrid w:val="0"/>
              <w:spacing w:before="0" w:beforeAutospacing="0" w:after="0" w:afterAutospacing="0" w:line="360" w:lineRule="auto"/>
              <w:ind w:left="0" w:right="0" w:firstLine="0" w:firstLineChars="0"/>
              <w:jc w:val="center"/>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eastAsia="宋体" w:cs="Times New Roman"/>
                <w:b/>
                <w:bCs w:val="0"/>
                <w:color w:val="auto"/>
                <w:sz w:val="24"/>
                <w:highlight w:val="none"/>
                <w:lang w:val="en-US" w:eastAsia="zh-CN"/>
              </w:rPr>
              <w:t>图2-1</w:t>
            </w:r>
            <w:r>
              <w:rPr>
                <w:rFonts w:hint="eastAsia" w:cs="Times New Roman"/>
                <w:b/>
                <w:bCs w:val="0"/>
                <w:color w:val="auto"/>
                <w:sz w:val="24"/>
                <w:highlight w:val="none"/>
                <w:lang w:val="en-US" w:eastAsia="zh-CN"/>
              </w:rPr>
              <w:t>非采暖期</w:t>
            </w:r>
            <w:r>
              <w:rPr>
                <w:rFonts w:hint="default" w:ascii="Times New Roman" w:hAnsi="Times New Roman" w:eastAsia="宋体" w:cs="Times New Roman"/>
                <w:b/>
                <w:bCs w:val="0"/>
                <w:color w:val="auto"/>
                <w:sz w:val="24"/>
                <w:highlight w:val="none"/>
                <w:lang w:val="en-US" w:eastAsia="zh-CN"/>
              </w:rPr>
              <w:t>水平衡图</w:t>
            </w:r>
            <w:r>
              <w:rPr>
                <w:rFonts w:hint="eastAsia" w:ascii="Times New Roman" w:hAnsi="Times New Roman" w:eastAsia="宋体" w:cs="Times New Roman"/>
                <w:b/>
                <w:bCs w:val="0"/>
                <w:color w:val="auto"/>
                <w:sz w:val="24"/>
                <w:highlight w:val="none"/>
                <w:lang w:val="en-US" w:eastAsia="zh-CN"/>
              </w:rPr>
              <w:t xml:space="preserve">  </w:t>
            </w:r>
            <w:r>
              <w:rPr>
                <w:rFonts w:hint="default" w:ascii="Times New Roman" w:hAnsi="Times New Roman" w:eastAsia="宋体" w:cs="Times New Roman"/>
                <w:b/>
                <w:bCs w:val="0"/>
                <w:color w:val="auto"/>
                <w:sz w:val="24"/>
                <w:highlight w:val="none"/>
                <w:lang w:val="en-US" w:eastAsia="zh-CN"/>
              </w:rPr>
              <w:t>单位：m</w:t>
            </w:r>
            <w:r>
              <w:rPr>
                <w:rFonts w:hint="default" w:ascii="Times New Roman" w:hAnsi="Times New Roman" w:eastAsia="宋体" w:cs="Times New Roman"/>
                <w:b/>
                <w:bCs w:val="0"/>
                <w:color w:val="auto"/>
                <w:sz w:val="24"/>
                <w:highlight w:val="none"/>
                <w:vertAlign w:val="superscript"/>
                <w:lang w:val="en-US" w:eastAsia="zh-CN"/>
              </w:rPr>
              <w:t>3</w:t>
            </w:r>
            <w:r>
              <w:rPr>
                <w:rFonts w:hint="default" w:ascii="Times New Roman" w:hAnsi="Times New Roman" w:eastAsia="宋体" w:cs="Times New Roman"/>
                <w:b/>
                <w:bCs w:val="0"/>
                <w:color w:val="auto"/>
                <w:sz w:val="24"/>
                <w:highlight w:val="none"/>
                <w:lang w:val="en-US" w:eastAsia="zh-CN"/>
              </w:rPr>
              <w:t>/d</w:t>
            </w:r>
          </w:p>
          <w:p w14:paraId="040A696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cs="Times New Roman"/>
                <w:b/>
                <w:color w:val="auto"/>
                <w:sz w:val="24"/>
                <w:highlight w:val="none"/>
                <w:lang w:val="en-US" w:eastAsia="zh-CN"/>
              </w:rPr>
            </w:pPr>
            <w:r>
              <w:rPr>
                <w:rFonts w:hint="default" w:ascii="Times New Roman" w:hAnsi="Times New Roman" w:cs="Times New Roman"/>
                <w:b/>
                <w:color w:val="auto"/>
                <w:sz w:val="24"/>
                <w:highlight w:val="none"/>
                <w:lang w:val="en-US" w:eastAsia="zh-CN"/>
              </w:rPr>
              <w:drawing>
                <wp:inline distT="0" distB="0" distL="114300" distR="114300">
                  <wp:extent cx="3576955" cy="2642235"/>
                  <wp:effectExtent l="0" t="0" r="0" b="0"/>
                  <wp:docPr id="16" name="ECB019B1-382A-4266-B25C-5B523AA43C14-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CB019B1-382A-4266-B25C-5B523AA43C14-2" descr="wps"/>
                          <pic:cNvPicPr>
                            <a:picLocks noChangeAspect="1"/>
                          </pic:cNvPicPr>
                        </pic:nvPicPr>
                        <pic:blipFill>
                          <a:blip r:embed="rId20"/>
                          <a:stretch>
                            <a:fillRect/>
                          </a:stretch>
                        </pic:blipFill>
                        <pic:spPr>
                          <a:xfrm>
                            <a:off x="0" y="0"/>
                            <a:ext cx="3576955" cy="2642235"/>
                          </a:xfrm>
                          <a:prstGeom prst="rect">
                            <a:avLst/>
                          </a:prstGeom>
                        </pic:spPr>
                      </pic:pic>
                    </a:graphicData>
                  </a:graphic>
                </wp:inline>
              </w:drawing>
            </w:r>
          </w:p>
          <w:p w14:paraId="4F853E7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cs="Times New Roman"/>
                <w:b/>
                <w:color w:val="auto"/>
                <w:sz w:val="24"/>
                <w:highlight w:val="none"/>
                <w:lang w:val="en-US" w:eastAsia="zh-CN"/>
              </w:rPr>
            </w:pPr>
            <w:r>
              <w:rPr>
                <w:rFonts w:hint="default" w:ascii="Times New Roman" w:hAnsi="Times New Roman" w:eastAsia="宋体" w:cs="Times New Roman"/>
                <w:b/>
                <w:bCs w:val="0"/>
                <w:color w:val="auto"/>
                <w:sz w:val="24"/>
                <w:highlight w:val="none"/>
                <w:lang w:val="en-US" w:eastAsia="zh-CN"/>
              </w:rPr>
              <w:t>图2-1</w:t>
            </w:r>
            <w:r>
              <w:rPr>
                <w:rFonts w:hint="eastAsia" w:cs="Times New Roman"/>
                <w:b/>
                <w:bCs w:val="0"/>
                <w:color w:val="auto"/>
                <w:sz w:val="24"/>
                <w:highlight w:val="none"/>
                <w:lang w:val="en-US" w:eastAsia="zh-CN"/>
              </w:rPr>
              <w:t>采暖期</w:t>
            </w:r>
            <w:r>
              <w:rPr>
                <w:rFonts w:hint="default" w:ascii="Times New Roman" w:hAnsi="Times New Roman" w:eastAsia="宋体" w:cs="Times New Roman"/>
                <w:b/>
                <w:bCs w:val="0"/>
                <w:color w:val="auto"/>
                <w:sz w:val="24"/>
                <w:highlight w:val="none"/>
                <w:lang w:val="en-US" w:eastAsia="zh-CN"/>
              </w:rPr>
              <w:t>水平衡图</w:t>
            </w:r>
            <w:r>
              <w:rPr>
                <w:rFonts w:hint="eastAsia" w:ascii="Times New Roman" w:hAnsi="Times New Roman" w:eastAsia="宋体" w:cs="Times New Roman"/>
                <w:b/>
                <w:bCs w:val="0"/>
                <w:color w:val="auto"/>
                <w:sz w:val="24"/>
                <w:highlight w:val="none"/>
                <w:lang w:val="en-US" w:eastAsia="zh-CN"/>
              </w:rPr>
              <w:t xml:space="preserve">  </w:t>
            </w:r>
            <w:r>
              <w:rPr>
                <w:rFonts w:hint="default" w:ascii="Times New Roman" w:hAnsi="Times New Roman" w:eastAsia="宋体" w:cs="Times New Roman"/>
                <w:b/>
                <w:bCs w:val="0"/>
                <w:color w:val="auto"/>
                <w:sz w:val="24"/>
                <w:highlight w:val="none"/>
                <w:lang w:val="en-US" w:eastAsia="zh-CN"/>
              </w:rPr>
              <w:t>单位：m</w:t>
            </w:r>
            <w:r>
              <w:rPr>
                <w:rFonts w:hint="default" w:ascii="Times New Roman" w:hAnsi="Times New Roman" w:eastAsia="宋体" w:cs="Times New Roman"/>
                <w:b/>
                <w:bCs w:val="0"/>
                <w:color w:val="auto"/>
                <w:sz w:val="24"/>
                <w:highlight w:val="none"/>
                <w:vertAlign w:val="superscript"/>
                <w:lang w:val="en-US" w:eastAsia="zh-CN"/>
              </w:rPr>
              <w:t>3</w:t>
            </w:r>
            <w:r>
              <w:rPr>
                <w:rFonts w:hint="default" w:ascii="Times New Roman" w:hAnsi="Times New Roman" w:eastAsia="宋体" w:cs="Times New Roman"/>
                <w:b/>
                <w:bCs w:val="0"/>
                <w:color w:val="auto"/>
                <w:sz w:val="24"/>
                <w:highlight w:val="none"/>
                <w:lang w:val="en-US" w:eastAsia="zh-CN"/>
              </w:rPr>
              <w:t>/d</w:t>
            </w:r>
          </w:p>
          <w:p w14:paraId="042FA5C7">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hAnsi="Times New Roman" w:cs="宋体"/>
                <w:b/>
                <w:color w:val="auto"/>
                <w:sz w:val="24"/>
                <w:highlight w:val="none"/>
              </w:rPr>
            </w:pPr>
            <w:r>
              <w:rPr>
                <w:rFonts w:hint="default" w:ascii="Times New Roman" w:hAnsi="Times New Roman" w:cs="Times New Roman"/>
                <w:b/>
                <w:color w:val="auto"/>
                <w:sz w:val="24"/>
                <w:highlight w:val="none"/>
                <w:lang w:val="en-US" w:eastAsia="zh-CN"/>
              </w:rPr>
              <w:t>2.</w:t>
            </w:r>
            <w:r>
              <w:rPr>
                <w:rFonts w:hint="eastAsia" w:ascii="Times New Roman" w:cs="Times New Roman"/>
                <w:b/>
                <w:color w:val="auto"/>
                <w:sz w:val="24"/>
                <w:highlight w:val="none"/>
                <w:lang w:val="en-US" w:eastAsia="zh-CN"/>
              </w:rPr>
              <w:t>9</w:t>
            </w:r>
            <w:r>
              <w:rPr>
                <w:rFonts w:hint="default" w:ascii="Times New Roman" w:hAnsi="Times New Roman" w:cs="Times New Roman"/>
                <w:b/>
                <w:color w:val="auto"/>
                <w:sz w:val="24"/>
                <w:highlight w:val="none"/>
                <w:lang w:val="en-US" w:eastAsia="zh-CN"/>
              </w:rPr>
              <w:t>.2</w:t>
            </w:r>
            <w:r>
              <w:rPr>
                <w:rFonts w:hint="eastAsia" w:hAnsi="Times New Roman" w:cs="宋体"/>
                <w:b/>
                <w:color w:val="auto"/>
                <w:sz w:val="24"/>
                <w:highlight w:val="none"/>
              </w:rPr>
              <w:t>用电</w:t>
            </w:r>
          </w:p>
          <w:p w14:paraId="63A601C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rPr>
              <w:t>本项目用电由</w:t>
            </w:r>
            <w:r>
              <w:rPr>
                <w:rFonts w:hint="eastAsia" w:ascii="Times New Roman" w:hAnsi="Times New Roman" w:eastAsia="宋体" w:cs="Times New Roman"/>
                <w:color w:val="auto"/>
                <w:sz w:val="24"/>
                <w:szCs w:val="24"/>
                <w:highlight w:val="none"/>
                <w:lang w:val="en-US" w:eastAsia="zh-CN"/>
              </w:rPr>
              <w:t>当地电网</w:t>
            </w:r>
            <w:r>
              <w:rPr>
                <w:rFonts w:hint="eastAsia" w:ascii="Times New Roman" w:hAnsi="Times New Roman" w:eastAsia="宋体" w:cs="Times New Roman"/>
                <w:color w:val="auto"/>
                <w:sz w:val="24"/>
                <w:szCs w:val="24"/>
                <w:highlight w:val="none"/>
              </w:rPr>
              <w:t>供给</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32"/>
                <w:highlight w:val="none"/>
                <w:lang w:val="en-US" w:eastAsia="zh-CN"/>
              </w:rPr>
              <w:t>年用电量约20万kWh</w:t>
            </w:r>
            <w:r>
              <w:rPr>
                <w:rFonts w:hint="eastAsia" w:ascii="Times New Roman" w:hAnsi="Times New Roman" w:eastAsia="宋体" w:cs="Times New Roman"/>
                <w:color w:val="auto"/>
                <w:sz w:val="24"/>
                <w:szCs w:val="32"/>
                <w:highlight w:val="none"/>
              </w:rPr>
              <w:t>。</w:t>
            </w:r>
          </w:p>
          <w:p w14:paraId="44E89D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lang w:val="en-US" w:eastAsia="zh-CN"/>
              </w:rPr>
              <w:t>2.</w:t>
            </w:r>
            <w:r>
              <w:rPr>
                <w:rFonts w:hint="eastAsia" w:cs="Times New Roman"/>
                <w:b/>
                <w:bCs/>
                <w:color w:val="auto"/>
                <w:sz w:val="24"/>
                <w:highlight w:val="none"/>
                <w:lang w:val="en-US" w:eastAsia="zh-CN"/>
              </w:rPr>
              <w:t>9</w:t>
            </w:r>
            <w:r>
              <w:rPr>
                <w:rFonts w:hint="eastAsia" w:ascii="Times New Roman" w:hAnsi="Times New Roman" w:cs="Times New Roman"/>
                <w:b/>
                <w:bCs/>
                <w:color w:val="auto"/>
                <w:sz w:val="24"/>
                <w:highlight w:val="none"/>
                <w:lang w:val="en-US" w:eastAsia="zh-CN"/>
              </w:rPr>
              <w:t>.3</w:t>
            </w:r>
            <w:r>
              <w:rPr>
                <w:rFonts w:hint="eastAsia" w:ascii="Times New Roman" w:hAnsi="Times New Roman" w:cs="Times New Roman"/>
                <w:b/>
                <w:bCs/>
                <w:color w:val="auto"/>
                <w:sz w:val="24"/>
                <w:highlight w:val="none"/>
              </w:rPr>
              <w:t>采暖</w:t>
            </w:r>
          </w:p>
          <w:p w14:paraId="6E87F27F">
            <w:pPr>
              <w:keepNext w:val="0"/>
              <w:keepLines w:val="0"/>
              <w:suppressLineNumbers w:val="0"/>
              <w:adjustRightInd/>
              <w:snapToGrid/>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bCs/>
                <w:color w:val="auto"/>
                <w:sz w:val="24"/>
                <w:szCs w:val="32"/>
                <w:highlight w:val="none"/>
              </w:rPr>
              <w:t>本项目生产区无需采暖，</w:t>
            </w:r>
            <w:r>
              <w:rPr>
                <w:rFonts w:hint="eastAsia" w:ascii="Times New Roman" w:hAnsi="Times New Roman" w:eastAsia="宋体" w:cs="Times New Roman"/>
                <w:bCs/>
                <w:color w:val="auto"/>
                <w:sz w:val="24"/>
                <w:szCs w:val="32"/>
                <w:highlight w:val="none"/>
                <w:lang w:val="en-US" w:eastAsia="zh-CN"/>
              </w:rPr>
              <w:t>操作室及宿舍</w:t>
            </w:r>
            <w:r>
              <w:rPr>
                <w:rFonts w:hint="eastAsia" w:ascii="Times New Roman" w:hAnsi="Times New Roman" w:eastAsia="宋体" w:cs="Times New Roman"/>
                <w:bCs/>
                <w:color w:val="auto"/>
                <w:sz w:val="24"/>
                <w:szCs w:val="32"/>
                <w:highlight w:val="none"/>
              </w:rPr>
              <w:t>冬季采暖采用电暖器</w:t>
            </w:r>
            <w:r>
              <w:rPr>
                <w:rFonts w:hint="eastAsia" w:cs="Times New Roman"/>
                <w:bCs/>
                <w:color w:val="auto"/>
                <w:sz w:val="24"/>
                <w:szCs w:val="32"/>
                <w:highlight w:val="none"/>
                <w:lang w:eastAsia="zh-CN"/>
              </w:rPr>
              <w:t>，</w:t>
            </w:r>
            <w:r>
              <w:rPr>
                <w:rFonts w:hint="eastAsia" w:ascii="Times New Roman" w:hAnsi="Times New Roman" w:eastAsia="宋体" w:cs="Times New Roman"/>
                <w:bCs/>
                <w:color w:val="auto"/>
                <w:sz w:val="24"/>
                <w:szCs w:val="32"/>
                <w:highlight w:val="none"/>
                <w:lang w:val="en-US" w:eastAsia="zh-CN"/>
              </w:rPr>
              <w:t>生产用热利用兴裕煤矿低浓度瓦斯</w:t>
            </w:r>
            <w:r>
              <w:rPr>
                <w:rFonts w:hint="eastAsia" w:ascii="Times New Roman" w:hAnsi="Times New Roman" w:eastAsia="宋体" w:cs="Times New Roman"/>
                <w:color w:val="auto"/>
                <w:sz w:val="24"/>
                <w:szCs w:val="32"/>
                <w:highlight w:val="none"/>
                <w:lang w:eastAsia="zh-CN"/>
              </w:rPr>
              <w:t>。</w:t>
            </w:r>
          </w:p>
          <w:p w14:paraId="61A0FF9C">
            <w:pPr>
              <w:keepNext w:val="0"/>
              <w:keepLines w:val="0"/>
              <w:suppressLineNumbers w:val="0"/>
              <w:adjustRightInd w:val="0"/>
              <w:snapToGrid w:val="0"/>
              <w:spacing w:before="0" w:beforeAutospacing="0" w:after="0" w:afterAutospacing="0"/>
              <w:ind w:left="0" w:right="0"/>
              <w:jc w:val="both"/>
              <w:rPr>
                <w:rFonts w:hint="default" w:ascii="Times New Roman" w:hAnsi="Times New Roman" w:eastAsia="宋体" w:cs="Times New Roman"/>
                <w:color w:val="auto"/>
                <w:sz w:val="24"/>
                <w:szCs w:val="24"/>
                <w:highlight w:val="none"/>
                <w:lang w:val="en-US" w:eastAsia="zh-CN"/>
              </w:rPr>
            </w:pPr>
          </w:p>
          <w:p w14:paraId="045C984D">
            <w:pPr>
              <w:pStyle w:val="16"/>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lang w:val="en-US" w:eastAsia="zh-CN"/>
              </w:rPr>
            </w:pPr>
          </w:p>
          <w:p w14:paraId="5FD3A2E6">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lang w:val="en-US" w:eastAsia="zh-CN"/>
              </w:rPr>
            </w:pPr>
          </w:p>
          <w:p w14:paraId="3A43233A">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tc>
      </w:tr>
    </w:tbl>
    <w:p w14:paraId="09549A73">
      <w:pPr>
        <w:pStyle w:val="4"/>
        <w:rPr>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8161"/>
      </w:tblGrid>
      <w:tr w14:paraId="3BC4EF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42" w:hRule="atLeast"/>
          <w:jc w:val="center"/>
        </w:trPr>
        <w:tc>
          <w:tcPr>
            <w:tcW w:w="823" w:type="dxa"/>
            <w:noWrap w:val="0"/>
            <w:vAlign w:val="center"/>
          </w:tcPr>
          <w:p w14:paraId="4D97E579">
            <w:pPr>
              <w:pStyle w:val="20"/>
              <w:keepNext w:val="0"/>
              <w:keepLines w:val="0"/>
              <w:suppressLineNumbers w:val="0"/>
              <w:adjustRightInd w:val="0"/>
              <w:snapToGrid w:val="0"/>
              <w:spacing w:before="0" w:beforeAutospacing="0" w:after="0" w:afterAutospacing="0"/>
              <w:ind w:left="0" w:right="0"/>
              <w:jc w:val="center"/>
              <w:rPr>
                <w:rFonts w:hint="default" w:cs="宋体"/>
                <w:color w:val="auto"/>
                <w:sz w:val="24"/>
                <w:szCs w:val="24"/>
                <w:highlight w:val="none"/>
              </w:rPr>
            </w:pPr>
            <w:r>
              <w:rPr>
                <w:rFonts w:hint="eastAsia" w:cs="宋体"/>
                <w:color w:val="auto"/>
                <w:sz w:val="24"/>
                <w:szCs w:val="24"/>
                <w:highlight w:val="none"/>
              </w:rPr>
              <w:t>工艺流程和产排污环节</w:t>
            </w:r>
          </w:p>
        </w:tc>
        <w:tc>
          <w:tcPr>
            <w:tcW w:w="8161" w:type="dxa"/>
            <w:noWrap w:val="0"/>
            <w:vAlign w:val="top"/>
          </w:tcPr>
          <w:p w14:paraId="09200550">
            <w:pPr>
              <w:keepNext w:val="0"/>
              <w:keepLines w:val="0"/>
              <w:suppressLineNumbers w:val="0"/>
              <w:adjustRightInd w:val="0"/>
              <w:snapToGrid w:val="0"/>
              <w:spacing w:before="0" w:beforeAutospacing="0" w:after="0" w:afterAutospacing="0"/>
              <w:ind w:left="0" w:right="0"/>
              <w:jc w:val="center"/>
              <w:rPr>
                <w:rFonts w:hint="eastAsia" w:ascii="宋体" w:hAnsi="宋体" w:eastAsia="宋体" w:cs="Times New Roman"/>
                <w:bCs/>
                <w:color w:val="auto"/>
                <w:sz w:val="24"/>
                <w:szCs w:val="24"/>
                <w:highlight w:val="none"/>
                <w:lang w:eastAsia="zh-CN"/>
              </w:rPr>
            </w:pPr>
            <w:r>
              <w:rPr>
                <w:rFonts w:hint="eastAsia" w:ascii="Times New Roman" w:hAnsi="Times New Roman" w:eastAsia="宋体" w:cs="Times New Roman"/>
                <w:color w:val="auto"/>
                <w:lang w:eastAsia="zh-CN"/>
              </w:rPr>
              <w:drawing>
                <wp:inline distT="0" distB="0" distL="114300" distR="114300">
                  <wp:extent cx="3985895" cy="4481195"/>
                  <wp:effectExtent l="0" t="0" r="0" b="0"/>
                  <wp:docPr id="14" name="ECB019B1-382A-4266-B25C-5B523AA43C14-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CB019B1-382A-4266-B25C-5B523AA43C14-3" descr="wps"/>
                          <pic:cNvPicPr>
                            <a:picLocks noChangeAspect="1"/>
                          </pic:cNvPicPr>
                        </pic:nvPicPr>
                        <pic:blipFill>
                          <a:blip r:embed="rId21"/>
                          <a:stretch>
                            <a:fillRect/>
                          </a:stretch>
                        </pic:blipFill>
                        <pic:spPr>
                          <a:xfrm>
                            <a:off x="0" y="0"/>
                            <a:ext cx="3985895" cy="4481195"/>
                          </a:xfrm>
                          <a:prstGeom prst="rect">
                            <a:avLst/>
                          </a:prstGeom>
                        </pic:spPr>
                      </pic:pic>
                    </a:graphicData>
                  </a:graphic>
                </wp:inline>
              </w:drawing>
            </w:r>
          </w:p>
          <w:p w14:paraId="54E61283">
            <w:pPr>
              <w:keepNext w:val="0"/>
              <w:keepLines w:val="0"/>
              <w:suppressLineNumbers w:val="0"/>
              <w:adjustRightInd w:val="0"/>
              <w:snapToGrid w:val="0"/>
              <w:spacing w:before="0" w:beforeAutospacing="0" w:after="0" w:afterAutospacing="0" w:line="360" w:lineRule="auto"/>
              <w:ind w:left="0" w:right="0" w:firstLine="0" w:firstLineChars="0"/>
              <w:jc w:val="center"/>
              <w:rPr>
                <w:rFonts w:hint="default" w:ascii="宋体" w:hAnsi="宋体" w:eastAsia="宋体" w:cs="Times New Roman"/>
                <w:b/>
                <w:bCs w:val="0"/>
                <w:color w:val="auto"/>
                <w:sz w:val="24"/>
                <w:szCs w:val="24"/>
                <w:highlight w:val="none"/>
                <w:lang w:val="en-US" w:eastAsia="zh-CN"/>
              </w:rPr>
            </w:pPr>
            <w:r>
              <w:rPr>
                <w:rFonts w:hint="eastAsia" w:ascii="宋体" w:hAnsi="宋体" w:eastAsia="宋体" w:cs="Times New Roman"/>
                <w:b/>
                <w:bCs w:val="0"/>
                <w:color w:val="auto"/>
                <w:sz w:val="24"/>
                <w:szCs w:val="24"/>
                <w:highlight w:val="none"/>
                <w:lang w:val="en-US" w:eastAsia="zh-CN"/>
              </w:rPr>
              <w:t>图2-</w:t>
            </w:r>
            <w:r>
              <w:rPr>
                <w:rFonts w:hint="eastAsia" w:ascii="宋体" w:hAnsi="宋体" w:cs="Times New Roman"/>
                <w:b/>
                <w:bCs w:val="0"/>
                <w:color w:val="auto"/>
                <w:sz w:val="24"/>
                <w:szCs w:val="24"/>
                <w:highlight w:val="none"/>
                <w:lang w:val="en-US" w:eastAsia="zh-CN"/>
              </w:rPr>
              <w:t>3</w:t>
            </w:r>
            <w:r>
              <w:rPr>
                <w:rFonts w:hint="eastAsia" w:ascii="宋体" w:hAnsi="宋体" w:eastAsia="宋体" w:cs="Times New Roman"/>
                <w:b/>
                <w:bCs w:val="0"/>
                <w:color w:val="auto"/>
                <w:sz w:val="24"/>
                <w:szCs w:val="24"/>
                <w:highlight w:val="none"/>
                <w:lang w:val="en-US" w:eastAsia="zh-CN"/>
              </w:rPr>
              <w:t>工艺流程图及产排污节点图</w:t>
            </w:r>
          </w:p>
          <w:p w14:paraId="3934AC47">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工艺流程简述：</w:t>
            </w:r>
          </w:p>
          <w:p w14:paraId="2E12E99E">
            <w:pPr>
              <w:keepNext w:val="0"/>
              <w:keepLines w:val="0"/>
              <w:numPr>
                <w:ilvl w:val="0"/>
                <w:numId w:val="0"/>
              </w:numPr>
              <w:suppressLineNumbers w:val="0"/>
              <w:adjustRightInd w:val="0"/>
              <w:snapToGrid w:val="0"/>
              <w:spacing w:before="0" w:beforeAutospacing="0" w:after="0" w:afterAutospacing="0" w:line="460" w:lineRule="exact"/>
              <w:ind w:left="0" w:right="0" w:firstLine="480" w:firstLineChars="200"/>
              <w:rPr>
                <w:rFonts w:hint="eastAsia"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（1）原料入库</w:t>
            </w:r>
          </w:p>
          <w:p w14:paraId="08F05A20">
            <w:pPr>
              <w:keepNext w:val="0"/>
              <w:keepLines w:val="0"/>
              <w:numPr>
                <w:ilvl w:val="0"/>
                <w:numId w:val="0"/>
              </w:numPr>
              <w:suppressLineNumbers w:val="0"/>
              <w:adjustRightInd w:val="0"/>
              <w:snapToGrid w:val="0"/>
              <w:spacing w:before="0" w:beforeAutospacing="0" w:after="0" w:afterAutospacing="0" w:line="460" w:lineRule="exact"/>
              <w:ind w:left="0" w:right="0" w:firstLine="480" w:firstLineChars="200"/>
              <w:rPr>
                <w:rFonts w:hint="eastAsia" w:cs="Times New Roman"/>
                <w:color w:val="auto"/>
                <w:kern w:val="2"/>
                <w:sz w:val="24"/>
                <w:szCs w:val="24"/>
                <w:highlight w:val="none"/>
                <w:lang w:val="en-US" w:eastAsia="zh-CN" w:bidi="ar-SA"/>
              </w:rPr>
            </w:pPr>
            <w:r>
              <w:rPr>
                <w:rFonts w:hint="eastAsia"/>
                <w:color w:val="auto"/>
                <w:sz w:val="24"/>
                <w:szCs w:val="24"/>
                <w:highlight w:val="none"/>
              </w:rPr>
              <w:t>外购密封吨袋包装的成品玻璃砂，厂内不进行清洗、破碎工序，原料通过货车运入本项目</w:t>
            </w:r>
            <w:r>
              <w:rPr>
                <w:rFonts w:hint="eastAsia"/>
                <w:color w:val="auto"/>
                <w:sz w:val="24"/>
                <w:szCs w:val="24"/>
                <w:highlight w:val="none"/>
                <w:lang w:val="en-US" w:eastAsia="zh-CN"/>
              </w:rPr>
              <w:t>原料库</w:t>
            </w:r>
            <w:r>
              <w:rPr>
                <w:rFonts w:hint="eastAsia"/>
                <w:color w:val="auto"/>
                <w:sz w:val="24"/>
                <w:szCs w:val="24"/>
                <w:highlight w:val="none"/>
              </w:rPr>
              <w:t>码放暂存</w:t>
            </w:r>
          </w:p>
          <w:p w14:paraId="3A470532">
            <w:pPr>
              <w:keepNext w:val="0"/>
              <w:keepLines w:val="0"/>
              <w:numPr>
                <w:ilvl w:val="0"/>
                <w:numId w:val="0"/>
              </w:numPr>
              <w:suppressLineNumbers w:val="0"/>
              <w:adjustRightInd w:val="0"/>
              <w:snapToGrid w:val="0"/>
              <w:spacing w:before="0" w:beforeAutospacing="0" w:after="0" w:afterAutospacing="0" w:line="460" w:lineRule="exact"/>
              <w:ind w:left="0" w:right="0"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）原料</w:t>
            </w:r>
            <w:r>
              <w:rPr>
                <w:rFonts w:hint="eastAsia" w:ascii="Times New Roman" w:hAnsi="Times New Roman" w:eastAsia="宋体" w:cs="Times New Roman"/>
                <w:color w:val="auto"/>
                <w:sz w:val="24"/>
                <w:highlight w:val="none"/>
                <w:lang w:val="en-US" w:eastAsia="zh-CN"/>
              </w:rPr>
              <w:t>上料工序</w:t>
            </w:r>
          </w:p>
          <w:p w14:paraId="52214E86">
            <w:pPr>
              <w:keepNext w:val="0"/>
              <w:keepLines w:val="0"/>
              <w:numPr>
                <w:ilvl w:val="0"/>
                <w:numId w:val="0"/>
              </w:numPr>
              <w:suppressLineNumbers w:val="0"/>
              <w:adjustRightInd w:val="0"/>
              <w:spacing w:before="0" w:beforeAutospacing="0" w:after="0" w:afterAutospacing="0" w:line="460" w:lineRule="exact"/>
              <w:ind w:left="0" w:right="0" w:firstLine="480" w:firstLineChars="200"/>
              <w:rPr>
                <w:rFonts w:hint="eastAsia" w:ascii="Times New Roman" w:hAnsi="Times New Roman" w:cs="Times New Roman"/>
                <w:color w:val="auto"/>
                <w:lang w:val="en-US" w:eastAsia="zh-CN"/>
              </w:rPr>
            </w:pPr>
            <w:r>
              <w:rPr>
                <w:rFonts w:hint="eastAsia"/>
                <w:color w:val="auto"/>
                <w:sz w:val="24"/>
                <w:highlight w:val="none"/>
              </w:rPr>
              <w:t>吨袋包装的玻璃砂经</w:t>
            </w:r>
            <w:r>
              <w:rPr>
                <w:rFonts w:hint="eastAsia"/>
                <w:color w:val="auto"/>
                <w:sz w:val="24"/>
                <w:highlight w:val="none"/>
                <w:lang w:val="en-US" w:eastAsia="zh-CN"/>
              </w:rPr>
              <w:t>叉车</w:t>
            </w:r>
            <w:r>
              <w:rPr>
                <w:rFonts w:hint="eastAsia"/>
                <w:color w:val="auto"/>
                <w:sz w:val="24"/>
                <w:highlight w:val="none"/>
              </w:rPr>
              <w:t>送入料斗</w:t>
            </w:r>
            <w:r>
              <w:rPr>
                <w:rFonts w:hint="eastAsia"/>
                <w:color w:val="auto"/>
                <w:sz w:val="24"/>
                <w:highlight w:val="none"/>
                <w:lang w:eastAsia="zh-CN"/>
              </w:rPr>
              <w:t>，</w:t>
            </w:r>
            <w:r>
              <w:rPr>
                <w:rFonts w:hint="eastAsia" w:ascii="Times New Roman" w:hAnsi="Times New Roman" w:eastAsia="宋体" w:cs="Times New Roman"/>
                <w:color w:val="auto"/>
                <w:sz w:val="24"/>
                <w:highlight w:val="none"/>
                <w:lang w:val="en-US" w:eastAsia="zh-CN"/>
              </w:rPr>
              <w:t>经</w:t>
            </w:r>
            <w:r>
              <w:rPr>
                <w:rFonts w:hint="eastAsia" w:cs="Times New Roman"/>
                <w:color w:val="auto"/>
                <w:sz w:val="24"/>
                <w:highlight w:val="none"/>
                <w:lang w:val="en-US" w:eastAsia="zh-CN"/>
              </w:rPr>
              <w:t>密闭</w:t>
            </w:r>
            <w:r>
              <w:rPr>
                <w:rFonts w:hint="eastAsia" w:ascii="Times New Roman" w:hAnsi="Times New Roman" w:eastAsia="宋体" w:cs="Times New Roman"/>
                <w:color w:val="auto"/>
                <w:sz w:val="24"/>
                <w:highlight w:val="none"/>
                <w:lang w:val="en-US" w:eastAsia="zh-CN"/>
              </w:rPr>
              <w:t>提升机给料至投料器，投料器均匀投料至玻璃微珠烧制炉。</w:t>
            </w:r>
          </w:p>
          <w:p w14:paraId="528991B8">
            <w:pPr>
              <w:keepNext w:val="0"/>
              <w:keepLines w:val="0"/>
              <w:numPr>
                <w:ilvl w:val="0"/>
                <w:numId w:val="0"/>
              </w:numPr>
              <w:suppressLineNumbers w:val="0"/>
              <w:adjustRightInd w:val="0"/>
              <w:snapToGrid w:val="0"/>
              <w:spacing w:before="0" w:beforeAutospacing="0" w:after="0" w:afterAutospacing="0" w:line="460" w:lineRule="exact"/>
              <w:ind w:left="0" w:right="0"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）玻璃微珠</w:t>
            </w:r>
            <w:r>
              <w:rPr>
                <w:rFonts w:hint="eastAsia" w:ascii="Times New Roman" w:hAnsi="Times New Roman" w:eastAsia="宋体" w:cs="Times New Roman"/>
                <w:color w:val="auto"/>
                <w:sz w:val="24"/>
                <w:highlight w:val="none"/>
                <w:lang w:val="en-US" w:eastAsia="zh-CN"/>
              </w:rPr>
              <w:t>烧制成型工序</w:t>
            </w:r>
          </w:p>
          <w:p w14:paraId="1896003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0" w:right="0"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玻璃微珠烧制炉自下而上分为烧制成型室和扩展冷却室两部分。玻璃微珠烧制炉下方设有燃气喷嘴，原料通过投料器连续进入玻璃微珠烧制炉成型室内，玻璃砂受热至熔点（980℃~1050℃），依靠火焰漂浮法使玻璃颗粒受热软化、熔融、表面张力作用形成球状玻璃微珠</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由于玻璃液滴处于漂浮状态，并使用特制的布料器（可避免玻璃砂抱团），液滴不会出现相互</w:t>
            </w:r>
            <w:r>
              <w:rPr>
                <w:rFonts w:hint="eastAsia" w:cs="Times New Roman"/>
                <w:color w:val="auto"/>
                <w:sz w:val="24"/>
                <w:highlight w:val="none"/>
                <w:lang w:val="en-US" w:eastAsia="zh-CN"/>
              </w:rPr>
              <w:t>黏结</w:t>
            </w:r>
            <w:r>
              <w:rPr>
                <w:rFonts w:hint="eastAsia" w:ascii="Times New Roman" w:hAnsi="Times New Roman" w:eastAsia="宋体" w:cs="Times New Roman"/>
                <w:color w:val="auto"/>
                <w:sz w:val="24"/>
                <w:highlight w:val="none"/>
                <w:lang w:val="en-US" w:eastAsia="zh-CN"/>
              </w:rPr>
              <w:t>。</w:t>
            </w:r>
          </w:p>
          <w:p w14:paraId="7F7DDE4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4</w:t>
            </w:r>
            <w:r>
              <w:rPr>
                <w:rFonts w:hint="eastAsia"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sz w:val="24"/>
                <w:highlight w:val="none"/>
                <w:lang w:val="en-US" w:eastAsia="zh-CN"/>
              </w:rPr>
              <w:t>冷却</w:t>
            </w:r>
          </w:p>
          <w:p w14:paraId="723E72D8">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玻璃液滴沿成型室向上悬浮运动，一直通过成型室到达扩展冷却室，由于扩展室直径突然明显大了许多，向上的引力变小，达到引力与液滴自重平衡点时，液滴开始下降，向外围扩散，开始降温冷却，进入扩散室时温度可降至300~400℃，玻璃液滴在自身表面张力的作用下凝固成球，大部分落入沉降斗中。沉降斗是玻璃微珠成型后的收集容器，分布在扩展冷却室外围下端，一般</w:t>
            </w:r>
            <w:r>
              <w:rPr>
                <w:rFonts w:hint="eastAsia" w:cs="Times New Roman"/>
                <w:color w:val="auto"/>
                <w:sz w:val="24"/>
                <w:highlight w:val="none"/>
                <w:lang w:val="en-US" w:eastAsia="zh-CN"/>
              </w:rPr>
              <w:t>呈</w:t>
            </w:r>
            <w:r>
              <w:rPr>
                <w:rFonts w:hint="eastAsia" w:ascii="Times New Roman" w:hAnsi="Times New Roman" w:eastAsia="宋体" w:cs="Times New Roman"/>
                <w:color w:val="auto"/>
                <w:sz w:val="24"/>
                <w:highlight w:val="none"/>
                <w:lang w:val="en-US" w:eastAsia="zh-CN"/>
              </w:rPr>
              <w:t>环形分布，下部通过导管与冷却绞龙</w:t>
            </w:r>
            <w:r>
              <w:rPr>
                <w:rFonts w:hint="eastAsia" w:cs="Times New Roman"/>
                <w:color w:val="auto"/>
                <w:sz w:val="24"/>
                <w:highlight w:val="none"/>
                <w:lang w:val="en-US" w:eastAsia="zh-CN"/>
              </w:rPr>
              <w:t>密闭</w:t>
            </w:r>
            <w:r>
              <w:rPr>
                <w:rFonts w:hint="eastAsia" w:ascii="Times New Roman" w:hAnsi="Times New Roman" w:eastAsia="宋体" w:cs="Times New Roman"/>
                <w:color w:val="auto"/>
                <w:sz w:val="24"/>
                <w:highlight w:val="none"/>
                <w:lang w:val="en-US" w:eastAsia="zh-CN"/>
              </w:rPr>
              <w:t>连接，极少部分比重较小玻璃微珠进入旋风冷却收集器，（旋风冷却收集器的主要作用是冷却燃烧废气，回收比重较小的玻璃微珠，收集器下方设有密闭管道连接冷却绞龙机</w:t>
            </w:r>
            <w:r>
              <w:rPr>
                <w:rFonts w:hint="eastAsia" w:cs="Times New Roman"/>
                <w:color w:val="auto"/>
                <w:sz w:val="24"/>
                <w:highlight w:val="none"/>
                <w:lang w:val="en-US" w:eastAsia="zh-CN"/>
              </w:rPr>
              <w:t>，</w:t>
            </w:r>
            <w:r>
              <w:rPr>
                <w:rFonts w:hint="default" w:ascii="宋体" w:hAnsi="宋体" w:eastAsia="宋体" w:cs="宋体"/>
                <w:color w:val="auto"/>
                <w:sz w:val="24"/>
                <w:szCs w:val="24"/>
              </w:rPr>
              <w:t>旋风冷却收集器排气口密闭接管引至后端废气处理设施，与烧制炉工艺废气一并净化处理后高空排放</w:t>
            </w:r>
            <w:r>
              <w:rPr>
                <w:rFonts w:hint="eastAsia" w:ascii="Times New Roman" w:hAnsi="Times New Roman" w:eastAsia="宋体" w:cs="Times New Roman"/>
                <w:color w:val="auto"/>
                <w:sz w:val="24"/>
                <w:highlight w:val="none"/>
                <w:lang w:val="en-US" w:eastAsia="zh-CN"/>
              </w:rPr>
              <w:t>）。落入沉降斗的玻璃微珠以及经旋风冷却收集器收集的玻璃微珠通过导管</w:t>
            </w:r>
            <w:r>
              <w:rPr>
                <w:rFonts w:hint="eastAsia" w:cs="Times New Roman"/>
                <w:color w:val="auto"/>
                <w:sz w:val="24"/>
                <w:highlight w:val="none"/>
                <w:lang w:val="en-US" w:eastAsia="zh-CN"/>
              </w:rPr>
              <w:t>流入</w:t>
            </w:r>
            <w:r>
              <w:rPr>
                <w:rFonts w:hint="eastAsia" w:ascii="Times New Roman" w:hAnsi="Times New Roman" w:eastAsia="宋体" w:cs="Times New Roman"/>
                <w:color w:val="auto"/>
                <w:sz w:val="24"/>
                <w:highlight w:val="none"/>
                <w:lang w:val="en-US" w:eastAsia="zh-CN"/>
              </w:rPr>
              <w:t>冷却绞龙中继续冷却，绞龙通过水的热交换（玻璃微珠不与水接触）进行交换，绞龙转动搅动玻璃微珠加快冷却，玻璃微珠温度降至100℃左右。</w:t>
            </w:r>
          </w:p>
          <w:p w14:paraId="1943EFB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5</w:t>
            </w:r>
            <w:r>
              <w:rPr>
                <w:rFonts w:hint="eastAsia" w:ascii="Times New Roman" w:hAnsi="Times New Roman" w:eastAsia="宋体" w:cs="Times New Roman"/>
                <w:color w:val="auto"/>
                <w:kern w:val="2"/>
                <w:sz w:val="24"/>
                <w:szCs w:val="24"/>
                <w:highlight w:val="none"/>
                <w:lang w:val="en-US" w:eastAsia="zh-CN" w:bidi="ar-SA"/>
              </w:rPr>
              <w:t>）筛分工序</w:t>
            </w:r>
          </w:p>
          <w:p w14:paraId="439D8CE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冷却绞龙与振动筛密闭连接，</w:t>
            </w:r>
            <w:r>
              <w:rPr>
                <w:rFonts w:hint="eastAsia" w:ascii="Times New Roman" w:hAnsi="Times New Roman" w:eastAsia="宋体" w:cs="Times New Roman"/>
                <w:color w:val="auto"/>
                <w:kern w:val="2"/>
                <w:sz w:val="24"/>
                <w:szCs w:val="24"/>
                <w:highlight w:val="none"/>
                <w:lang w:val="en-US" w:eastAsia="zh-CN" w:bidi="ar-SA"/>
              </w:rPr>
              <w:t>玻璃微珠经振动筛进行筛分，筛去不规则形状产品，筛分后温度降至70℃左右。</w:t>
            </w:r>
          </w:p>
          <w:p w14:paraId="491A4AA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6</w:t>
            </w:r>
            <w:r>
              <w:rPr>
                <w:rFonts w:hint="eastAsia" w:ascii="Times New Roman" w:hAnsi="Times New Roman" w:eastAsia="宋体" w:cs="Times New Roman"/>
                <w:color w:val="auto"/>
                <w:sz w:val="24"/>
                <w:highlight w:val="none"/>
                <w:lang w:val="en-US" w:eastAsia="zh-CN"/>
              </w:rPr>
              <w:t>）成品包装</w:t>
            </w:r>
          </w:p>
          <w:p w14:paraId="5D949043">
            <w:pPr>
              <w:pStyle w:val="7"/>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经过筛分的成品玻璃微珠进入吨包，暂存于成品暂存区，随后转运成品</w:t>
            </w:r>
            <w:r>
              <w:rPr>
                <w:rFonts w:hint="eastAsia" w:cs="Times New Roman"/>
                <w:color w:val="auto"/>
                <w:kern w:val="2"/>
                <w:sz w:val="24"/>
                <w:szCs w:val="24"/>
                <w:highlight w:val="none"/>
                <w:lang w:val="en-US" w:eastAsia="zh-CN" w:bidi="ar-SA"/>
              </w:rPr>
              <w:t>库</w:t>
            </w:r>
            <w:r>
              <w:rPr>
                <w:rFonts w:hint="eastAsia" w:ascii="Times New Roman" w:hAnsi="Times New Roman" w:eastAsia="宋体" w:cs="Times New Roman"/>
                <w:color w:val="auto"/>
                <w:kern w:val="2"/>
                <w:sz w:val="24"/>
                <w:szCs w:val="24"/>
                <w:highlight w:val="none"/>
                <w:lang w:val="en-US" w:eastAsia="zh-CN" w:bidi="ar-SA"/>
              </w:rPr>
              <w:t>，作为产品外售。</w:t>
            </w:r>
          </w:p>
          <w:p w14:paraId="223B673A">
            <w:pPr>
              <w:pStyle w:val="7"/>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本项目燃烧采用低浓度瓦斯</w:t>
            </w:r>
            <w:r>
              <w:rPr>
                <w:rFonts w:hint="eastAsia" w:ascii="Times New Roman" w:hAnsi="Times New Roman" w:eastAsia="宋体" w:cs="Times New Roman"/>
                <w:bCs/>
                <w:color w:val="auto"/>
                <w:kern w:val="2"/>
                <w:sz w:val="24"/>
                <w:szCs w:val="24"/>
                <w:lang w:val="en-US" w:eastAsia="zh-CN" w:bidi="ar"/>
              </w:rPr>
              <w:t>多孔介质燃烧制热技术</w:t>
            </w:r>
            <w:r>
              <w:rPr>
                <w:rFonts w:hint="default" w:cs="Times New Roman"/>
                <w:bCs/>
                <w:color w:val="auto"/>
                <w:kern w:val="2"/>
                <w:sz w:val="24"/>
                <w:szCs w:val="24"/>
                <w:lang w:val="en-US" w:eastAsia="zh-CN" w:bidi="ar"/>
              </w:rPr>
              <w:t>，</w:t>
            </w:r>
            <w:r>
              <w:rPr>
                <w:rFonts w:hint="default" w:ascii="Times New Roman" w:hAnsi="Times New Roman" w:eastAsia="宋体" w:cs="Times New Roman"/>
                <w:color w:val="auto"/>
                <w:sz w:val="24"/>
                <w:szCs w:val="24"/>
              </w:rPr>
              <w:t>通过鼓风机鼓入助燃空气，对瓦斯进行掺混稀释，将甲烷浓度调控至8%后进入多孔介质装置燃烧</w:t>
            </w:r>
            <w:r>
              <w:rPr>
                <w:rFonts w:hint="default" w:ascii="Times New Roman" w:hAnsi="Times New Roman" w:eastAsia="宋体" w:cs="Times New Roman"/>
                <w:color w:val="auto"/>
                <w:sz w:val="24"/>
                <w:szCs w:val="24"/>
                <w:lang w:eastAsia="zh-CN"/>
              </w:rPr>
              <w:t>。</w:t>
            </w:r>
          </w:p>
          <w:p w14:paraId="1BF2A872">
            <w:pPr>
              <w:pStyle w:val="7"/>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center"/>
              <w:textAlignment w:val="auto"/>
              <w:rPr>
                <w:rFonts w:hint="eastAsia" w:ascii="Times New Roman" w:hAnsi="Times New Roman" w:eastAsia="宋体" w:cs="Times New Roman"/>
                <w:color w:val="auto"/>
                <w:sz w:val="24"/>
                <w:szCs w:val="24"/>
                <w:lang w:val="en-US" w:eastAsia="zh-CN"/>
              </w:rPr>
            </w:pPr>
            <w:r>
              <w:rPr>
                <w:rFonts w:hint="default"/>
                <w:color w:val="auto"/>
                <w:sz w:val="24"/>
              </w:rPr>
              <mc:AlternateContent>
                <mc:Choice Requires="wps">
                  <w:drawing>
                    <wp:anchor distT="0" distB="0" distL="114300" distR="114300" simplePos="0" relativeHeight="251659264" behindDoc="0" locked="0" layoutInCell="1" allowOverlap="1">
                      <wp:simplePos x="0" y="0"/>
                      <wp:positionH relativeFrom="column">
                        <wp:posOffset>339725</wp:posOffset>
                      </wp:positionH>
                      <wp:positionV relativeFrom="paragraph">
                        <wp:posOffset>2712720</wp:posOffset>
                      </wp:positionV>
                      <wp:extent cx="626110" cy="539750"/>
                      <wp:effectExtent l="0" t="0" r="0" b="0"/>
                      <wp:wrapNone/>
                      <wp:docPr id="6" name="文本框 6"/>
                      <wp:cNvGraphicFramePr/>
                      <a:graphic xmlns:a="http://schemas.openxmlformats.org/drawingml/2006/main">
                        <a:graphicData uri="http://schemas.microsoft.com/office/word/2010/wordprocessingShape">
                          <wps:wsp>
                            <wps:cNvSpPr txBox="1"/>
                            <wps:spPr>
                              <a:xfrm>
                                <a:off x="1839595" y="4194810"/>
                                <a:ext cx="626110" cy="539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94EF3B">
                                  <w:pPr>
                                    <w:rPr>
                                      <w:rFonts w:hint="default" w:eastAsia="宋体"/>
                                      <w:b/>
                                      <w:bCs w:val="0"/>
                                      <w:sz w:val="18"/>
                                      <w:szCs w:val="18"/>
                                      <w:lang w:val="en-US" w:eastAsia="zh-CN"/>
                                    </w:rPr>
                                  </w:pPr>
                                  <w:r>
                                    <w:rPr>
                                      <w:rFonts w:hint="eastAsia"/>
                                      <w:b/>
                                      <w:bCs w:val="0"/>
                                      <w:sz w:val="18"/>
                                      <w:szCs w:val="18"/>
                                      <w:lang w:val="en-US" w:eastAsia="zh-CN"/>
                                    </w:rPr>
                                    <w:t>SCR+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75pt;margin-top:213.6pt;height:42.5pt;width:49.3pt;z-index:251659264;mso-width-relative:page;mso-height-relative:page;" filled="f" stroked="f" coordsize="21600,21600" o:gfxdata="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kAuknaAAAACgEAAA8AAAAAAAAAAQAg&#10;AAAAIgAAAGRycy9kb3ducmV2LnhtbFBLAQIUABQAAAAIAIdO4kACUL0TRQIAAHEEAAAOAAAAAAAA&#10;AAEAIAAAACkBAABkcnMvZTJvRG9jLnhtbFBLBQYAAAAABgAGAFkBAADgBQAAAAA=&#10;">
                      <v:fill on="f" focussize="0,0"/>
                      <v:stroke on="f" weight="0.5pt"/>
                      <v:imagedata o:title=""/>
                      <o:lock v:ext="edit" aspectratio="f"/>
                      <v:textbox>
                        <w:txbxContent>
                          <w:p w14:paraId="7794EF3B">
                            <w:pPr>
                              <w:rPr>
                                <w:rFonts w:hint="default" w:eastAsia="宋体"/>
                                <w:b/>
                                <w:bCs w:val="0"/>
                                <w:sz w:val="18"/>
                                <w:szCs w:val="18"/>
                                <w:lang w:val="en-US" w:eastAsia="zh-CN"/>
                              </w:rPr>
                            </w:pPr>
                            <w:r>
                              <w:rPr>
                                <w:rFonts w:hint="eastAsia"/>
                                <w:b/>
                                <w:bCs w:val="0"/>
                                <w:sz w:val="18"/>
                                <w:szCs w:val="18"/>
                                <w:lang w:val="en-US" w:eastAsia="zh-CN"/>
                              </w:rPr>
                              <w:t>SCR+</w:t>
                            </w:r>
                          </w:p>
                        </w:txbxContent>
                      </v:textbox>
                    </v:shape>
                  </w:pict>
                </mc:Fallback>
              </mc:AlternateContent>
            </w:r>
            <w:r>
              <w:rPr>
                <w:rFonts w:hint="eastAsia" w:ascii="Times New Roman" w:hAnsi="Times New Roman" w:eastAsia="宋体" w:cs="Times New Roman"/>
                <w:color w:val="auto"/>
                <w:sz w:val="24"/>
                <w:szCs w:val="24"/>
                <w:lang w:val="en-US" w:eastAsia="zh-CN"/>
              </w:rPr>
              <w:drawing>
                <wp:inline distT="0" distB="0" distL="114300" distR="114300">
                  <wp:extent cx="4656455" cy="3723640"/>
                  <wp:effectExtent l="0" t="0" r="10795" b="10160"/>
                  <wp:docPr id="5" name="图片 5" descr="f6542623bcd7729536cdcb9d55c784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6542623bcd7729536cdcb9d55c7840d"/>
                          <pic:cNvPicPr>
                            <a:picLocks noChangeAspect="1"/>
                          </pic:cNvPicPr>
                        </pic:nvPicPr>
                        <pic:blipFill>
                          <a:blip r:embed="rId22"/>
                          <a:stretch>
                            <a:fillRect/>
                          </a:stretch>
                        </pic:blipFill>
                        <pic:spPr>
                          <a:xfrm>
                            <a:off x="0" y="0"/>
                            <a:ext cx="4656455" cy="3723640"/>
                          </a:xfrm>
                          <a:prstGeom prst="rect">
                            <a:avLst/>
                          </a:prstGeom>
                        </pic:spPr>
                      </pic:pic>
                    </a:graphicData>
                  </a:graphic>
                </wp:inline>
              </w:drawing>
            </w:r>
          </w:p>
          <w:p w14:paraId="5EC299E7">
            <w:pPr>
              <w:pStyle w:val="10"/>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360" w:lineRule="auto"/>
              <w:ind w:left="0" w:right="0"/>
              <w:jc w:val="center"/>
              <w:textAlignment w:val="auto"/>
              <w:rPr>
                <w:rFonts w:hint="default" w:ascii="Times New Roman" w:hAnsi="Times New Roman" w:cs="Times New Roman"/>
                <w:b/>
                <w:bCs/>
                <w:color w:val="auto"/>
                <w:sz w:val="24"/>
                <w:szCs w:val="24"/>
                <w:highlight w:val="none"/>
                <w:lang w:val="en-US" w:eastAsia="zh-CN"/>
              </w:rPr>
            </w:pPr>
            <w:r>
              <w:rPr>
                <w:rFonts w:hint="eastAsia" w:ascii="Times New Roman" w:cs="Times New Roman"/>
                <w:b/>
                <w:bCs/>
                <w:color w:val="auto"/>
                <w:sz w:val="24"/>
                <w:szCs w:val="24"/>
                <w:highlight w:val="none"/>
                <w:lang w:val="en-US" w:eastAsia="zh-CN"/>
              </w:rPr>
              <w:t>图2-4 玻璃微珠炉窑构造示意图</w:t>
            </w:r>
          </w:p>
          <w:p w14:paraId="6247A613">
            <w:pPr>
              <w:pStyle w:val="10"/>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360" w:lineRule="auto"/>
              <w:ind w:left="0" w:right="0"/>
              <w:textAlignment w:val="auto"/>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二、产排污环节</w:t>
            </w:r>
          </w:p>
          <w:p w14:paraId="722254BF">
            <w:pPr>
              <w:pStyle w:val="65"/>
              <w:keepNext w:val="0"/>
              <w:keepLines w:val="0"/>
              <w:widowControl/>
              <w:suppressLineNumbers w:val="0"/>
              <w:adjustRightInd w:val="0"/>
              <w:snapToGrid w:val="0"/>
              <w:spacing w:before="0" w:beforeAutospacing="0" w:after="0" w:afterAutospacing="0" w:line="360" w:lineRule="auto"/>
              <w:ind w:left="0" w:right="0" w:firstLine="482"/>
              <w:textAlignment w:val="baseline"/>
              <w:rPr>
                <w:rFonts w:hint="default" w:ascii="Times New Roman" w:hAnsi="Times New Roman" w:eastAsia="宋体"/>
                <w:b/>
                <w:bCs/>
                <w:color w:val="auto"/>
                <w:sz w:val="24"/>
                <w:highlight w:val="none"/>
              </w:rPr>
            </w:pPr>
            <w:r>
              <w:rPr>
                <w:rFonts w:hint="eastAsia" w:ascii="Times New Roman" w:hAnsi="Times New Roman" w:eastAsia="宋体"/>
                <w:b/>
                <w:bCs/>
                <w:color w:val="auto"/>
                <w:sz w:val="24"/>
                <w:highlight w:val="none"/>
                <w:lang w:eastAsia="zh-CN"/>
              </w:rPr>
              <w:t>1.</w:t>
            </w:r>
            <w:r>
              <w:rPr>
                <w:rFonts w:hint="default" w:ascii="Times New Roman" w:hAnsi="Times New Roman" w:eastAsia="宋体"/>
                <w:b/>
                <w:bCs/>
                <w:color w:val="auto"/>
                <w:sz w:val="24"/>
                <w:highlight w:val="none"/>
              </w:rPr>
              <w:t>废气</w:t>
            </w:r>
          </w:p>
          <w:p w14:paraId="6A270C3E">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1</w:t>
            </w:r>
            <w:r>
              <w:rPr>
                <w:rFonts w:hint="eastAsia" w:ascii="Times New Roman" w:hAnsi="Times New Roman" w:cs="Times New Roman"/>
                <w:color w:val="auto"/>
                <w:sz w:val="24"/>
                <w:highlight w:val="none"/>
                <w:lang w:eastAsia="zh-CN"/>
              </w:rPr>
              <w:t>）原料投料产生的粉尘；</w:t>
            </w:r>
          </w:p>
          <w:p w14:paraId="6A6EA425">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2</w:t>
            </w:r>
            <w:r>
              <w:rPr>
                <w:rFonts w:hint="eastAsia" w:ascii="Times New Roman" w:hAnsi="Times New Roman" w:cs="Times New Roman"/>
                <w:color w:val="auto"/>
                <w:sz w:val="24"/>
                <w:highlight w:val="none"/>
                <w:lang w:eastAsia="zh-CN"/>
              </w:rPr>
              <w:t>）玻璃微珠烧制炉瓦斯燃烧产生的烟尘、</w:t>
            </w:r>
            <w:r>
              <w:rPr>
                <w:rFonts w:hint="eastAsia" w:cs="Times New Roman"/>
                <w:color w:val="auto"/>
                <w:sz w:val="24"/>
                <w:highlight w:val="none"/>
                <w:lang w:val="en-US" w:eastAsia="zh-CN"/>
              </w:rPr>
              <w:t>二氧化硫、</w:t>
            </w:r>
            <w:r>
              <w:rPr>
                <w:rFonts w:hint="eastAsia" w:ascii="Times New Roman" w:hAnsi="Times New Roman" w:cs="Times New Roman"/>
                <w:color w:val="auto"/>
                <w:sz w:val="24"/>
                <w:highlight w:val="none"/>
                <w:lang w:eastAsia="zh-CN"/>
              </w:rPr>
              <w:t>氮氧化物</w:t>
            </w:r>
            <w:r>
              <w:rPr>
                <w:rFonts w:hint="eastAsia" w:ascii="Times New Roman" w:hAnsi="Times New Roman" w:cs="Times New Roman"/>
                <w:color w:val="auto"/>
                <w:sz w:val="24"/>
                <w:highlight w:val="none"/>
              </w:rPr>
              <w:t>；</w:t>
            </w:r>
          </w:p>
          <w:p w14:paraId="532AF533">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3</w:t>
            </w:r>
            <w:r>
              <w:rPr>
                <w:rFonts w:hint="eastAsia" w:ascii="Times New Roman" w:hAnsi="Times New Roman" w:cs="Times New Roman"/>
                <w:color w:val="auto"/>
                <w:sz w:val="24"/>
                <w:highlight w:val="none"/>
                <w:lang w:eastAsia="zh-CN"/>
              </w:rPr>
              <w:t>）成品筛分过</w:t>
            </w:r>
            <w:r>
              <w:rPr>
                <w:rFonts w:hint="eastAsia" w:cs="Times New Roman"/>
                <w:color w:val="auto"/>
                <w:sz w:val="24"/>
                <w:highlight w:val="none"/>
                <w:lang w:eastAsia="zh-CN"/>
              </w:rPr>
              <w:t>程中</w:t>
            </w:r>
            <w:r>
              <w:rPr>
                <w:rFonts w:hint="eastAsia" w:ascii="Times New Roman" w:hAnsi="Times New Roman" w:cs="Times New Roman"/>
                <w:color w:val="auto"/>
                <w:sz w:val="24"/>
                <w:highlight w:val="none"/>
                <w:lang w:eastAsia="zh-CN"/>
              </w:rPr>
              <w:t>产生的粉尘</w:t>
            </w:r>
            <w:r>
              <w:rPr>
                <w:rFonts w:hint="eastAsia" w:ascii="Times New Roman" w:hAnsi="Times New Roman" w:cs="Times New Roman"/>
                <w:color w:val="auto"/>
                <w:sz w:val="24"/>
                <w:highlight w:val="none"/>
              </w:rPr>
              <w:t>；</w:t>
            </w:r>
          </w:p>
          <w:p w14:paraId="4F81210A">
            <w:pPr>
              <w:pStyle w:val="65"/>
              <w:keepNext w:val="0"/>
              <w:keepLines w:val="0"/>
              <w:widowControl/>
              <w:suppressLineNumbers w:val="0"/>
              <w:adjustRightInd w:val="0"/>
              <w:snapToGrid w:val="0"/>
              <w:spacing w:before="0" w:beforeAutospacing="0" w:after="0" w:afterAutospacing="0" w:line="360" w:lineRule="auto"/>
              <w:ind w:left="0" w:right="0" w:firstLine="482"/>
              <w:textAlignment w:val="baseline"/>
              <w:rPr>
                <w:rFonts w:hint="default" w:ascii="Times New Roman" w:hAnsi="Times New Roman" w:eastAsia="宋体"/>
                <w:b/>
                <w:bCs/>
                <w:color w:val="auto"/>
                <w:sz w:val="24"/>
                <w:highlight w:val="none"/>
              </w:rPr>
            </w:pPr>
            <w:r>
              <w:rPr>
                <w:rFonts w:hint="eastAsia" w:ascii="Times New Roman" w:hAnsi="Times New Roman" w:eastAsia="宋体"/>
                <w:b/>
                <w:bCs/>
                <w:color w:val="auto"/>
                <w:sz w:val="24"/>
                <w:highlight w:val="none"/>
                <w:lang w:eastAsia="zh-CN"/>
              </w:rPr>
              <w:t>2.</w:t>
            </w:r>
            <w:r>
              <w:rPr>
                <w:rFonts w:hint="default" w:ascii="Times New Roman" w:hAnsi="Times New Roman" w:eastAsia="宋体"/>
                <w:b/>
                <w:bCs/>
                <w:color w:val="auto"/>
                <w:sz w:val="24"/>
                <w:highlight w:val="none"/>
              </w:rPr>
              <w:t>废水</w:t>
            </w:r>
          </w:p>
          <w:p w14:paraId="5F9FC265">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eastAsia="zh-CN"/>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1</w:t>
            </w:r>
            <w:r>
              <w:rPr>
                <w:rFonts w:hint="eastAsia" w:ascii="Times New Roman" w:hAnsi="Times New Roman" w:cs="Times New Roman"/>
                <w:color w:val="auto"/>
                <w:sz w:val="24"/>
                <w:highlight w:val="none"/>
                <w:lang w:eastAsia="zh-CN"/>
              </w:rPr>
              <w:t>）职工办公生活污水；</w:t>
            </w:r>
          </w:p>
          <w:p w14:paraId="787A4873">
            <w:pPr>
              <w:pStyle w:val="65"/>
              <w:keepNext w:val="0"/>
              <w:keepLines w:val="0"/>
              <w:widowControl/>
              <w:suppressLineNumbers w:val="0"/>
              <w:adjustRightInd w:val="0"/>
              <w:snapToGrid w:val="0"/>
              <w:spacing w:before="0" w:beforeAutospacing="0" w:after="0" w:afterAutospacing="0" w:line="360" w:lineRule="auto"/>
              <w:ind w:left="0" w:right="0" w:firstLine="482"/>
              <w:textAlignment w:val="baseline"/>
              <w:rPr>
                <w:rFonts w:hint="default" w:ascii="Times New Roman" w:hAnsi="Times New Roman" w:eastAsia="宋体"/>
                <w:b/>
                <w:bCs/>
                <w:color w:val="auto"/>
                <w:sz w:val="24"/>
                <w:highlight w:val="none"/>
              </w:rPr>
            </w:pPr>
            <w:r>
              <w:rPr>
                <w:rFonts w:hint="eastAsia" w:ascii="Times New Roman" w:hAnsi="Times New Roman" w:eastAsia="宋体"/>
                <w:b/>
                <w:bCs/>
                <w:color w:val="auto"/>
                <w:sz w:val="24"/>
                <w:highlight w:val="none"/>
                <w:lang w:eastAsia="zh-CN"/>
              </w:rPr>
              <w:t>3.</w:t>
            </w:r>
            <w:r>
              <w:rPr>
                <w:rFonts w:hint="default" w:ascii="Times New Roman" w:hAnsi="Times New Roman" w:eastAsia="宋体"/>
                <w:b/>
                <w:bCs/>
                <w:color w:val="auto"/>
                <w:sz w:val="24"/>
                <w:highlight w:val="none"/>
              </w:rPr>
              <w:t>噪声</w:t>
            </w:r>
          </w:p>
          <w:p w14:paraId="00FAEDE5">
            <w:pPr>
              <w:pStyle w:val="2"/>
              <w:keepLines w:val="0"/>
              <w:suppressLineNumbers w:val="0"/>
              <w:overflowPunct/>
              <w:snapToGrid/>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szCs w:val="24"/>
                <w:highlight w:val="none"/>
                <w:lang w:eastAsia="zh-CN"/>
              </w:rPr>
              <w:t>（</w:t>
            </w:r>
            <w:r>
              <w:rPr>
                <w:rFonts w:hint="eastAsia" w:ascii="Times New Roman" w:hAnsi="Times New Roman" w:eastAsia="宋体" w:cs="Times New Roman"/>
                <w:b w:val="0"/>
                <w:bCs w:val="0"/>
                <w:color w:val="auto"/>
                <w:sz w:val="24"/>
                <w:szCs w:val="24"/>
                <w:highlight w:val="none"/>
                <w:lang w:val="en-US" w:eastAsia="zh-CN"/>
              </w:rPr>
              <w:t>1</w:t>
            </w:r>
            <w:r>
              <w:rPr>
                <w:rFonts w:hint="eastAsia" w:ascii="Times New Roman" w:hAnsi="Times New Roman" w:eastAsia="宋体" w:cs="Times New Roman"/>
                <w:b w:val="0"/>
                <w:bCs w:val="0"/>
                <w:color w:val="auto"/>
                <w:sz w:val="24"/>
                <w:szCs w:val="24"/>
                <w:highlight w:val="none"/>
                <w:lang w:eastAsia="zh-CN"/>
              </w:rPr>
              <w:t>）</w:t>
            </w:r>
            <w:r>
              <w:rPr>
                <w:rFonts w:hint="eastAsia" w:ascii="Times New Roman" w:hAnsi="Times New Roman" w:eastAsia="宋体" w:cs="Times New Roman"/>
                <w:b w:val="0"/>
                <w:bCs w:val="0"/>
                <w:color w:val="auto"/>
                <w:sz w:val="24"/>
                <w:szCs w:val="24"/>
                <w:highlight w:val="none"/>
              </w:rPr>
              <w:t>设备运行过程中产生的噪声；</w:t>
            </w:r>
          </w:p>
          <w:p w14:paraId="7910E06C">
            <w:pPr>
              <w:pStyle w:val="65"/>
              <w:keepNext w:val="0"/>
              <w:keepLines w:val="0"/>
              <w:widowControl/>
              <w:suppressLineNumbers w:val="0"/>
              <w:adjustRightInd w:val="0"/>
              <w:snapToGrid w:val="0"/>
              <w:spacing w:before="0" w:beforeAutospacing="0" w:after="0" w:afterAutospacing="0" w:line="360" w:lineRule="auto"/>
              <w:ind w:left="0" w:right="0" w:firstLine="482"/>
              <w:textAlignment w:val="baseline"/>
              <w:rPr>
                <w:rFonts w:hint="default" w:ascii="Times New Roman" w:hAnsi="Times New Roman" w:eastAsia="宋体"/>
                <w:b/>
                <w:bCs/>
                <w:color w:val="auto"/>
                <w:sz w:val="24"/>
                <w:highlight w:val="none"/>
              </w:rPr>
            </w:pPr>
            <w:r>
              <w:rPr>
                <w:rFonts w:hint="eastAsia" w:ascii="Times New Roman" w:hAnsi="Times New Roman" w:eastAsia="宋体"/>
                <w:b/>
                <w:bCs/>
                <w:color w:val="auto"/>
                <w:sz w:val="24"/>
                <w:highlight w:val="none"/>
                <w:lang w:eastAsia="zh-CN"/>
              </w:rPr>
              <w:t>4.</w:t>
            </w:r>
            <w:r>
              <w:rPr>
                <w:rFonts w:hint="default" w:ascii="Times New Roman" w:hAnsi="Times New Roman" w:eastAsia="宋体"/>
                <w:b/>
                <w:bCs/>
                <w:color w:val="auto"/>
                <w:sz w:val="24"/>
                <w:highlight w:val="none"/>
              </w:rPr>
              <w:t>固体废物</w:t>
            </w:r>
          </w:p>
          <w:p w14:paraId="0905823B">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lang w:eastAsia="zh-CN"/>
              </w:rPr>
              <w:t>）职工的生活垃圾；</w:t>
            </w:r>
          </w:p>
          <w:p w14:paraId="74DB4216">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lang w:eastAsia="zh-CN"/>
              </w:rPr>
              <w:t>）除尘器收集的除尘灰；</w:t>
            </w:r>
          </w:p>
          <w:p w14:paraId="45EE2789">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w:t>
            </w:r>
            <w:r>
              <w:rPr>
                <w:rFonts w:hint="eastAsia" w:cs="Times New Roman"/>
                <w:color w:val="auto"/>
                <w:sz w:val="24"/>
                <w:highlight w:val="none"/>
                <w:lang w:val="en-US" w:eastAsia="zh-CN"/>
              </w:rPr>
              <w:t>3</w:t>
            </w:r>
            <w:r>
              <w:rPr>
                <w:rFonts w:hint="eastAsia" w:ascii="Times New Roman" w:hAnsi="Times New Roman" w:eastAsia="宋体" w:cs="Times New Roman"/>
                <w:color w:val="auto"/>
                <w:sz w:val="24"/>
                <w:highlight w:val="none"/>
                <w:lang w:eastAsia="zh-CN"/>
              </w:rPr>
              <w:t>）玻璃微珠振动筛产生的废料；</w:t>
            </w:r>
          </w:p>
          <w:p w14:paraId="0E218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Times New Roman"/>
                <w:bCs/>
                <w:color w:val="auto"/>
                <w:sz w:val="24"/>
                <w:szCs w:val="24"/>
                <w:highlight w:val="none"/>
                <w:lang w:eastAsia="zh-CN"/>
              </w:rPr>
            </w:pPr>
            <w:r>
              <w:rPr>
                <w:rFonts w:hint="eastAsia" w:ascii="Times New Roman" w:hAnsi="Times New Roman" w:eastAsia="宋体" w:cs="Times New Roman"/>
                <w:color w:val="auto"/>
                <w:sz w:val="24"/>
                <w:highlight w:val="none"/>
                <w:lang w:eastAsia="zh-CN"/>
              </w:rPr>
              <w:t>（</w:t>
            </w:r>
            <w:r>
              <w:rPr>
                <w:rFonts w:hint="eastAsia" w:cs="Times New Roman"/>
                <w:color w:val="auto"/>
                <w:sz w:val="24"/>
                <w:highlight w:val="none"/>
                <w:lang w:val="en-US" w:eastAsia="zh-CN"/>
              </w:rPr>
              <w:t>4</w:t>
            </w:r>
            <w:r>
              <w:rPr>
                <w:rFonts w:hint="eastAsia" w:ascii="Times New Roman" w:hAnsi="Times New Roman" w:eastAsia="宋体" w:cs="Times New Roman"/>
                <w:color w:val="auto"/>
                <w:sz w:val="24"/>
                <w:highlight w:val="none"/>
                <w:lang w:eastAsia="zh-CN"/>
              </w:rPr>
              <w:t>）危险废物（设备维护产生的废棉纱手套、废矿物油、废油桶</w:t>
            </w:r>
            <w:r>
              <w:rPr>
                <w:rFonts w:hint="eastAsia" w:cs="Times New Roman"/>
                <w:color w:val="auto"/>
                <w:sz w:val="24"/>
                <w:highlight w:val="none"/>
                <w:lang w:eastAsia="zh-CN"/>
              </w:rPr>
              <w:t>；</w:t>
            </w:r>
            <w:r>
              <w:rPr>
                <w:rFonts w:hint="eastAsia" w:cs="Times New Roman"/>
                <w:color w:val="auto"/>
                <w:sz w:val="24"/>
                <w:highlight w:val="none"/>
                <w:lang w:val="en-US" w:eastAsia="zh-CN"/>
              </w:rPr>
              <w:t>废气处理产生的废催化剂</w:t>
            </w:r>
            <w:r>
              <w:rPr>
                <w:rFonts w:hint="eastAsia" w:ascii="Times New Roman" w:hAnsi="Times New Roman" w:eastAsia="宋体" w:cs="Times New Roman"/>
                <w:color w:val="auto"/>
                <w:sz w:val="24"/>
                <w:highlight w:val="none"/>
                <w:lang w:eastAsia="zh-CN"/>
              </w:rPr>
              <w:t>）；</w:t>
            </w:r>
          </w:p>
        </w:tc>
      </w:tr>
      <w:tr w14:paraId="4E843B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43" w:hRule="atLeast"/>
          <w:jc w:val="center"/>
        </w:trPr>
        <w:tc>
          <w:tcPr>
            <w:tcW w:w="823" w:type="dxa"/>
            <w:noWrap w:val="0"/>
            <w:vAlign w:val="center"/>
          </w:tcPr>
          <w:p w14:paraId="4E8B5AF1">
            <w:pPr>
              <w:pStyle w:val="20"/>
              <w:keepNext w:val="0"/>
              <w:keepLines w:val="0"/>
              <w:suppressLineNumbers w:val="0"/>
              <w:adjustRightInd w:val="0"/>
              <w:snapToGrid w:val="0"/>
              <w:spacing w:before="0" w:beforeAutospacing="0" w:after="0" w:afterAutospacing="0"/>
              <w:ind w:left="0" w:right="0"/>
              <w:jc w:val="center"/>
              <w:rPr>
                <w:rFonts w:hint="eastAsia" w:cs="宋体"/>
                <w:color w:val="auto"/>
                <w:sz w:val="24"/>
                <w:szCs w:val="24"/>
                <w:highlight w:val="none"/>
              </w:rPr>
            </w:pPr>
            <w:r>
              <w:rPr>
                <w:rFonts w:hint="eastAsia" w:cs="宋体"/>
                <w:bCs/>
                <w:color w:val="auto"/>
                <w:kern w:val="2"/>
                <w:szCs w:val="24"/>
                <w:highlight w:val="none"/>
              </w:rPr>
              <w:t>与项目有关的原有环境污染问题</w:t>
            </w:r>
          </w:p>
        </w:tc>
        <w:tc>
          <w:tcPr>
            <w:tcW w:w="8161" w:type="dxa"/>
            <w:noWrap w:val="0"/>
            <w:vAlign w:val="top"/>
          </w:tcPr>
          <w:p w14:paraId="312C1811">
            <w:pPr>
              <w:keepNext w:val="0"/>
              <w:keepLines w:val="0"/>
              <w:widowControl/>
              <w:suppressLineNumbers w:val="0"/>
              <w:spacing w:before="0" w:beforeAutospacing="0" w:after="0" w:afterAutospacing="0" w:line="360" w:lineRule="auto"/>
              <w:ind w:left="0" w:right="0" w:firstLine="480" w:firstLineChars="200"/>
              <w:jc w:val="left"/>
              <w:rPr>
                <w:rFonts w:hint="default" w:ascii="宋体" w:hAnsi="宋体" w:eastAsia="宋体" w:cs="宋体"/>
                <w:color w:val="auto"/>
                <w:kern w:val="0"/>
                <w:sz w:val="24"/>
                <w:szCs w:val="24"/>
                <w:lang w:bidi="ar"/>
              </w:rPr>
            </w:pPr>
            <w:r>
              <w:rPr>
                <w:rFonts w:hint="default" w:ascii="宋体" w:hAnsi="宋体" w:eastAsia="宋体" w:cs="宋体"/>
                <w:color w:val="auto"/>
                <w:kern w:val="0"/>
                <w:sz w:val="24"/>
                <w:szCs w:val="24"/>
                <w:highlight w:val="none"/>
                <w:lang w:val="en-US" w:eastAsia="zh-CN" w:bidi="ar"/>
              </w:rPr>
              <w:t>本项目选址位于山西省阳泉市盂县路家村镇石坡峪村（兴裕煤矿内），</w:t>
            </w:r>
            <w:r>
              <w:rPr>
                <w:rFonts w:hint="default" w:ascii="宋体" w:hAnsi="宋体" w:eastAsia="宋体" w:cs="宋体"/>
                <w:bCs/>
                <w:color w:val="auto"/>
                <w:kern w:val="0"/>
                <w:sz w:val="24"/>
                <w:szCs w:val="24"/>
                <w:lang w:val="en-US" w:eastAsia="zh-CN" w:bidi="ar"/>
              </w:rPr>
              <w:t>地原为兴裕煤矿配套建设的高压配电站，该配电站已长期停</w:t>
            </w:r>
            <w:r>
              <w:rPr>
                <w:rFonts w:hint="eastAsia" w:ascii="宋体" w:hAnsi="宋体" w:eastAsia="宋体" w:cs="宋体"/>
                <w:bCs/>
                <w:color w:val="auto"/>
                <w:kern w:val="0"/>
                <w:sz w:val="24"/>
                <w:szCs w:val="24"/>
                <w:lang w:val="en-US" w:eastAsia="zh-CN" w:bidi="ar"/>
              </w:rPr>
              <w:t>用</w:t>
            </w:r>
            <w:r>
              <w:rPr>
                <w:rFonts w:hint="default" w:ascii="宋体" w:hAnsi="宋体" w:eastAsia="宋体" w:cs="宋体"/>
                <w:bCs/>
                <w:color w:val="auto"/>
                <w:kern w:val="0"/>
                <w:sz w:val="24"/>
                <w:szCs w:val="24"/>
                <w:lang w:val="en-US" w:eastAsia="zh-CN" w:bidi="ar"/>
              </w:rPr>
              <w:t>，不再承担煤矿生产供电及配套功能，属于矿区闲置遗留建设用地。</w:t>
            </w:r>
          </w:p>
          <w:p w14:paraId="51E25CA8">
            <w:pPr>
              <w:keepNext w:val="0"/>
              <w:keepLines w:val="0"/>
              <w:widowControl/>
              <w:suppressLineNumbers w:val="0"/>
              <w:spacing w:before="0" w:beforeAutospacing="0" w:after="0" w:afterAutospacing="0" w:line="360" w:lineRule="auto"/>
              <w:ind w:left="0" w:right="0" w:firstLine="480" w:firstLineChars="200"/>
              <w:jc w:val="left"/>
              <w:rPr>
                <w:rFonts w:hint="default" w:ascii="宋体" w:hAnsi="宋体" w:eastAsia="宋体" w:cs="宋体"/>
                <w:color w:val="auto"/>
                <w:kern w:val="0"/>
                <w:sz w:val="24"/>
                <w:szCs w:val="24"/>
                <w:lang w:bidi="ar"/>
              </w:rPr>
            </w:pPr>
            <w:r>
              <w:rPr>
                <w:rFonts w:hint="default" w:ascii="宋体" w:hAnsi="宋体" w:eastAsia="宋体" w:cs="宋体"/>
                <w:color w:val="auto"/>
                <w:kern w:val="0"/>
                <w:sz w:val="24"/>
                <w:szCs w:val="24"/>
                <w:highlight w:val="none"/>
                <w:lang w:val="en-US" w:eastAsia="zh-CN" w:bidi="ar"/>
              </w:rPr>
              <w:t>根据现场踏勘</w:t>
            </w:r>
            <w:r>
              <w:rPr>
                <w:rFonts w:hint="default" w:ascii="宋体" w:hAnsi="宋体" w:eastAsia="宋体" w:cs="宋体"/>
                <w:bCs/>
                <w:color w:val="auto"/>
                <w:kern w:val="0"/>
                <w:sz w:val="24"/>
                <w:szCs w:val="24"/>
                <w:highlight w:val="none"/>
                <w:lang w:val="en-US" w:eastAsia="zh-CN" w:bidi="ar"/>
              </w:rPr>
              <w:t>及企业提供的资料，</w:t>
            </w:r>
            <w:r>
              <w:rPr>
                <w:rFonts w:hint="default" w:ascii="宋体" w:hAnsi="宋体" w:eastAsia="宋体" w:cs="宋体"/>
                <w:color w:val="auto"/>
                <w:kern w:val="0"/>
                <w:sz w:val="24"/>
                <w:szCs w:val="24"/>
                <w:highlight w:val="none"/>
                <w:lang w:val="en-US" w:eastAsia="zh-CN" w:bidi="ar"/>
              </w:rPr>
              <w:t>场地内</w:t>
            </w:r>
            <w:r>
              <w:rPr>
                <w:rFonts w:hint="default" w:ascii="宋体" w:hAnsi="宋体" w:eastAsia="宋体" w:cs="宋体"/>
                <w:color w:val="auto"/>
                <w:kern w:val="0"/>
                <w:sz w:val="24"/>
                <w:szCs w:val="24"/>
                <w:lang w:val="en-US" w:eastAsia="zh-CN" w:bidi="ar"/>
              </w:rPr>
              <w:t>现有主要遗留构建物为配电室。</w:t>
            </w:r>
            <w:r>
              <w:rPr>
                <w:rFonts w:hint="default" w:ascii="宋体" w:hAnsi="宋体" w:eastAsia="宋体" w:cs="宋体"/>
                <w:bCs/>
                <w:color w:val="auto"/>
                <w:kern w:val="0"/>
                <w:sz w:val="24"/>
                <w:szCs w:val="24"/>
                <w:lang w:val="en-US" w:eastAsia="zh-CN" w:bidi="ar"/>
              </w:rPr>
              <w:t>该配电室为煤矿原有供电配套建筑，目前已完全停用，内部电气设备、线路、配电装置等配套设施均已全部拆除清运，建筑仅保留主体框架结构，无遗留设备物料、无残留污染物。</w:t>
            </w:r>
          </w:p>
          <w:p w14:paraId="02B72010">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rPr>
            </w:pPr>
            <w:r>
              <w:rPr>
                <w:rFonts w:hint="default" w:ascii="宋体" w:hAnsi="宋体" w:eastAsia="宋体" w:cs="宋体"/>
                <w:bCs/>
                <w:color w:val="auto"/>
                <w:kern w:val="0"/>
                <w:sz w:val="24"/>
                <w:szCs w:val="24"/>
                <w:lang w:val="en-US" w:eastAsia="zh-CN" w:bidi="ar"/>
              </w:rPr>
              <w:t>本次项目实施前仅需对场地内废弃配电室主体建筑进行整体拆除、场地平整清理，拆除过程仅产生少量建筑垃圾，可统一合规清运处置</w:t>
            </w:r>
            <w:r>
              <w:rPr>
                <w:rFonts w:hint="eastAsia" w:ascii="宋体" w:hAnsi="宋体" w:eastAsia="宋体" w:cs="宋体"/>
                <w:bCs/>
                <w:color w:val="auto"/>
                <w:kern w:val="0"/>
                <w:sz w:val="24"/>
                <w:szCs w:val="24"/>
                <w:lang w:val="en-US" w:eastAsia="zh-CN" w:bidi="ar"/>
              </w:rPr>
              <w:t>。</w:t>
            </w:r>
            <w:r>
              <w:rPr>
                <w:rStyle w:val="26"/>
                <w:rFonts w:hint="default" w:ascii="宋体" w:hAnsi="宋体" w:eastAsia="宋体" w:cs="宋体"/>
                <w:bCs/>
                <w:color w:val="auto"/>
                <w:kern w:val="0"/>
                <w:sz w:val="24"/>
                <w:szCs w:val="24"/>
                <w:lang w:val="en-US" w:eastAsia="zh-CN" w:bidi="ar"/>
              </w:rPr>
              <w:t>场地不存在与本项目建设相关的原有环境污染问题</w:t>
            </w:r>
            <w:r>
              <w:rPr>
                <w:rStyle w:val="26"/>
                <w:rFonts w:hint="eastAsia" w:ascii="宋体" w:hAnsi="宋体" w:eastAsia="宋体" w:cs="宋体"/>
                <w:bCs/>
                <w:color w:val="auto"/>
                <w:kern w:val="0"/>
                <w:sz w:val="24"/>
                <w:szCs w:val="24"/>
                <w:lang w:val="en-US" w:eastAsia="zh-CN" w:bidi="ar"/>
              </w:rPr>
              <w:t>。</w:t>
            </w:r>
          </w:p>
          <w:p w14:paraId="475803C2">
            <w:pPr>
              <w:keepNext w:val="0"/>
              <w:keepLines w:val="0"/>
              <w:widowControl/>
              <w:suppressLineNumbers w:val="0"/>
              <w:adjustRightInd/>
              <w:snapToGrid/>
              <w:spacing w:before="0" w:beforeAutospacing="0" w:after="0" w:afterAutospacing="0" w:line="360" w:lineRule="auto"/>
              <w:ind w:left="0" w:right="0" w:firstLine="480" w:firstLineChars="200"/>
              <w:jc w:val="left"/>
              <w:rPr>
                <w:rFonts w:hint="default" w:ascii="宋体" w:hAnsi="宋体" w:eastAsia="宋体" w:cs="宋体"/>
                <w:bCs/>
                <w:color w:val="auto"/>
                <w:kern w:val="0"/>
                <w:sz w:val="24"/>
                <w:szCs w:val="24"/>
                <w:highlight w:val="none"/>
                <w:lang w:val="en-US" w:eastAsia="zh-CN" w:bidi="ar"/>
              </w:rPr>
            </w:pPr>
          </w:p>
          <w:p w14:paraId="38C59391">
            <w:pPr>
              <w:pStyle w:val="16"/>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6EF79B9D">
            <w:pPr>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342F7268">
            <w:pPr>
              <w:pStyle w:val="16"/>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6002515D">
            <w:pPr>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1C5FE195">
            <w:pPr>
              <w:pStyle w:val="16"/>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37E20EAB">
            <w:pPr>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1C2E1F3F">
            <w:pPr>
              <w:pStyle w:val="16"/>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77AE3694">
            <w:pPr>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701E4F3A">
            <w:pPr>
              <w:pStyle w:val="16"/>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54BE598B">
            <w:pPr>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0C0606A1">
            <w:pPr>
              <w:pStyle w:val="16"/>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08A9527D">
            <w:pPr>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22607065">
            <w:pPr>
              <w:pStyle w:val="16"/>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679CD035">
            <w:pPr>
              <w:keepNext w:val="0"/>
              <w:keepLines w:val="0"/>
              <w:suppressLineNumbers w:val="0"/>
              <w:spacing w:before="0" w:beforeAutospacing="0" w:after="0" w:afterAutospacing="0"/>
              <w:ind w:left="0" w:right="0"/>
              <w:rPr>
                <w:rFonts w:hint="default" w:ascii="宋体" w:hAnsi="宋体" w:eastAsia="宋体" w:cs="宋体"/>
                <w:bCs/>
                <w:color w:val="auto"/>
                <w:kern w:val="0"/>
                <w:sz w:val="24"/>
                <w:szCs w:val="24"/>
                <w:highlight w:val="none"/>
                <w:lang w:val="en-US" w:eastAsia="zh-CN" w:bidi="ar"/>
              </w:rPr>
            </w:pPr>
          </w:p>
          <w:p w14:paraId="51143590">
            <w:pPr>
              <w:pStyle w:val="16"/>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p w14:paraId="7038D701">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p w14:paraId="35588443">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p w14:paraId="1C02159A">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p w14:paraId="4784188E">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p w14:paraId="361333C9">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p w14:paraId="5C631382">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p w14:paraId="0A4656B7">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p w14:paraId="38EF8297">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p w14:paraId="4D6A03AA">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p w14:paraId="20AB4ED7">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p w14:paraId="46B979FA">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p>
        </w:tc>
      </w:tr>
    </w:tbl>
    <w:p w14:paraId="72F029A4">
      <w:pPr>
        <w:pStyle w:val="20"/>
        <w:jc w:val="center"/>
        <w:rPr>
          <w:rFonts w:ascii="黑体" w:hAnsi="黑体" w:eastAsia="黑体"/>
          <w:snapToGrid w:val="0"/>
          <w:color w:val="auto"/>
          <w:sz w:val="36"/>
          <w:szCs w:val="36"/>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2A848621">
      <w:pPr>
        <w:pStyle w:val="20"/>
        <w:adjustRightInd w:val="0"/>
        <w:snapToGrid w:val="0"/>
        <w:spacing w:before="0" w:beforeAutospacing="0" w:after="0" w:afterAutospacing="0" w:line="15" w:lineRule="auto"/>
        <w:jc w:val="center"/>
        <w:outlineLvl w:val="9"/>
        <w:rPr>
          <w:rFonts w:hint="eastAsia" w:ascii="黑体" w:hAnsi="黑体" w:eastAsia="黑体"/>
          <w:snapToGrid w:val="0"/>
          <w:color w:val="auto"/>
          <w:sz w:val="30"/>
          <w:szCs w:val="30"/>
          <w:highlight w:val="none"/>
        </w:rPr>
      </w:pPr>
    </w:p>
    <w:p w14:paraId="0C86F466">
      <w:pPr>
        <w:pStyle w:val="20"/>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三、区域环境质量现状、环境保护目标及评价标准</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8190"/>
      </w:tblGrid>
      <w:tr w14:paraId="43327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00" w:type="dxa"/>
            <w:noWrap w:val="0"/>
            <w:vAlign w:val="center"/>
          </w:tcPr>
          <w:p w14:paraId="7716E265">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区域</w:t>
            </w:r>
          </w:p>
          <w:p w14:paraId="59D96329">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环境</w:t>
            </w:r>
          </w:p>
          <w:p w14:paraId="2D2E87F6">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质量</w:t>
            </w:r>
          </w:p>
          <w:p w14:paraId="018A2A27">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现状</w:t>
            </w:r>
          </w:p>
        </w:tc>
        <w:tc>
          <w:tcPr>
            <w:tcW w:w="8190" w:type="dxa"/>
            <w:noWrap w:val="0"/>
            <w:vAlign w:val="center"/>
          </w:tcPr>
          <w:p w14:paraId="3F47FF6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eastAsia" w:ascii="宋体" w:hAnsi="宋体" w:cs="宋体"/>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1.环境空气质量现状</w:t>
            </w:r>
          </w:p>
          <w:p w14:paraId="63A6D5F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宋体" w:hAnsi="宋体" w:eastAsia="宋体" w:cs="宋体"/>
                <w:color w:val="auto"/>
                <w:sz w:val="24"/>
                <w:szCs w:val="24"/>
                <w:highlight w:val="none"/>
              </w:rPr>
            </w:pPr>
            <w:r>
              <w:rPr>
                <w:rFonts w:hint="eastAsia" w:ascii="Times New Roman" w:hAnsi="Times New Roman" w:cs="Times New Roman"/>
                <w:color w:val="auto"/>
                <w:sz w:val="24"/>
                <w:szCs w:val="24"/>
                <w:highlight w:val="none"/>
              </w:rPr>
              <w:t>（1）环境空气质量例行监测数据</w:t>
            </w:r>
          </w:p>
          <w:p w14:paraId="69CC5AEE">
            <w:pPr>
              <w:pStyle w:val="62"/>
              <w:keepNext w:val="0"/>
              <w:keepLines w:val="0"/>
              <w:suppressLineNumbers w:val="0"/>
              <w:spacing w:before="0" w:beforeLines="0" w:beforeAutospacing="0" w:after="0" w:afterAutospacing="0" w:line="480" w:lineRule="exact"/>
              <w:ind w:left="0" w:right="0" w:firstLine="480"/>
              <w:rPr>
                <w:rFonts w:hint="eastAsia" w:ascii="Times New Roman" w:hAnsi="Times New Roman" w:cs="Times New Roman"/>
                <w:b w:val="0"/>
                <w:bCs/>
                <w:color w:val="auto"/>
                <w:sz w:val="24"/>
                <w:highlight w:val="none"/>
              </w:rPr>
            </w:pPr>
            <w:r>
              <w:rPr>
                <w:rFonts w:hint="eastAsia" w:ascii="Times New Roman" w:hAnsi="Times New Roman" w:cs="Times New Roman"/>
                <w:b w:val="0"/>
                <w:bCs/>
                <w:color w:val="auto"/>
                <w:sz w:val="24"/>
                <w:highlight w:val="none"/>
              </w:rPr>
              <w:t>本次评价收集了</w:t>
            </w:r>
            <w:r>
              <w:rPr>
                <w:rFonts w:hint="eastAsia" w:ascii="Times New Roman" w:hAnsi="Times New Roman" w:cs="Times New Roman"/>
                <w:b w:val="0"/>
                <w:bCs/>
                <w:color w:val="auto"/>
                <w:sz w:val="24"/>
                <w:highlight w:val="none"/>
                <w:lang w:eastAsia="zh-CN"/>
              </w:rPr>
              <w:t>盂县</w:t>
            </w:r>
            <w:r>
              <w:rPr>
                <w:rFonts w:hint="eastAsia" w:ascii="Times New Roman" w:hAnsi="Times New Roman" w:cs="Times New Roman"/>
                <w:b w:val="0"/>
                <w:bCs/>
                <w:color w:val="auto"/>
                <w:sz w:val="24"/>
                <w:highlight w:val="none"/>
              </w:rPr>
              <w:t>202</w:t>
            </w:r>
            <w:r>
              <w:rPr>
                <w:rFonts w:hint="eastAsia" w:ascii="Times New Roman" w:hAnsi="Times New Roman" w:cs="Times New Roman"/>
                <w:b w:val="0"/>
                <w:bCs/>
                <w:color w:val="auto"/>
                <w:sz w:val="24"/>
                <w:highlight w:val="none"/>
                <w:lang w:val="en-US" w:eastAsia="zh-CN"/>
              </w:rPr>
              <w:t>5</w:t>
            </w:r>
            <w:r>
              <w:rPr>
                <w:rFonts w:hint="eastAsia" w:ascii="Times New Roman" w:hAnsi="Times New Roman" w:cs="Times New Roman"/>
                <w:b w:val="0"/>
                <w:bCs/>
                <w:color w:val="auto"/>
                <w:sz w:val="24"/>
                <w:highlight w:val="none"/>
              </w:rPr>
              <w:t>年的环境空气例行监测资料，监测项目为PM</w:t>
            </w:r>
            <w:r>
              <w:rPr>
                <w:rFonts w:hint="eastAsia" w:ascii="Times New Roman" w:hAnsi="Times New Roman" w:cs="Times New Roman"/>
                <w:b w:val="0"/>
                <w:bCs/>
                <w:color w:val="auto"/>
                <w:sz w:val="24"/>
                <w:highlight w:val="none"/>
                <w:vertAlign w:val="subscript"/>
              </w:rPr>
              <w:t>10</w:t>
            </w:r>
            <w:r>
              <w:rPr>
                <w:rFonts w:hint="eastAsia" w:ascii="Times New Roman" w:hAnsi="Times New Roman" w:cs="Times New Roman"/>
                <w:b w:val="0"/>
                <w:bCs/>
                <w:color w:val="auto"/>
                <w:sz w:val="24"/>
                <w:highlight w:val="none"/>
              </w:rPr>
              <w:t>、PM</w:t>
            </w:r>
            <w:r>
              <w:rPr>
                <w:rFonts w:hint="eastAsia" w:ascii="Times New Roman" w:hAnsi="Times New Roman" w:cs="Times New Roman"/>
                <w:b w:val="0"/>
                <w:bCs/>
                <w:color w:val="auto"/>
                <w:sz w:val="24"/>
                <w:highlight w:val="none"/>
                <w:vertAlign w:val="subscript"/>
                <w:lang w:val="en-US" w:eastAsia="zh-CN"/>
              </w:rPr>
              <w:t>2.5</w:t>
            </w:r>
            <w:r>
              <w:rPr>
                <w:rFonts w:hint="eastAsia" w:ascii="Times New Roman" w:hAnsi="Times New Roman" w:cs="Times New Roman"/>
                <w:b w:val="0"/>
                <w:bCs/>
                <w:color w:val="auto"/>
                <w:sz w:val="24"/>
                <w:highlight w:val="none"/>
              </w:rPr>
              <w:t>、SO</w:t>
            </w:r>
            <w:r>
              <w:rPr>
                <w:rFonts w:hint="eastAsia" w:ascii="Times New Roman" w:hAnsi="Times New Roman" w:cs="Times New Roman"/>
                <w:b w:val="0"/>
                <w:bCs/>
                <w:color w:val="auto"/>
                <w:sz w:val="24"/>
                <w:highlight w:val="none"/>
                <w:vertAlign w:val="subscript"/>
              </w:rPr>
              <w:t>2</w:t>
            </w:r>
            <w:r>
              <w:rPr>
                <w:rFonts w:hint="eastAsia" w:ascii="Times New Roman" w:hAnsi="Times New Roman" w:cs="Times New Roman"/>
                <w:b w:val="0"/>
                <w:bCs/>
                <w:color w:val="auto"/>
                <w:sz w:val="24"/>
                <w:highlight w:val="none"/>
              </w:rPr>
              <w:t>、NO</w:t>
            </w:r>
            <w:r>
              <w:rPr>
                <w:rFonts w:hint="eastAsia" w:ascii="Times New Roman" w:hAnsi="Times New Roman" w:cs="Times New Roman"/>
                <w:b w:val="0"/>
                <w:bCs/>
                <w:color w:val="auto"/>
                <w:sz w:val="24"/>
                <w:highlight w:val="none"/>
                <w:vertAlign w:val="subscript"/>
              </w:rPr>
              <w:t>2</w:t>
            </w:r>
            <w:r>
              <w:rPr>
                <w:rFonts w:hint="eastAsia" w:ascii="Times New Roman" w:hAnsi="Times New Roman" w:cs="Times New Roman"/>
                <w:b w:val="0"/>
                <w:bCs/>
                <w:color w:val="auto"/>
                <w:sz w:val="24"/>
                <w:highlight w:val="none"/>
              </w:rPr>
              <w:t>、CO、O</w:t>
            </w:r>
            <w:r>
              <w:rPr>
                <w:rFonts w:hint="eastAsia" w:ascii="Times New Roman" w:hAnsi="Times New Roman" w:cs="Times New Roman"/>
                <w:b w:val="0"/>
                <w:bCs/>
                <w:color w:val="auto"/>
                <w:sz w:val="24"/>
                <w:highlight w:val="none"/>
                <w:vertAlign w:val="subscript"/>
              </w:rPr>
              <w:t>3</w:t>
            </w:r>
            <w:r>
              <w:rPr>
                <w:rFonts w:hint="eastAsia" w:ascii="Times New Roman" w:hAnsi="Times New Roman" w:cs="Times New Roman"/>
                <w:b w:val="0"/>
                <w:bCs/>
                <w:color w:val="auto"/>
                <w:sz w:val="24"/>
                <w:highlight w:val="none"/>
              </w:rPr>
              <w:t>-8。监测</w:t>
            </w:r>
            <w:r>
              <w:rPr>
                <w:rFonts w:hint="eastAsia" w:ascii="Times New Roman" w:hAnsi="Times New Roman" w:cs="Times New Roman"/>
                <w:b w:val="0"/>
                <w:bCs/>
                <w:color w:val="auto"/>
                <w:sz w:val="24"/>
                <w:highlight w:val="none"/>
                <w:lang w:val="en-US" w:eastAsia="zh-CN"/>
              </w:rPr>
              <w:t>统计</w:t>
            </w:r>
            <w:r>
              <w:rPr>
                <w:rFonts w:hint="eastAsia" w:ascii="Times New Roman" w:hAnsi="Times New Roman" w:cs="Times New Roman"/>
                <w:b w:val="0"/>
                <w:bCs/>
                <w:color w:val="auto"/>
                <w:sz w:val="24"/>
                <w:highlight w:val="none"/>
              </w:rPr>
              <w:t>结果见表</w:t>
            </w:r>
            <w:r>
              <w:rPr>
                <w:rFonts w:hint="default" w:ascii="Times New Roman" w:hAnsi="Times New Roman" w:cs="Times New Roman"/>
                <w:b w:val="0"/>
                <w:bCs/>
                <w:color w:val="auto"/>
                <w:sz w:val="24"/>
                <w:highlight w:val="none"/>
              </w:rPr>
              <w:t>3-1</w:t>
            </w:r>
            <w:r>
              <w:rPr>
                <w:rFonts w:hint="eastAsia" w:ascii="Times New Roman" w:hAnsi="Times New Roman" w:cs="Times New Roman"/>
                <w:b w:val="0"/>
                <w:bCs/>
                <w:color w:val="auto"/>
                <w:sz w:val="24"/>
                <w:highlight w:val="none"/>
                <w:lang w:eastAsia="zh-CN"/>
              </w:rPr>
              <w:t>、</w:t>
            </w:r>
            <w:r>
              <w:rPr>
                <w:rFonts w:hint="eastAsia" w:ascii="Times New Roman" w:hAnsi="Times New Roman" w:cs="Times New Roman"/>
                <w:b w:val="0"/>
                <w:bCs/>
                <w:color w:val="auto"/>
                <w:sz w:val="24"/>
                <w:highlight w:val="none"/>
                <w:lang w:val="en-US" w:eastAsia="zh-CN"/>
              </w:rPr>
              <w:t>表3-2</w:t>
            </w:r>
            <w:r>
              <w:rPr>
                <w:rFonts w:hint="default" w:ascii="Times New Roman" w:hAnsi="Times New Roman" w:cs="Times New Roman"/>
                <w:b w:val="0"/>
                <w:bCs/>
                <w:color w:val="auto"/>
                <w:sz w:val="24"/>
                <w:highlight w:val="none"/>
              </w:rPr>
              <w:t>。</w:t>
            </w:r>
          </w:p>
          <w:p w14:paraId="7F25DADF">
            <w:pPr>
              <w:keepNext w:val="0"/>
              <w:keepLines w:val="0"/>
              <w:suppressLineNumbers w:val="0"/>
              <w:adjustRightInd w:val="0"/>
              <w:snapToGrid w:val="0"/>
              <w:spacing w:before="0" w:beforeAutospacing="0" w:after="0" w:afterAutospacing="0" w:line="360" w:lineRule="auto"/>
              <w:ind w:left="0" w:right="0" w:firstLine="482" w:firstLineChars="200"/>
              <w:jc w:val="center"/>
              <w:rPr>
                <w:rFonts w:hint="default" w:ascii="Times New Roman" w:hAnsi="Times New Roman" w:eastAsia="宋体" w:cs="Times New Roman"/>
                <w:b/>
                <w:bCs/>
                <w:color w:val="auto"/>
                <w:kern w:val="0"/>
                <w:sz w:val="24"/>
                <w:szCs w:val="24"/>
                <w:highlight w:val="none"/>
                <w:lang w:val="en-US" w:eastAsia="zh-CN"/>
              </w:rPr>
            </w:pPr>
            <w:r>
              <w:rPr>
                <w:rFonts w:hint="eastAsia" w:ascii="Times New Roman" w:hAnsi="Times New Roman" w:eastAsia="宋体" w:cs="Times New Roman"/>
                <w:b/>
                <w:bCs/>
                <w:color w:val="auto"/>
                <w:kern w:val="0"/>
                <w:sz w:val="24"/>
                <w:szCs w:val="24"/>
                <w:highlight w:val="none"/>
                <w:lang w:val="en-US" w:eastAsia="zh-CN"/>
              </w:rPr>
              <w:t>表3-1 现状空气质量与GB3095-2012对比</w:t>
            </w:r>
          </w:p>
          <w:tbl>
            <w:tblPr>
              <w:tblStyle w:val="23"/>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1026"/>
              <w:gridCol w:w="1773"/>
              <w:gridCol w:w="1295"/>
              <w:gridCol w:w="1295"/>
              <w:gridCol w:w="923"/>
              <w:gridCol w:w="862"/>
            </w:tblGrid>
            <w:tr w14:paraId="266C42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1" w:type="pct"/>
                  <w:noWrap w:val="0"/>
                  <w:vAlign w:val="center"/>
                </w:tcPr>
                <w:p w14:paraId="71EA167D">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监测点位</w:t>
                  </w:r>
                </w:p>
              </w:tc>
              <w:tc>
                <w:tcPr>
                  <w:tcW w:w="646" w:type="pct"/>
                  <w:noWrap w:val="0"/>
                  <w:vAlign w:val="center"/>
                </w:tcPr>
                <w:p w14:paraId="42739D41">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监测项目</w:t>
                  </w:r>
                </w:p>
              </w:tc>
              <w:tc>
                <w:tcPr>
                  <w:tcW w:w="1116" w:type="pct"/>
                  <w:noWrap w:val="0"/>
                  <w:vAlign w:val="center"/>
                </w:tcPr>
                <w:p w14:paraId="4399DEA6">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年评价指标</w:t>
                  </w:r>
                </w:p>
              </w:tc>
              <w:tc>
                <w:tcPr>
                  <w:tcW w:w="815" w:type="pct"/>
                  <w:noWrap w:val="0"/>
                  <w:vAlign w:val="center"/>
                </w:tcPr>
                <w:p w14:paraId="62EA31C9">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年均值（μg/Nm</w:t>
                  </w:r>
                  <w:r>
                    <w:rPr>
                      <w:rFonts w:hint="default"/>
                      <w:color w:val="auto"/>
                      <w:sz w:val="21"/>
                      <w:szCs w:val="21"/>
                      <w:highlight w:val="none"/>
                      <w:vertAlign w:val="superscript"/>
                    </w:rPr>
                    <w:t>3</w:t>
                  </w:r>
                  <w:r>
                    <w:rPr>
                      <w:rFonts w:hint="default"/>
                      <w:color w:val="auto"/>
                      <w:sz w:val="21"/>
                      <w:szCs w:val="21"/>
                      <w:highlight w:val="none"/>
                    </w:rPr>
                    <w:t>）</w:t>
                  </w:r>
                </w:p>
              </w:tc>
              <w:tc>
                <w:tcPr>
                  <w:tcW w:w="815" w:type="pct"/>
                  <w:noWrap w:val="0"/>
                  <w:vAlign w:val="center"/>
                </w:tcPr>
                <w:p w14:paraId="02EBD368">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标准值（μg/Nm</w:t>
                  </w:r>
                  <w:r>
                    <w:rPr>
                      <w:rFonts w:hint="default"/>
                      <w:color w:val="auto"/>
                      <w:sz w:val="21"/>
                      <w:szCs w:val="21"/>
                      <w:highlight w:val="none"/>
                      <w:vertAlign w:val="superscript"/>
                    </w:rPr>
                    <w:t>3</w:t>
                  </w:r>
                  <w:r>
                    <w:rPr>
                      <w:rFonts w:hint="default"/>
                      <w:color w:val="auto"/>
                      <w:sz w:val="21"/>
                      <w:szCs w:val="21"/>
                      <w:highlight w:val="none"/>
                    </w:rPr>
                    <w:t>）</w:t>
                  </w:r>
                </w:p>
              </w:tc>
              <w:tc>
                <w:tcPr>
                  <w:tcW w:w="581" w:type="pct"/>
                  <w:noWrap w:val="0"/>
                  <w:vAlign w:val="center"/>
                </w:tcPr>
                <w:p w14:paraId="3390D96A">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占标率（%）</w:t>
                  </w:r>
                </w:p>
              </w:tc>
              <w:tc>
                <w:tcPr>
                  <w:tcW w:w="542" w:type="pct"/>
                  <w:noWrap w:val="0"/>
                  <w:vAlign w:val="center"/>
                </w:tcPr>
                <w:p w14:paraId="1D0158A7">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达标情况</w:t>
                  </w:r>
                </w:p>
              </w:tc>
            </w:tr>
            <w:tr w14:paraId="02CD77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1" w:type="pct"/>
                  <w:vMerge w:val="restart"/>
                  <w:noWrap w:val="0"/>
                  <w:vAlign w:val="center"/>
                </w:tcPr>
                <w:p w14:paraId="2DDC692A">
                  <w:pPr>
                    <w:pStyle w:val="63"/>
                    <w:keepNext w:val="0"/>
                    <w:keepLines w:val="0"/>
                    <w:widowControl w:val="0"/>
                    <w:suppressLineNumbers w:val="0"/>
                    <w:spacing w:before="0" w:beforeAutospacing="0" w:after="0" w:afterAutospacing="0" w:line="240" w:lineRule="auto"/>
                    <w:ind w:left="0" w:right="0" w:firstLine="0" w:firstLineChars="0"/>
                    <w:jc w:val="center"/>
                    <w:rPr>
                      <w:rFonts w:hint="eastAsia" w:eastAsia="宋体"/>
                      <w:color w:val="auto"/>
                      <w:sz w:val="21"/>
                      <w:szCs w:val="21"/>
                      <w:highlight w:val="none"/>
                      <w:lang w:eastAsia="zh-CN"/>
                    </w:rPr>
                  </w:pPr>
                  <w:r>
                    <w:rPr>
                      <w:rFonts w:hint="eastAsia"/>
                      <w:color w:val="auto"/>
                      <w:sz w:val="21"/>
                      <w:szCs w:val="21"/>
                      <w:highlight w:val="none"/>
                      <w:lang w:eastAsia="zh-CN"/>
                    </w:rPr>
                    <w:t>盂县</w:t>
                  </w:r>
                </w:p>
              </w:tc>
              <w:tc>
                <w:tcPr>
                  <w:tcW w:w="646" w:type="pct"/>
                  <w:noWrap w:val="0"/>
                  <w:vAlign w:val="center"/>
                </w:tcPr>
                <w:p w14:paraId="73D5E296">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SO</w:t>
                  </w:r>
                  <w:r>
                    <w:rPr>
                      <w:rFonts w:hint="default"/>
                      <w:color w:val="auto"/>
                      <w:sz w:val="21"/>
                      <w:szCs w:val="21"/>
                      <w:highlight w:val="none"/>
                      <w:vertAlign w:val="subscript"/>
                    </w:rPr>
                    <w:t>2</w:t>
                  </w:r>
                </w:p>
              </w:tc>
              <w:tc>
                <w:tcPr>
                  <w:tcW w:w="1116" w:type="pct"/>
                  <w:noWrap w:val="0"/>
                  <w:vAlign w:val="center"/>
                </w:tcPr>
                <w:p w14:paraId="00815B8E">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年平均质量浓度</w:t>
                  </w:r>
                </w:p>
              </w:tc>
              <w:tc>
                <w:tcPr>
                  <w:tcW w:w="815" w:type="pct"/>
                  <w:noWrap w:val="0"/>
                  <w:vAlign w:val="center"/>
                </w:tcPr>
                <w:p w14:paraId="0BBF6BB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17</w:t>
                  </w:r>
                </w:p>
              </w:tc>
              <w:tc>
                <w:tcPr>
                  <w:tcW w:w="815" w:type="pct"/>
                  <w:noWrap w:val="0"/>
                  <w:vAlign w:val="center"/>
                </w:tcPr>
                <w:p w14:paraId="72A66CB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60</w:t>
                  </w:r>
                </w:p>
              </w:tc>
              <w:tc>
                <w:tcPr>
                  <w:tcW w:w="581" w:type="pct"/>
                  <w:noWrap w:val="0"/>
                  <w:vAlign w:val="center"/>
                </w:tcPr>
                <w:p w14:paraId="1E3271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28.3</w:t>
                  </w:r>
                </w:p>
              </w:tc>
              <w:tc>
                <w:tcPr>
                  <w:tcW w:w="542" w:type="pct"/>
                  <w:noWrap w:val="0"/>
                  <w:vAlign w:val="center"/>
                </w:tcPr>
                <w:p w14:paraId="20E790E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达标</w:t>
                  </w:r>
                </w:p>
              </w:tc>
            </w:tr>
            <w:tr w14:paraId="15A53D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1" w:type="pct"/>
                  <w:vMerge w:val="continue"/>
                  <w:noWrap w:val="0"/>
                  <w:vAlign w:val="center"/>
                </w:tcPr>
                <w:p w14:paraId="079DD086">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p>
              </w:tc>
              <w:tc>
                <w:tcPr>
                  <w:tcW w:w="646" w:type="pct"/>
                  <w:noWrap w:val="0"/>
                  <w:vAlign w:val="center"/>
                </w:tcPr>
                <w:p w14:paraId="02EA7ABC">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NO</w:t>
                  </w:r>
                  <w:r>
                    <w:rPr>
                      <w:rFonts w:hint="default"/>
                      <w:color w:val="auto"/>
                      <w:sz w:val="21"/>
                      <w:szCs w:val="21"/>
                      <w:highlight w:val="none"/>
                      <w:vertAlign w:val="subscript"/>
                    </w:rPr>
                    <w:t>2</w:t>
                  </w:r>
                </w:p>
              </w:tc>
              <w:tc>
                <w:tcPr>
                  <w:tcW w:w="1116" w:type="pct"/>
                  <w:noWrap w:val="0"/>
                  <w:vAlign w:val="center"/>
                </w:tcPr>
                <w:p w14:paraId="5ABA0642">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年平均质量浓度</w:t>
                  </w:r>
                </w:p>
              </w:tc>
              <w:tc>
                <w:tcPr>
                  <w:tcW w:w="815" w:type="pct"/>
                  <w:noWrap w:val="0"/>
                  <w:vAlign w:val="center"/>
                </w:tcPr>
                <w:p w14:paraId="657F690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w:t>
                  </w:r>
                  <w:r>
                    <w:rPr>
                      <w:rFonts w:hint="eastAsia" w:ascii="Times New Roman" w:hAnsi="Times New Roman" w:eastAsia="宋体" w:cs="Times New Roman"/>
                      <w:color w:val="auto"/>
                      <w:kern w:val="0"/>
                      <w:sz w:val="21"/>
                      <w:szCs w:val="21"/>
                      <w:highlight w:val="none"/>
                      <w:lang w:val="en-US" w:eastAsia="zh-CN" w:bidi="ar-SA"/>
                    </w:rPr>
                    <w:t>6</w:t>
                  </w:r>
                </w:p>
              </w:tc>
              <w:tc>
                <w:tcPr>
                  <w:tcW w:w="815" w:type="pct"/>
                  <w:noWrap w:val="0"/>
                  <w:vAlign w:val="center"/>
                </w:tcPr>
                <w:p w14:paraId="1014F70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40</w:t>
                  </w:r>
                </w:p>
              </w:tc>
              <w:tc>
                <w:tcPr>
                  <w:tcW w:w="581" w:type="pct"/>
                  <w:noWrap w:val="0"/>
                  <w:vAlign w:val="center"/>
                </w:tcPr>
                <w:p w14:paraId="715856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65.0</w:t>
                  </w:r>
                </w:p>
              </w:tc>
              <w:tc>
                <w:tcPr>
                  <w:tcW w:w="542" w:type="pct"/>
                  <w:noWrap w:val="0"/>
                  <w:vAlign w:val="center"/>
                </w:tcPr>
                <w:p w14:paraId="7DC3C5E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达标</w:t>
                  </w:r>
                </w:p>
              </w:tc>
            </w:tr>
            <w:tr w14:paraId="7E0D8D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1" w:type="pct"/>
                  <w:vMerge w:val="continue"/>
                  <w:noWrap w:val="0"/>
                  <w:vAlign w:val="center"/>
                </w:tcPr>
                <w:p w14:paraId="508BC569">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p>
              </w:tc>
              <w:tc>
                <w:tcPr>
                  <w:tcW w:w="646" w:type="pct"/>
                  <w:noWrap w:val="0"/>
                  <w:vAlign w:val="center"/>
                </w:tcPr>
                <w:p w14:paraId="2A18F0D9">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PM</w:t>
                  </w:r>
                  <w:r>
                    <w:rPr>
                      <w:rFonts w:hint="default"/>
                      <w:color w:val="auto"/>
                      <w:sz w:val="21"/>
                      <w:szCs w:val="21"/>
                      <w:highlight w:val="none"/>
                      <w:vertAlign w:val="subscript"/>
                    </w:rPr>
                    <w:t>10</w:t>
                  </w:r>
                </w:p>
              </w:tc>
              <w:tc>
                <w:tcPr>
                  <w:tcW w:w="1116" w:type="pct"/>
                  <w:noWrap w:val="0"/>
                  <w:vAlign w:val="center"/>
                </w:tcPr>
                <w:p w14:paraId="1CA53FBB">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年平均质量浓度</w:t>
                  </w:r>
                </w:p>
              </w:tc>
              <w:tc>
                <w:tcPr>
                  <w:tcW w:w="815" w:type="pct"/>
                  <w:noWrap w:val="0"/>
                  <w:vAlign w:val="center"/>
                </w:tcPr>
                <w:p w14:paraId="21A7FB4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66</w:t>
                  </w:r>
                </w:p>
              </w:tc>
              <w:tc>
                <w:tcPr>
                  <w:tcW w:w="815" w:type="pct"/>
                  <w:noWrap w:val="0"/>
                  <w:vAlign w:val="center"/>
                </w:tcPr>
                <w:p w14:paraId="0252923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70</w:t>
                  </w:r>
                </w:p>
              </w:tc>
              <w:tc>
                <w:tcPr>
                  <w:tcW w:w="581" w:type="pct"/>
                  <w:noWrap w:val="0"/>
                  <w:vAlign w:val="center"/>
                </w:tcPr>
                <w:p w14:paraId="10EDD8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94.3</w:t>
                  </w:r>
                </w:p>
              </w:tc>
              <w:tc>
                <w:tcPr>
                  <w:tcW w:w="542" w:type="pct"/>
                  <w:noWrap w:val="0"/>
                  <w:vAlign w:val="center"/>
                </w:tcPr>
                <w:p w14:paraId="29ACD39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达标</w:t>
                  </w:r>
                </w:p>
              </w:tc>
            </w:tr>
            <w:tr w14:paraId="2A21DA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1" w:type="pct"/>
                  <w:vMerge w:val="continue"/>
                  <w:noWrap w:val="0"/>
                  <w:vAlign w:val="center"/>
                </w:tcPr>
                <w:p w14:paraId="7DEE0D2A">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p>
              </w:tc>
              <w:tc>
                <w:tcPr>
                  <w:tcW w:w="646" w:type="pct"/>
                  <w:noWrap w:val="0"/>
                  <w:vAlign w:val="center"/>
                </w:tcPr>
                <w:p w14:paraId="51DDD0B3">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eastAsia="宋体"/>
                      <w:color w:val="auto"/>
                      <w:sz w:val="21"/>
                      <w:szCs w:val="21"/>
                      <w:highlight w:val="none"/>
                      <w:lang w:val="en-US" w:eastAsia="zh-CN"/>
                    </w:rPr>
                  </w:pPr>
                  <w:r>
                    <w:rPr>
                      <w:rFonts w:hint="default"/>
                      <w:color w:val="auto"/>
                      <w:sz w:val="21"/>
                      <w:szCs w:val="21"/>
                      <w:highlight w:val="none"/>
                    </w:rPr>
                    <w:t>PM</w:t>
                  </w:r>
                  <w:r>
                    <w:rPr>
                      <w:rFonts w:hint="eastAsia"/>
                      <w:color w:val="auto"/>
                      <w:sz w:val="21"/>
                      <w:szCs w:val="21"/>
                      <w:highlight w:val="none"/>
                      <w:vertAlign w:val="subscript"/>
                      <w:lang w:val="en-US" w:eastAsia="zh-CN"/>
                    </w:rPr>
                    <w:t>2.5</w:t>
                  </w:r>
                </w:p>
              </w:tc>
              <w:tc>
                <w:tcPr>
                  <w:tcW w:w="1116" w:type="pct"/>
                  <w:noWrap w:val="0"/>
                  <w:vAlign w:val="center"/>
                </w:tcPr>
                <w:p w14:paraId="3DCE5714">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年平均质量浓度</w:t>
                  </w:r>
                </w:p>
              </w:tc>
              <w:tc>
                <w:tcPr>
                  <w:tcW w:w="815" w:type="pct"/>
                  <w:noWrap w:val="0"/>
                  <w:vAlign w:val="center"/>
                </w:tcPr>
                <w:p w14:paraId="35DA822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w:t>
                  </w:r>
                  <w:r>
                    <w:rPr>
                      <w:rFonts w:hint="eastAsia" w:ascii="Times New Roman" w:hAnsi="Times New Roman" w:eastAsia="宋体" w:cs="Times New Roman"/>
                      <w:color w:val="auto"/>
                      <w:kern w:val="0"/>
                      <w:sz w:val="21"/>
                      <w:szCs w:val="21"/>
                      <w:highlight w:val="none"/>
                      <w:lang w:val="en-US" w:eastAsia="zh-CN" w:bidi="ar-SA"/>
                    </w:rPr>
                    <w:t>7</w:t>
                  </w:r>
                </w:p>
              </w:tc>
              <w:tc>
                <w:tcPr>
                  <w:tcW w:w="815" w:type="pct"/>
                  <w:noWrap w:val="0"/>
                  <w:vAlign w:val="center"/>
                </w:tcPr>
                <w:p w14:paraId="6E19966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35</w:t>
                  </w:r>
                </w:p>
              </w:tc>
              <w:tc>
                <w:tcPr>
                  <w:tcW w:w="581" w:type="pct"/>
                  <w:noWrap w:val="0"/>
                  <w:vAlign w:val="center"/>
                </w:tcPr>
                <w:p w14:paraId="45CC15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77.1</w:t>
                  </w:r>
                </w:p>
              </w:tc>
              <w:tc>
                <w:tcPr>
                  <w:tcW w:w="542" w:type="pct"/>
                  <w:noWrap w:val="0"/>
                  <w:vAlign w:val="center"/>
                </w:tcPr>
                <w:p w14:paraId="3C6BAF87">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达标</w:t>
                  </w:r>
                </w:p>
              </w:tc>
            </w:tr>
            <w:tr w14:paraId="09A93E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1" w:type="pct"/>
                  <w:vMerge w:val="continue"/>
                  <w:noWrap w:val="0"/>
                  <w:vAlign w:val="center"/>
                </w:tcPr>
                <w:p w14:paraId="0026E402">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p>
              </w:tc>
              <w:tc>
                <w:tcPr>
                  <w:tcW w:w="646" w:type="pct"/>
                  <w:noWrap w:val="0"/>
                  <w:vAlign w:val="center"/>
                </w:tcPr>
                <w:p w14:paraId="6E97715A">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CO</w:t>
                  </w:r>
                </w:p>
              </w:tc>
              <w:tc>
                <w:tcPr>
                  <w:tcW w:w="1116" w:type="pct"/>
                  <w:noWrap w:val="0"/>
                  <w:vAlign w:val="center"/>
                </w:tcPr>
                <w:p w14:paraId="529DDF65">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百分位数日平均</w:t>
                  </w:r>
                </w:p>
              </w:tc>
              <w:tc>
                <w:tcPr>
                  <w:tcW w:w="815" w:type="pct"/>
                  <w:noWrap w:val="0"/>
                  <w:vAlign w:val="center"/>
                </w:tcPr>
                <w:p w14:paraId="09CF359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1200</w:t>
                  </w:r>
                </w:p>
              </w:tc>
              <w:tc>
                <w:tcPr>
                  <w:tcW w:w="815" w:type="pct"/>
                  <w:noWrap w:val="0"/>
                  <w:vAlign w:val="center"/>
                </w:tcPr>
                <w:p w14:paraId="79D2B21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w:t>
                  </w:r>
                  <w:r>
                    <w:rPr>
                      <w:rFonts w:hint="eastAsia" w:ascii="Times New Roman" w:hAnsi="Times New Roman" w:eastAsia="宋体" w:cs="Times New Roman"/>
                      <w:color w:val="auto"/>
                      <w:kern w:val="0"/>
                      <w:sz w:val="21"/>
                      <w:szCs w:val="21"/>
                      <w:highlight w:val="none"/>
                      <w:lang w:val="en-US" w:eastAsia="zh-CN" w:bidi="ar-SA"/>
                    </w:rPr>
                    <w:t>000</w:t>
                  </w:r>
                </w:p>
              </w:tc>
              <w:tc>
                <w:tcPr>
                  <w:tcW w:w="581" w:type="pct"/>
                  <w:noWrap w:val="0"/>
                  <w:vAlign w:val="center"/>
                </w:tcPr>
                <w:p w14:paraId="398AB6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30.0</w:t>
                  </w:r>
                </w:p>
              </w:tc>
              <w:tc>
                <w:tcPr>
                  <w:tcW w:w="542" w:type="pct"/>
                  <w:noWrap w:val="0"/>
                  <w:vAlign w:val="center"/>
                </w:tcPr>
                <w:p w14:paraId="7062EC7E">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达标</w:t>
                  </w:r>
                </w:p>
              </w:tc>
            </w:tr>
            <w:tr w14:paraId="1B71D5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1" w:type="pct"/>
                  <w:vMerge w:val="continue"/>
                  <w:noWrap w:val="0"/>
                  <w:vAlign w:val="center"/>
                </w:tcPr>
                <w:p w14:paraId="36F7E906">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p>
              </w:tc>
              <w:tc>
                <w:tcPr>
                  <w:tcW w:w="646" w:type="pct"/>
                  <w:noWrap w:val="0"/>
                  <w:vAlign w:val="center"/>
                </w:tcPr>
                <w:p w14:paraId="39357860">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O</w:t>
                  </w:r>
                  <w:r>
                    <w:rPr>
                      <w:rFonts w:hint="default"/>
                      <w:color w:val="auto"/>
                      <w:sz w:val="21"/>
                      <w:szCs w:val="21"/>
                      <w:highlight w:val="none"/>
                      <w:vertAlign w:val="subscript"/>
                    </w:rPr>
                    <w:t>3</w:t>
                  </w:r>
                  <w:r>
                    <w:rPr>
                      <w:rFonts w:hint="default"/>
                      <w:color w:val="auto"/>
                      <w:sz w:val="21"/>
                      <w:szCs w:val="21"/>
                      <w:highlight w:val="none"/>
                    </w:rPr>
                    <w:t>-8</w:t>
                  </w:r>
                </w:p>
              </w:tc>
              <w:tc>
                <w:tcPr>
                  <w:tcW w:w="1116" w:type="pct"/>
                  <w:noWrap w:val="0"/>
                  <w:vAlign w:val="center"/>
                </w:tcPr>
                <w:p w14:paraId="0F89EDAD">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8h平均质量浓度</w:t>
                  </w:r>
                </w:p>
              </w:tc>
              <w:tc>
                <w:tcPr>
                  <w:tcW w:w="815" w:type="pct"/>
                  <w:noWrap w:val="0"/>
                  <w:vAlign w:val="center"/>
                </w:tcPr>
                <w:p w14:paraId="08E3CD3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w:t>
                  </w:r>
                  <w:r>
                    <w:rPr>
                      <w:rFonts w:hint="eastAsia" w:ascii="Times New Roman" w:hAnsi="Times New Roman" w:eastAsia="宋体" w:cs="Times New Roman"/>
                      <w:color w:val="auto"/>
                      <w:kern w:val="0"/>
                      <w:sz w:val="21"/>
                      <w:szCs w:val="21"/>
                      <w:highlight w:val="none"/>
                      <w:lang w:val="en-US" w:eastAsia="zh-CN" w:bidi="ar-SA"/>
                    </w:rPr>
                    <w:t>55</w:t>
                  </w:r>
                </w:p>
              </w:tc>
              <w:tc>
                <w:tcPr>
                  <w:tcW w:w="815" w:type="pct"/>
                  <w:noWrap w:val="0"/>
                  <w:vAlign w:val="center"/>
                </w:tcPr>
                <w:p w14:paraId="2D8B696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160</w:t>
                  </w:r>
                </w:p>
              </w:tc>
              <w:tc>
                <w:tcPr>
                  <w:tcW w:w="581" w:type="pct"/>
                  <w:noWrap w:val="0"/>
                  <w:vAlign w:val="center"/>
                </w:tcPr>
                <w:p w14:paraId="451EC6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96.9</w:t>
                  </w:r>
                </w:p>
              </w:tc>
              <w:tc>
                <w:tcPr>
                  <w:tcW w:w="542" w:type="pct"/>
                  <w:noWrap w:val="0"/>
                  <w:vAlign w:val="center"/>
                </w:tcPr>
                <w:p w14:paraId="56AB4DAD">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达标</w:t>
                  </w:r>
                </w:p>
              </w:tc>
            </w:tr>
          </w:tbl>
          <w:p w14:paraId="4583B088">
            <w:pPr>
              <w:keepNext w:val="0"/>
              <w:keepLines w:val="0"/>
              <w:suppressLineNumbers w:val="0"/>
              <w:spacing w:before="0" w:beforeAutospacing="0" w:after="0" w:afterAutospacing="0" w:line="480" w:lineRule="exact"/>
              <w:ind w:left="0" w:right="0" w:firstLine="480" w:firstLineChars="200"/>
              <w:rPr>
                <w:rFonts w:hint="default" w:ascii="Times New Roman" w:hAnsi="Times New Roman" w:eastAsia="宋体" w:cs="Times New Roman"/>
                <w:bCs/>
                <w:snapToGrid w:val="0"/>
                <w:color w:val="auto"/>
                <w:kern w:val="0"/>
                <w:sz w:val="24"/>
                <w:szCs w:val="24"/>
                <w:highlight w:val="none"/>
                <w:lang w:val="en-US" w:eastAsia="zh-CN"/>
              </w:rPr>
            </w:pPr>
            <w:r>
              <w:rPr>
                <w:rFonts w:hint="eastAsia" w:ascii="Times New Roman" w:hAnsi="Times New Roman" w:cs="Times New Roman"/>
                <w:bCs/>
                <w:snapToGrid w:val="0"/>
                <w:color w:val="auto"/>
                <w:kern w:val="0"/>
                <w:sz w:val="24"/>
                <w:szCs w:val="24"/>
                <w:highlight w:val="none"/>
                <w:lang w:val="en-US" w:eastAsia="zh-CN"/>
              </w:rPr>
              <w:t>根据上表现状空气质量统计数据与《环境空气质量标准》（GB3095-2012）二级标准限值对比结果，六项基本因子均达标。根据盂县2025年环境质量公告结论，盂县2025年为达标区。</w:t>
            </w:r>
          </w:p>
          <w:p w14:paraId="4F156B0C">
            <w:pPr>
              <w:keepNext w:val="0"/>
              <w:keepLines w:val="0"/>
              <w:suppressLineNumbers w:val="0"/>
              <w:adjustRightInd w:val="0"/>
              <w:snapToGrid w:val="0"/>
              <w:spacing w:before="0" w:beforeAutospacing="0" w:after="0" w:afterAutospacing="0" w:line="360" w:lineRule="auto"/>
              <w:ind w:left="0" w:right="0" w:firstLine="482" w:firstLineChars="200"/>
              <w:jc w:val="center"/>
              <w:rPr>
                <w:rFonts w:hint="eastAsia" w:ascii="Times New Roman" w:hAnsi="Times New Roman" w:eastAsia="宋体" w:cs="Times New Roman"/>
                <w:b/>
                <w:bCs/>
                <w:color w:val="auto"/>
                <w:kern w:val="0"/>
                <w:sz w:val="24"/>
                <w:szCs w:val="24"/>
                <w:highlight w:val="none"/>
              </w:rPr>
            </w:pPr>
            <w:r>
              <w:rPr>
                <w:rFonts w:hint="eastAsia" w:ascii="Times New Roman" w:hAnsi="Times New Roman" w:eastAsia="宋体" w:cs="Times New Roman"/>
                <w:b/>
                <w:bCs/>
                <w:color w:val="auto"/>
                <w:kern w:val="0"/>
                <w:sz w:val="24"/>
                <w:szCs w:val="24"/>
                <w:highlight w:val="none"/>
                <w:lang w:val="en-US" w:eastAsia="zh-CN"/>
              </w:rPr>
              <w:t>表3-2 现状空气质量与GB3095-2026对比</w:t>
            </w:r>
          </w:p>
          <w:tbl>
            <w:tblPr>
              <w:tblStyle w:val="23"/>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1027"/>
              <w:gridCol w:w="1772"/>
              <w:gridCol w:w="1295"/>
              <w:gridCol w:w="1295"/>
              <w:gridCol w:w="924"/>
              <w:gridCol w:w="862"/>
            </w:tblGrid>
            <w:tr w14:paraId="323ED9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1" w:type="pct"/>
                  <w:noWrap w:val="0"/>
                  <w:vAlign w:val="center"/>
                </w:tcPr>
                <w:p w14:paraId="08D2275A">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监测点位</w:t>
                  </w:r>
                </w:p>
              </w:tc>
              <w:tc>
                <w:tcPr>
                  <w:tcW w:w="656" w:type="pct"/>
                  <w:noWrap w:val="0"/>
                  <w:vAlign w:val="center"/>
                </w:tcPr>
                <w:p w14:paraId="5A4C0CBD">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监测项目</w:t>
                  </w:r>
                </w:p>
              </w:tc>
              <w:tc>
                <w:tcPr>
                  <w:tcW w:w="1125" w:type="pct"/>
                  <w:noWrap w:val="0"/>
                  <w:vAlign w:val="center"/>
                </w:tcPr>
                <w:p w14:paraId="73683B17">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年评价指标</w:t>
                  </w:r>
                </w:p>
              </w:tc>
              <w:tc>
                <w:tcPr>
                  <w:tcW w:w="790" w:type="pct"/>
                  <w:noWrap w:val="0"/>
                  <w:vAlign w:val="center"/>
                </w:tcPr>
                <w:p w14:paraId="66233F51">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年均值（μg/Nm</w:t>
                  </w:r>
                  <w:r>
                    <w:rPr>
                      <w:rFonts w:hint="default"/>
                      <w:color w:val="auto"/>
                      <w:sz w:val="21"/>
                      <w:szCs w:val="21"/>
                      <w:highlight w:val="none"/>
                      <w:vertAlign w:val="superscript"/>
                    </w:rPr>
                    <w:t>3</w:t>
                  </w:r>
                  <w:r>
                    <w:rPr>
                      <w:rFonts w:hint="default"/>
                      <w:color w:val="auto"/>
                      <w:sz w:val="21"/>
                      <w:szCs w:val="21"/>
                      <w:highlight w:val="none"/>
                    </w:rPr>
                    <w:t>）</w:t>
                  </w:r>
                </w:p>
              </w:tc>
              <w:tc>
                <w:tcPr>
                  <w:tcW w:w="792" w:type="pct"/>
                  <w:noWrap w:val="0"/>
                  <w:vAlign w:val="center"/>
                </w:tcPr>
                <w:p w14:paraId="71D5B8BC">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eastAsia"/>
                      <w:color w:val="auto"/>
                      <w:sz w:val="21"/>
                      <w:szCs w:val="21"/>
                      <w:highlight w:val="none"/>
                      <w:lang w:val="en-US" w:eastAsia="zh-CN"/>
                    </w:rPr>
                    <w:t>过渡阶段</w:t>
                  </w:r>
                  <w:r>
                    <w:rPr>
                      <w:rFonts w:hint="default"/>
                      <w:color w:val="auto"/>
                      <w:sz w:val="21"/>
                      <w:szCs w:val="21"/>
                      <w:highlight w:val="none"/>
                    </w:rPr>
                    <w:t>标准</w:t>
                  </w:r>
                  <w:r>
                    <w:rPr>
                      <w:rFonts w:hint="eastAsia"/>
                      <w:color w:val="auto"/>
                      <w:sz w:val="21"/>
                      <w:szCs w:val="21"/>
                      <w:highlight w:val="none"/>
                      <w:lang w:val="en-US" w:eastAsia="zh-CN"/>
                    </w:rPr>
                    <w:t>限</w:t>
                  </w:r>
                  <w:r>
                    <w:rPr>
                      <w:rFonts w:hint="default"/>
                      <w:color w:val="auto"/>
                      <w:sz w:val="21"/>
                      <w:szCs w:val="21"/>
                      <w:highlight w:val="none"/>
                    </w:rPr>
                    <w:t>值（μg/Nm</w:t>
                  </w:r>
                  <w:r>
                    <w:rPr>
                      <w:rFonts w:hint="default"/>
                      <w:color w:val="auto"/>
                      <w:sz w:val="21"/>
                      <w:szCs w:val="21"/>
                      <w:highlight w:val="none"/>
                      <w:vertAlign w:val="superscript"/>
                    </w:rPr>
                    <w:t>3</w:t>
                  </w:r>
                  <w:r>
                    <w:rPr>
                      <w:rFonts w:hint="default"/>
                      <w:color w:val="auto"/>
                      <w:sz w:val="21"/>
                      <w:szCs w:val="21"/>
                      <w:highlight w:val="none"/>
                    </w:rPr>
                    <w:t>）</w:t>
                  </w:r>
                </w:p>
              </w:tc>
              <w:tc>
                <w:tcPr>
                  <w:tcW w:w="591" w:type="pct"/>
                  <w:noWrap w:val="0"/>
                  <w:vAlign w:val="center"/>
                </w:tcPr>
                <w:p w14:paraId="725D3725">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占标率（%）</w:t>
                  </w:r>
                </w:p>
              </w:tc>
              <w:tc>
                <w:tcPr>
                  <w:tcW w:w="552" w:type="pct"/>
                  <w:noWrap w:val="0"/>
                  <w:vAlign w:val="center"/>
                </w:tcPr>
                <w:p w14:paraId="1051066F">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达标情况</w:t>
                  </w:r>
                </w:p>
              </w:tc>
            </w:tr>
            <w:tr w14:paraId="2549A5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1" w:type="pct"/>
                  <w:vMerge w:val="restart"/>
                  <w:noWrap w:val="0"/>
                  <w:vAlign w:val="center"/>
                </w:tcPr>
                <w:p w14:paraId="1C6A486B">
                  <w:pPr>
                    <w:pStyle w:val="63"/>
                    <w:keepNext w:val="0"/>
                    <w:keepLines w:val="0"/>
                    <w:widowControl w:val="0"/>
                    <w:suppressLineNumbers w:val="0"/>
                    <w:spacing w:before="0" w:beforeAutospacing="0" w:after="0" w:afterAutospacing="0" w:line="240" w:lineRule="auto"/>
                    <w:ind w:left="0" w:right="0" w:firstLine="0" w:firstLineChars="0"/>
                    <w:jc w:val="center"/>
                    <w:rPr>
                      <w:rFonts w:hint="eastAsia" w:eastAsia="宋体"/>
                      <w:color w:val="auto"/>
                      <w:sz w:val="21"/>
                      <w:szCs w:val="21"/>
                      <w:highlight w:val="none"/>
                      <w:lang w:eastAsia="zh-CN"/>
                    </w:rPr>
                  </w:pPr>
                  <w:r>
                    <w:rPr>
                      <w:rFonts w:hint="eastAsia"/>
                      <w:color w:val="auto"/>
                      <w:sz w:val="21"/>
                      <w:szCs w:val="21"/>
                      <w:highlight w:val="none"/>
                      <w:lang w:eastAsia="zh-CN"/>
                    </w:rPr>
                    <w:t>盂县</w:t>
                  </w:r>
                </w:p>
              </w:tc>
              <w:tc>
                <w:tcPr>
                  <w:tcW w:w="656" w:type="pct"/>
                  <w:noWrap w:val="0"/>
                  <w:vAlign w:val="center"/>
                </w:tcPr>
                <w:p w14:paraId="62E1B6F4">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SO</w:t>
                  </w:r>
                  <w:r>
                    <w:rPr>
                      <w:rFonts w:hint="default"/>
                      <w:color w:val="auto"/>
                      <w:sz w:val="21"/>
                      <w:szCs w:val="21"/>
                      <w:highlight w:val="none"/>
                      <w:vertAlign w:val="subscript"/>
                    </w:rPr>
                    <w:t>2</w:t>
                  </w:r>
                </w:p>
              </w:tc>
              <w:tc>
                <w:tcPr>
                  <w:tcW w:w="1125" w:type="pct"/>
                  <w:noWrap w:val="0"/>
                  <w:vAlign w:val="center"/>
                </w:tcPr>
                <w:p w14:paraId="45C12D2C">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年平均质量浓度</w:t>
                  </w:r>
                </w:p>
              </w:tc>
              <w:tc>
                <w:tcPr>
                  <w:tcW w:w="790" w:type="pct"/>
                  <w:noWrap w:val="0"/>
                  <w:vAlign w:val="center"/>
                </w:tcPr>
                <w:p w14:paraId="64A625A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17</w:t>
                  </w:r>
                </w:p>
              </w:tc>
              <w:tc>
                <w:tcPr>
                  <w:tcW w:w="792" w:type="pct"/>
                  <w:noWrap w:val="0"/>
                  <w:vAlign w:val="center"/>
                </w:tcPr>
                <w:p w14:paraId="447A65D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60</w:t>
                  </w:r>
                </w:p>
              </w:tc>
              <w:tc>
                <w:tcPr>
                  <w:tcW w:w="1018" w:type="dxa"/>
                  <w:noWrap w:val="0"/>
                  <w:vAlign w:val="center"/>
                </w:tcPr>
                <w:p w14:paraId="3E4127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28.3</w:t>
                  </w:r>
                </w:p>
              </w:tc>
              <w:tc>
                <w:tcPr>
                  <w:tcW w:w="552" w:type="pct"/>
                  <w:noWrap w:val="0"/>
                  <w:vAlign w:val="center"/>
                </w:tcPr>
                <w:p w14:paraId="7B1953D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达标</w:t>
                  </w:r>
                </w:p>
              </w:tc>
            </w:tr>
            <w:tr w14:paraId="75F9A4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1" w:type="pct"/>
                  <w:vMerge w:val="continue"/>
                  <w:noWrap w:val="0"/>
                  <w:vAlign w:val="center"/>
                </w:tcPr>
                <w:p w14:paraId="2E5CC104">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p>
              </w:tc>
              <w:tc>
                <w:tcPr>
                  <w:tcW w:w="656" w:type="pct"/>
                  <w:noWrap w:val="0"/>
                  <w:vAlign w:val="center"/>
                </w:tcPr>
                <w:p w14:paraId="7519C925">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NO</w:t>
                  </w:r>
                  <w:r>
                    <w:rPr>
                      <w:rFonts w:hint="default"/>
                      <w:color w:val="auto"/>
                      <w:sz w:val="21"/>
                      <w:szCs w:val="21"/>
                      <w:highlight w:val="none"/>
                      <w:vertAlign w:val="subscript"/>
                    </w:rPr>
                    <w:t>2</w:t>
                  </w:r>
                </w:p>
              </w:tc>
              <w:tc>
                <w:tcPr>
                  <w:tcW w:w="1125" w:type="pct"/>
                  <w:noWrap w:val="0"/>
                  <w:vAlign w:val="center"/>
                </w:tcPr>
                <w:p w14:paraId="638D44F8">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年平均质量浓度</w:t>
                  </w:r>
                </w:p>
              </w:tc>
              <w:tc>
                <w:tcPr>
                  <w:tcW w:w="790" w:type="pct"/>
                  <w:noWrap w:val="0"/>
                  <w:vAlign w:val="center"/>
                </w:tcPr>
                <w:p w14:paraId="4571EB8D">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w:t>
                  </w:r>
                  <w:r>
                    <w:rPr>
                      <w:rFonts w:hint="eastAsia" w:ascii="Times New Roman" w:hAnsi="Times New Roman" w:eastAsia="宋体" w:cs="Times New Roman"/>
                      <w:color w:val="auto"/>
                      <w:kern w:val="0"/>
                      <w:sz w:val="21"/>
                      <w:szCs w:val="21"/>
                      <w:highlight w:val="none"/>
                      <w:lang w:val="en-US" w:eastAsia="zh-CN" w:bidi="ar-SA"/>
                    </w:rPr>
                    <w:t>6</w:t>
                  </w:r>
                </w:p>
              </w:tc>
              <w:tc>
                <w:tcPr>
                  <w:tcW w:w="792" w:type="pct"/>
                  <w:noWrap w:val="0"/>
                  <w:vAlign w:val="center"/>
                </w:tcPr>
                <w:p w14:paraId="64E76FD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40</w:t>
                  </w:r>
                </w:p>
              </w:tc>
              <w:tc>
                <w:tcPr>
                  <w:tcW w:w="1018" w:type="dxa"/>
                  <w:noWrap w:val="0"/>
                  <w:vAlign w:val="center"/>
                </w:tcPr>
                <w:p w14:paraId="64ACE8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65.0</w:t>
                  </w:r>
                </w:p>
              </w:tc>
              <w:tc>
                <w:tcPr>
                  <w:tcW w:w="552" w:type="pct"/>
                  <w:noWrap w:val="0"/>
                  <w:vAlign w:val="center"/>
                </w:tcPr>
                <w:p w14:paraId="1232889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达标</w:t>
                  </w:r>
                </w:p>
              </w:tc>
            </w:tr>
            <w:tr w14:paraId="41A5B1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1" w:type="pct"/>
                  <w:vMerge w:val="continue"/>
                  <w:noWrap w:val="0"/>
                  <w:vAlign w:val="center"/>
                </w:tcPr>
                <w:p w14:paraId="5EA8C246">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p>
              </w:tc>
              <w:tc>
                <w:tcPr>
                  <w:tcW w:w="656" w:type="pct"/>
                  <w:noWrap w:val="0"/>
                  <w:vAlign w:val="center"/>
                </w:tcPr>
                <w:p w14:paraId="3A523FF1">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PM</w:t>
                  </w:r>
                  <w:r>
                    <w:rPr>
                      <w:rFonts w:hint="default"/>
                      <w:color w:val="auto"/>
                      <w:sz w:val="21"/>
                      <w:szCs w:val="21"/>
                      <w:highlight w:val="none"/>
                      <w:vertAlign w:val="subscript"/>
                    </w:rPr>
                    <w:t>10</w:t>
                  </w:r>
                </w:p>
              </w:tc>
              <w:tc>
                <w:tcPr>
                  <w:tcW w:w="1125" w:type="pct"/>
                  <w:noWrap w:val="0"/>
                  <w:vAlign w:val="center"/>
                </w:tcPr>
                <w:p w14:paraId="4FC9336B">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年平均质量浓度</w:t>
                  </w:r>
                </w:p>
              </w:tc>
              <w:tc>
                <w:tcPr>
                  <w:tcW w:w="790" w:type="pct"/>
                  <w:noWrap w:val="0"/>
                  <w:vAlign w:val="center"/>
                </w:tcPr>
                <w:p w14:paraId="4DA9848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66</w:t>
                  </w:r>
                </w:p>
              </w:tc>
              <w:tc>
                <w:tcPr>
                  <w:tcW w:w="792" w:type="pct"/>
                  <w:noWrap w:val="0"/>
                  <w:vAlign w:val="center"/>
                </w:tcPr>
                <w:p w14:paraId="7BC7400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60</w:t>
                  </w:r>
                </w:p>
              </w:tc>
              <w:tc>
                <w:tcPr>
                  <w:tcW w:w="1018" w:type="dxa"/>
                  <w:noWrap w:val="0"/>
                  <w:vAlign w:val="center"/>
                </w:tcPr>
                <w:p w14:paraId="1ABF25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110.0</w:t>
                  </w:r>
                </w:p>
              </w:tc>
              <w:tc>
                <w:tcPr>
                  <w:tcW w:w="552" w:type="pct"/>
                  <w:noWrap w:val="0"/>
                  <w:vAlign w:val="center"/>
                </w:tcPr>
                <w:p w14:paraId="1DC77E9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超标</w:t>
                  </w:r>
                </w:p>
              </w:tc>
            </w:tr>
            <w:tr w14:paraId="32ACE6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1" w:type="pct"/>
                  <w:vMerge w:val="continue"/>
                  <w:noWrap w:val="0"/>
                  <w:vAlign w:val="center"/>
                </w:tcPr>
                <w:p w14:paraId="2C925640">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p>
              </w:tc>
              <w:tc>
                <w:tcPr>
                  <w:tcW w:w="656" w:type="pct"/>
                  <w:noWrap w:val="0"/>
                  <w:vAlign w:val="center"/>
                </w:tcPr>
                <w:p w14:paraId="2932A30E">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eastAsia="宋体"/>
                      <w:color w:val="auto"/>
                      <w:sz w:val="21"/>
                      <w:szCs w:val="21"/>
                      <w:highlight w:val="none"/>
                      <w:lang w:val="en-US" w:eastAsia="zh-CN"/>
                    </w:rPr>
                  </w:pPr>
                  <w:r>
                    <w:rPr>
                      <w:rFonts w:hint="default"/>
                      <w:color w:val="auto"/>
                      <w:sz w:val="21"/>
                      <w:szCs w:val="21"/>
                      <w:highlight w:val="none"/>
                    </w:rPr>
                    <w:t>PM</w:t>
                  </w:r>
                  <w:r>
                    <w:rPr>
                      <w:rFonts w:hint="eastAsia"/>
                      <w:color w:val="auto"/>
                      <w:sz w:val="21"/>
                      <w:szCs w:val="21"/>
                      <w:highlight w:val="none"/>
                      <w:vertAlign w:val="subscript"/>
                      <w:lang w:val="en-US" w:eastAsia="zh-CN"/>
                    </w:rPr>
                    <w:t>2.5</w:t>
                  </w:r>
                </w:p>
              </w:tc>
              <w:tc>
                <w:tcPr>
                  <w:tcW w:w="1125" w:type="pct"/>
                  <w:noWrap w:val="0"/>
                  <w:vAlign w:val="center"/>
                </w:tcPr>
                <w:p w14:paraId="5407BD95">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年平均质量浓度</w:t>
                  </w:r>
                </w:p>
              </w:tc>
              <w:tc>
                <w:tcPr>
                  <w:tcW w:w="790" w:type="pct"/>
                  <w:noWrap w:val="0"/>
                  <w:vAlign w:val="center"/>
                </w:tcPr>
                <w:p w14:paraId="631BEE7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w:t>
                  </w:r>
                  <w:r>
                    <w:rPr>
                      <w:rFonts w:hint="eastAsia" w:ascii="Times New Roman" w:hAnsi="Times New Roman" w:eastAsia="宋体" w:cs="Times New Roman"/>
                      <w:color w:val="auto"/>
                      <w:kern w:val="0"/>
                      <w:sz w:val="21"/>
                      <w:szCs w:val="21"/>
                      <w:highlight w:val="none"/>
                      <w:lang w:val="en-US" w:eastAsia="zh-CN" w:bidi="ar-SA"/>
                    </w:rPr>
                    <w:t>7</w:t>
                  </w:r>
                </w:p>
              </w:tc>
              <w:tc>
                <w:tcPr>
                  <w:tcW w:w="792" w:type="pct"/>
                  <w:noWrap w:val="0"/>
                  <w:vAlign w:val="center"/>
                </w:tcPr>
                <w:p w14:paraId="4290321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30</w:t>
                  </w:r>
                </w:p>
              </w:tc>
              <w:tc>
                <w:tcPr>
                  <w:tcW w:w="1018" w:type="dxa"/>
                  <w:noWrap w:val="0"/>
                  <w:vAlign w:val="center"/>
                </w:tcPr>
                <w:p w14:paraId="39C325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90.0</w:t>
                  </w:r>
                </w:p>
              </w:tc>
              <w:tc>
                <w:tcPr>
                  <w:tcW w:w="552" w:type="pct"/>
                  <w:noWrap w:val="0"/>
                  <w:vAlign w:val="center"/>
                </w:tcPr>
                <w:p w14:paraId="68ED4D4E">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达标</w:t>
                  </w:r>
                </w:p>
              </w:tc>
            </w:tr>
            <w:tr w14:paraId="50C2AA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1" w:type="pct"/>
                  <w:vMerge w:val="continue"/>
                  <w:noWrap w:val="0"/>
                  <w:vAlign w:val="center"/>
                </w:tcPr>
                <w:p w14:paraId="7EB42F92">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p>
              </w:tc>
              <w:tc>
                <w:tcPr>
                  <w:tcW w:w="656" w:type="pct"/>
                  <w:noWrap w:val="0"/>
                  <w:vAlign w:val="center"/>
                </w:tcPr>
                <w:p w14:paraId="27DDDB6A">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CO</w:t>
                  </w:r>
                </w:p>
              </w:tc>
              <w:tc>
                <w:tcPr>
                  <w:tcW w:w="1125" w:type="pct"/>
                  <w:noWrap w:val="0"/>
                  <w:vAlign w:val="center"/>
                </w:tcPr>
                <w:p w14:paraId="2C7CAC22">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百分位数日平均</w:t>
                  </w:r>
                </w:p>
              </w:tc>
              <w:tc>
                <w:tcPr>
                  <w:tcW w:w="790" w:type="pct"/>
                  <w:noWrap w:val="0"/>
                  <w:vAlign w:val="center"/>
                </w:tcPr>
                <w:p w14:paraId="1A6E815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1200</w:t>
                  </w:r>
                </w:p>
              </w:tc>
              <w:tc>
                <w:tcPr>
                  <w:tcW w:w="792" w:type="pct"/>
                  <w:noWrap w:val="0"/>
                  <w:vAlign w:val="center"/>
                </w:tcPr>
                <w:p w14:paraId="3F5289B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w:t>
                  </w:r>
                  <w:r>
                    <w:rPr>
                      <w:rFonts w:hint="eastAsia" w:ascii="Times New Roman" w:hAnsi="Times New Roman" w:eastAsia="宋体" w:cs="Times New Roman"/>
                      <w:color w:val="auto"/>
                      <w:kern w:val="0"/>
                      <w:sz w:val="21"/>
                      <w:szCs w:val="21"/>
                      <w:highlight w:val="none"/>
                      <w:lang w:val="en-US" w:eastAsia="zh-CN" w:bidi="ar-SA"/>
                    </w:rPr>
                    <w:t>000</w:t>
                  </w:r>
                </w:p>
              </w:tc>
              <w:tc>
                <w:tcPr>
                  <w:tcW w:w="1018" w:type="dxa"/>
                  <w:noWrap w:val="0"/>
                  <w:vAlign w:val="center"/>
                </w:tcPr>
                <w:p w14:paraId="376427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30.0</w:t>
                  </w:r>
                </w:p>
              </w:tc>
              <w:tc>
                <w:tcPr>
                  <w:tcW w:w="552" w:type="pct"/>
                  <w:noWrap w:val="0"/>
                  <w:vAlign w:val="center"/>
                </w:tcPr>
                <w:p w14:paraId="71DB7976">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达标</w:t>
                  </w:r>
                </w:p>
              </w:tc>
            </w:tr>
            <w:tr w14:paraId="34645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1" w:type="pct"/>
                  <w:vMerge w:val="continue"/>
                  <w:noWrap w:val="0"/>
                  <w:vAlign w:val="center"/>
                </w:tcPr>
                <w:p w14:paraId="4898C7E9">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p>
              </w:tc>
              <w:tc>
                <w:tcPr>
                  <w:tcW w:w="656" w:type="pct"/>
                  <w:noWrap w:val="0"/>
                  <w:vAlign w:val="center"/>
                </w:tcPr>
                <w:p w14:paraId="4E92B3EC">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O</w:t>
                  </w:r>
                  <w:r>
                    <w:rPr>
                      <w:rFonts w:hint="default"/>
                      <w:color w:val="auto"/>
                      <w:sz w:val="21"/>
                      <w:szCs w:val="21"/>
                      <w:highlight w:val="none"/>
                      <w:vertAlign w:val="subscript"/>
                    </w:rPr>
                    <w:t>3</w:t>
                  </w:r>
                  <w:r>
                    <w:rPr>
                      <w:rFonts w:hint="default"/>
                      <w:color w:val="auto"/>
                      <w:sz w:val="21"/>
                      <w:szCs w:val="21"/>
                      <w:highlight w:val="none"/>
                    </w:rPr>
                    <w:t>-8</w:t>
                  </w:r>
                </w:p>
              </w:tc>
              <w:tc>
                <w:tcPr>
                  <w:tcW w:w="1125" w:type="pct"/>
                  <w:noWrap w:val="0"/>
                  <w:vAlign w:val="center"/>
                </w:tcPr>
                <w:p w14:paraId="7EB92FED">
                  <w:pPr>
                    <w:pStyle w:val="63"/>
                    <w:keepNext w:val="0"/>
                    <w:keepLines w:val="0"/>
                    <w:widowControl w:val="0"/>
                    <w:suppressLineNumbers w:val="0"/>
                    <w:spacing w:before="0" w:beforeAutospacing="0" w:after="0" w:afterAutospacing="0" w:line="240" w:lineRule="auto"/>
                    <w:ind w:left="0" w:right="0" w:firstLine="0" w:firstLineChars="0"/>
                    <w:jc w:val="center"/>
                    <w:rPr>
                      <w:rFonts w:hint="default"/>
                      <w:color w:val="auto"/>
                      <w:sz w:val="21"/>
                      <w:szCs w:val="21"/>
                      <w:highlight w:val="none"/>
                    </w:rPr>
                  </w:pPr>
                  <w:r>
                    <w:rPr>
                      <w:rFonts w:hint="default"/>
                      <w:color w:val="auto"/>
                      <w:sz w:val="21"/>
                      <w:szCs w:val="21"/>
                      <w:highlight w:val="none"/>
                    </w:rPr>
                    <w:t>8h平均质量浓度</w:t>
                  </w:r>
                </w:p>
              </w:tc>
              <w:tc>
                <w:tcPr>
                  <w:tcW w:w="790" w:type="pct"/>
                  <w:noWrap w:val="0"/>
                  <w:vAlign w:val="center"/>
                </w:tcPr>
                <w:p w14:paraId="3F6EB1D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w:t>
                  </w:r>
                  <w:r>
                    <w:rPr>
                      <w:rFonts w:hint="eastAsia" w:ascii="Times New Roman" w:hAnsi="Times New Roman" w:eastAsia="宋体" w:cs="Times New Roman"/>
                      <w:color w:val="auto"/>
                      <w:kern w:val="0"/>
                      <w:sz w:val="21"/>
                      <w:szCs w:val="21"/>
                      <w:highlight w:val="none"/>
                      <w:lang w:val="en-US" w:eastAsia="zh-CN" w:bidi="ar-SA"/>
                    </w:rPr>
                    <w:t>55</w:t>
                  </w:r>
                </w:p>
              </w:tc>
              <w:tc>
                <w:tcPr>
                  <w:tcW w:w="792" w:type="pct"/>
                  <w:noWrap w:val="0"/>
                  <w:vAlign w:val="center"/>
                </w:tcPr>
                <w:p w14:paraId="07216BE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160</w:t>
                  </w:r>
                </w:p>
              </w:tc>
              <w:tc>
                <w:tcPr>
                  <w:tcW w:w="1018" w:type="dxa"/>
                  <w:noWrap w:val="0"/>
                  <w:vAlign w:val="center"/>
                </w:tcPr>
                <w:p w14:paraId="45149B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96.9</w:t>
                  </w:r>
                </w:p>
              </w:tc>
              <w:tc>
                <w:tcPr>
                  <w:tcW w:w="552" w:type="pct"/>
                  <w:noWrap w:val="0"/>
                  <w:vAlign w:val="center"/>
                </w:tcPr>
                <w:p w14:paraId="3E5763D6">
                  <w:pPr>
                    <w:keepNext w:val="0"/>
                    <w:keepLines w:val="0"/>
                    <w:widowControl/>
                    <w:suppressLineNumbers w:val="0"/>
                    <w:spacing w:before="0" w:beforeAutospacing="0" w:after="0" w:afterAutospacing="0"/>
                    <w:ind w:left="0" w:right="0"/>
                    <w:jc w:val="center"/>
                    <w:textAlignment w:val="bottom"/>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达标</w:t>
                  </w:r>
                </w:p>
              </w:tc>
            </w:tr>
          </w:tbl>
          <w:p w14:paraId="3FA7E5EF">
            <w:pPr>
              <w:keepNext w:val="0"/>
              <w:keepLines w:val="0"/>
              <w:suppressLineNumbers w:val="0"/>
              <w:adjustRightInd w:val="0"/>
              <w:snapToGrid w:val="0"/>
              <w:spacing w:before="0" w:beforeAutospacing="0" w:after="0" w:afterAutospacing="0" w:line="360" w:lineRule="auto"/>
              <w:ind w:left="0" w:right="0" w:firstLine="480" w:firstLineChars="200"/>
              <w:jc w:val="left"/>
              <w:rPr>
                <w:rFonts w:hint="eastAsia"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bCs/>
                <w:snapToGrid w:val="0"/>
                <w:color w:val="auto"/>
                <w:kern w:val="0"/>
                <w:sz w:val="24"/>
                <w:szCs w:val="24"/>
                <w:highlight w:val="none"/>
                <w:lang w:val="en-US" w:eastAsia="zh-CN"/>
              </w:rPr>
              <w:t>根据上表现状空气质量统计数据与《环境空气质量标准》（GB3095-2026）过渡阶段二级标准限值对比结果，</w:t>
            </w:r>
            <w:r>
              <w:rPr>
                <w:rFonts w:hint="default" w:ascii="Times New Roman" w:hAnsi="Times New Roman" w:cs="Times New Roman"/>
                <w:color w:val="auto"/>
                <w:sz w:val="24"/>
                <w:szCs w:val="24"/>
                <w:highlight w:val="none"/>
                <w:vertAlign w:val="baseline"/>
              </w:rPr>
              <w:t>PM</w:t>
            </w:r>
            <w:r>
              <w:rPr>
                <w:rFonts w:hint="default" w:ascii="Times New Roman" w:hAnsi="Times New Roman" w:cs="Times New Roman"/>
                <w:color w:val="auto"/>
                <w:sz w:val="24"/>
                <w:szCs w:val="24"/>
                <w:highlight w:val="none"/>
                <w:vertAlign w:val="subscript"/>
              </w:rPr>
              <w:t>10</w:t>
            </w:r>
            <w:r>
              <w:rPr>
                <w:rFonts w:hint="eastAsia" w:ascii="Times New Roman" w:hAnsi="Times New Roman" w:cs="Times New Roman"/>
                <w:color w:val="auto"/>
                <w:sz w:val="24"/>
                <w:szCs w:val="24"/>
                <w:highlight w:val="none"/>
                <w:vertAlign w:val="baseline"/>
                <w:lang w:val="en-US" w:eastAsia="zh-CN"/>
              </w:rPr>
              <w:t>超标，其他五项基本因子均达标。</w:t>
            </w:r>
          </w:p>
          <w:p w14:paraId="5D6D64FC">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highlight w:val="none"/>
              </w:rPr>
            </w:pPr>
            <w:r>
              <w:rPr>
                <w:rFonts w:hint="eastAsia" w:ascii="宋体" w:hAnsi="宋体" w:cs="宋体"/>
                <w:color w:val="auto"/>
                <w:kern w:val="0"/>
                <w:sz w:val="24"/>
                <w:highlight w:val="none"/>
              </w:rPr>
              <w:t>（</w:t>
            </w:r>
            <w:r>
              <w:rPr>
                <w:rFonts w:hint="eastAsia" w:ascii="Times New Roman" w:hAnsi="Times New Roman" w:cs="宋体"/>
                <w:color w:val="auto"/>
                <w:kern w:val="0"/>
                <w:sz w:val="24"/>
                <w:highlight w:val="none"/>
              </w:rPr>
              <w:t>2</w:t>
            </w:r>
            <w:r>
              <w:rPr>
                <w:rFonts w:hint="eastAsia" w:ascii="宋体" w:hAnsi="宋体" w:cs="宋体"/>
                <w:color w:val="auto"/>
                <w:kern w:val="0"/>
                <w:sz w:val="24"/>
                <w:highlight w:val="none"/>
              </w:rPr>
              <w:t>）特征污染物监测数据</w:t>
            </w:r>
          </w:p>
          <w:p w14:paraId="4E480B55">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color w:val="auto"/>
                <w:sz w:val="24"/>
                <w:highlight w:val="none"/>
              </w:rPr>
            </w:pPr>
            <w:r>
              <w:rPr>
                <w:rFonts w:hint="eastAsia" w:ascii="宋体" w:hAnsi="宋体" w:cs="宋体"/>
                <w:color w:val="auto"/>
                <w:kern w:val="0"/>
                <w:sz w:val="24"/>
                <w:highlight w:val="none"/>
                <w:lang w:val="en-US" w:eastAsia="zh-CN"/>
              </w:rPr>
              <w:t>评价期间委托</w:t>
            </w:r>
            <w:r>
              <w:rPr>
                <w:rFonts w:hint="eastAsia"/>
                <w:bCs w:val="0"/>
                <w:color w:val="auto"/>
                <w:sz w:val="24"/>
                <w:szCs w:val="24"/>
                <w:highlight w:val="none"/>
              </w:rPr>
              <w:t>山西祥雲鑫检测技术有限公司</w:t>
            </w:r>
            <w:r>
              <w:rPr>
                <w:rFonts w:hint="eastAsia" w:ascii="宋体" w:hAnsi="宋体" w:cs="宋体"/>
                <w:color w:val="auto"/>
                <w:kern w:val="0"/>
                <w:sz w:val="24"/>
                <w:highlight w:val="none"/>
                <w:lang w:val="en-US" w:eastAsia="zh-CN"/>
              </w:rPr>
              <w:t>于</w:t>
            </w:r>
            <w:r>
              <w:rPr>
                <w:rFonts w:hint="eastAsia" w:ascii="Times New Roman" w:hAnsi="Times New Roman" w:eastAsia="宋体" w:cs="Times New Roman"/>
                <w:b w:val="0"/>
                <w:bCs w:val="0"/>
                <w:color w:val="auto"/>
                <w:sz w:val="24"/>
                <w:szCs w:val="24"/>
                <w:highlight w:val="none"/>
                <w:lang w:val="en-US" w:eastAsia="zh-CN"/>
              </w:rPr>
              <w:t>2026</w:t>
            </w:r>
            <w:r>
              <w:rPr>
                <w:rFonts w:hint="default" w:ascii="Times New Roman" w:hAnsi="Times New Roman" w:eastAsia="宋体" w:cs="Times New Roman"/>
                <w:b w:val="0"/>
                <w:bCs w:val="0"/>
                <w:color w:val="auto"/>
                <w:sz w:val="24"/>
                <w:szCs w:val="24"/>
                <w:highlight w:val="none"/>
                <w:lang w:val="en-US" w:eastAsia="zh-CN"/>
              </w:rPr>
              <w:t>年</w:t>
            </w:r>
            <w:r>
              <w:rPr>
                <w:rFonts w:hint="eastAsia" w:ascii="Times New Roman" w:hAnsi="Times New Roman" w:eastAsia="宋体"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月</w:t>
            </w:r>
            <w:r>
              <w:rPr>
                <w:rFonts w:hint="eastAsia" w:ascii="Times New Roman" w:hAnsi="Times New Roman" w:eastAsia="宋体"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日</w:t>
            </w:r>
            <w:r>
              <w:rPr>
                <w:rFonts w:hint="eastAsia"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月</w:t>
            </w:r>
            <w:r>
              <w:rPr>
                <w:rFonts w:hint="eastAsia" w:ascii="Times New Roman" w:hAnsi="Times New Roman" w:eastAsia="宋体" w:cs="Times New Roman"/>
                <w:b w:val="0"/>
                <w:bCs w:val="0"/>
                <w:color w:val="auto"/>
                <w:sz w:val="24"/>
                <w:szCs w:val="24"/>
                <w:highlight w:val="none"/>
                <w:lang w:val="en-US" w:eastAsia="zh-CN"/>
              </w:rPr>
              <w:t>4</w:t>
            </w:r>
            <w:r>
              <w:rPr>
                <w:rFonts w:hint="default" w:ascii="Times New Roman" w:hAnsi="Times New Roman" w:eastAsia="宋体" w:cs="Times New Roman"/>
                <w:b w:val="0"/>
                <w:bCs w:val="0"/>
                <w:color w:val="auto"/>
                <w:sz w:val="24"/>
                <w:szCs w:val="24"/>
                <w:highlight w:val="none"/>
                <w:lang w:val="en-US" w:eastAsia="zh-CN"/>
              </w:rPr>
              <w:t>日</w:t>
            </w:r>
            <w:r>
              <w:rPr>
                <w:rFonts w:hint="eastAsia" w:ascii="Times New Roman" w:hAnsi="Times New Roman" w:eastAsia="宋体" w:cs="Times New Roman"/>
                <w:b w:val="0"/>
                <w:bCs w:val="0"/>
                <w:color w:val="auto"/>
                <w:sz w:val="24"/>
                <w:szCs w:val="24"/>
                <w:highlight w:val="none"/>
                <w:lang w:val="en-US" w:eastAsia="zh-CN"/>
              </w:rPr>
              <w:t>在厂界下风向</w:t>
            </w:r>
            <w:r>
              <w:rPr>
                <w:rFonts w:hint="eastAsia" w:ascii="Times New Roman" w:hAnsi="Times New Roman" w:eastAsia="宋体"/>
                <w:bCs w:val="0"/>
                <w:color w:val="auto"/>
                <w:sz w:val="24"/>
                <w:szCs w:val="24"/>
                <w:highlight w:val="none"/>
              </w:rPr>
              <w:t>石坡峪村村委会</w:t>
            </w:r>
            <w:r>
              <w:rPr>
                <w:rFonts w:hint="eastAsia" w:ascii="Times New Roman" w:hAnsi="Times New Roman" w:eastAsia="宋体" w:cs="Times New Roman"/>
                <w:b w:val="0"/>
                <w:bCs w:val="0"/>
                <w:color w:val="auto"/>
                <w:sz w:val="24"/>
                <w:szCs w:val="24"/>
                <w:highlight w:val="none"/>
                <w:lang w:val="en-US" w:eastAsia="zh-CN"/>
              </w:rPr>
              <w:t>设置监测点位，</w:t>
            </w:r>
            <w:r>
              <w:rPr>
                <w:rFonts w:hint="eastAsia" w:ascii="宋体" w:hAnsi="宋体" w:cs="宋体"/>
                <w:color w:val="auto"/>
                <w:kern w:val="0"/>
                <w:sz w:val="24"/>
                <w:highlight w:val="none"/>
                <w:lang w:val="en-US" w:eastAsia="zh-CN"/>
              </w:rPr>
              <w:t>对本项目</w:t>
            </w:r>
            <w:r>
              <w:rPr>
                <w:rFonts w:hint="eastAsia" w:ascii="宋体" w:hAnsi="宋体" w:cs="宋体"/>
                <w:color w:val="auto"/>
                <w:kern w:val="0"/>
                <w:sz w:val="24"/>
                <w:highlight w:val="none"/>
              </w:rPr>
              <w:t>特征</w:t>
            </w:r>
            <w:r>
              <w:rPr>
                <w:rFonts w:hint="eastAsia" w:ascii="宋体" w:hAnsi="宋体" w:cs="宋体"/>
                <w:color w:val="auto"/>
                <w:kern w:val="0"/>
                <w:sz w:val="24"/>
                <w:highlight w:val="none"/>
                <w:lang w:val="en-US" w:eastAsia="zh-CN"/>
              </w:rPr>
              <w:t>因子</w:t>
            </w:r>
            <w:r>
              <w:rPr>
                <w:rFonts w:hint="eastAsia" w:ascii="Times New Roman" w:hAnsi="Times New Roman" w:cs="宋体"/>
                <w:color w:val="auto"/>
                <w:kern w:val="0"/>
                <w:sz w:val="24"/>
                <w:highlight w:val="none"/>
              </w:rPr>
              <w:t>TSP</w:t>
            </w:r>
            <w:r>
              <w:rPr>
                <w:rFonts w:hint="eastAsia" w:ascii="Times New Roman" w:hAnsi="Times New Roman" w:cs="宋体"/>
                <w:color w:val="auto"/>
                <w:kern w:val="0"/>
                <w:sz w:val="24"/>
                <w:highlight w:val="none"/>
                <w:lang w:val="en-US" w:eastAsia="zh-CN"/>
              </w:rPr>
              <w:t>进行了环境空气质量补充监测</w:t>
            </w:r>
            <w:r>
              <w:rPr>
                <w:rFonts w:hint="eastAsia"/>
                <w:color w:val="auto"/>
                <w:sz w:val="24"/>
                <w:highlight w:val="none"/>
              </w:rPr>
              <w:t>。</w:t>
            </w:r>
          </w:p>
          <w:p w14:paraId="5898BA1C">
            <w:pPr>
              <w:keepNext w:val="0"/>
              <w:keepLines w:val="0"/>
              <w:suppressLineNumbers w:val="0"/>
              <w:adjustRightInd w:val="0"/>
              <w:snapToGrid w:val="0"/>
              <w:spacing w:before="0" w:beforeAutospacing="0" w:after="0" w:afterAutospacing="0" w:line="360" w:lineRule="auto"/>
              <w:ind w:left="0" w:right="0" w:firstLine="482" w:firstLineChars="200"/>
              <w:jc w:val="center"/>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表3-</w:t>
            </w:r>
            <w:r>
              <w:rPr>
                <w:rFonts w:hint="eastAsia" w:cs="Times New Roman"/>
                <w:b/>
                <w:bCs/>
                <w:color w:val="auto"/>
                <w:kern w:val="0"/>
                <w:sz w:val="24"/>
                <w:szCs w:val="24"/>
                <w:highlight w:val="none"/>
                <w:lang w:val="en-US" w:eastAsia="zh-CN"/>
              </w:rPr>
              <w:t xml:space="preserve">3 </w:t>
            </w:r>
            <w:r>
              <w:rPr>
                <w:rFonts w:hint="default" w:ascii="Times New Roman" w:hAnsi="Times New Roman" w:eastAsia="宋体" w:cs="Times New Roman"/>
                <w:b/>
                <w:bCs/>
                <w:color w:val="auto"/>
                <w:kern w:val="0"/>
                <w:sz w:val="24"/>
                <w:szCs w:val="24"/>
                <w:highlight w:val="none"/>
              </w:rPr>
              <w:t>TSP24小时平均浓度监测结果统计表单位ug/Nm</w:t>
            </w:r>
            <w:r>
              <w:rPr>
                <w:rFonts w:hint="default" w:ascii="Times New Roman" w:hAnsi="Times New Roman" w:eastAsia="宋体" w:cs="Times New Roman"/>
                <w:b/>
                <w:bCs/>
                <w:color w:val="auto"/>
                <w:kern w:val="0"/>
                <w:sz w:val="24"/>
                <w:szCs w:val="24"/>
                <w:highlight w:val="none"/>
                <w:vertAlign w:val="superscript"/>
              </w:rPr>
              <w:t>3</w:t>
            </w:r>
          </w:p>
          <w:tbl>
            <w:tblPr>
              <w:tblStyle w:val="2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62"/>
              <w:gridCol w:w="760"/>
              <w:gridCol w:w="1077"/>
              <w:gridCol w:w="1251"/>
              <w:gridCol w:w="1856"/>
              <w:gridCol w:w="792"/>
              <w:gridCol w:w="961"/>
            </w:tblGrid>
            <w:tr w14:paraId="0F38A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6" w:hRule="atLeast"/>
              </w:trPr>
              <w:tc>
                <w:tcPr>
                  <w:tcW w:w="793" w:type="pct"/>
                  <w:noWrap w:val="0"/>
                  <w:vAlign w:val="center"/>
                </w:tcPr>
                <w:p w14:paraId="7EC729D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监测日期</w:t>
                  </w:r>
                </w:p>
              </w:tc>
              <w:tc>
                <w:tcPr>
                  <w:tcW w:w="477" w:type="pct"/>
                  <w:noWrap w:val="0"/>
                  <w:vAlign w:val="center"/>
                </w:tcPr>
                <w:p w14:paraId="3912CF9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项目</w:t>
                  </w:r>
                </w:p>
              </w:tc>
              <w:tc>
                <w:tcPr>
                  <w:tcW w:w="676" w:type="pct"/>
                  <w:noWrap w:val="0"/>
                  <w:vAlign w:val="center"/>
                </w:tcPr>
                <w:p w14:paraId="4AF18BB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实测浓度</w:t>
                  </w:r>
                </w:p>
              </w:tc>
              <w:tc>
                <w:tcPr>
                  <w:tcW w:w="785" w:type="pct"/>
                  <w:noWrap w:val="0"/>
                  <w:vAlign w:val="center"/>
                </w:tcPr>
                <w:p w14:paraId="4CC3EBB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r>
                    <w:rPr>
                      <w:rFonts w:hint="eastAsia" w:ascii="Times New Roman" w:hAnsi="Times New Roman" w:cs="宋体"/>
                      <w:color w:val="auto"/>
                      <w:kern w:val="0"/>
                      <w:sz w:val="21"/>
                      <w:szCs w:val="21"/>
                      <w:highlight w:val="none"/>
                    </w:rPr>
                    <w:t>24</w:t>
                  </w:r>
                  <w:r>
                    <w:rPr>
                      <w:rFonts w:hint="eastAsia" w:ascii="宋体" w:hAnsi="宋体" w:cs="宋体"/>
                      <w:color w:val="auto"/>
                      <w:kern w:val="0"/>
                      <w:sz w:val="21"/>
                      <w:szCs w:val="21"/>
                      <w:highlight w:val="none"/>
                    </w:rPr>
                    <w:t>小时浓度标准值</w:t>
                  </w:r>
                </w:p>
              </w:tc>
              <w:tc>
                <w:tcPr>
                  <w:tcW w:w="1165" w:type="pct"/>
                  <w:noWrap w:val="0"/>
                  <w:vAlign w:val="center"/>
                </w:tcPr>
                <w:p w14:paraId="6D0C71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105" w:leftChars="-50" w:right="-105" w:rightChars="-50"/>
                    <w:jc w:val="center"/>
                    <w:textAlignment w:val="auto"/>
                    <w:rPr>
                      <w:rFonts w:hint="default" w:ascii="Times New Roman" w:hAnsi="Times New Roman" w:cs="Times New Roman"/>
                      <w:color w:val="auto"/>
                      <w:kern w:val="0"/>
                      <w:sz w:val="21"/>
                      <w:szCs w:val="21"/>
                      <w:highlight w:val="none"/>
                    </w:rPr>
                  </w:pPr>
                  <w:r>
                    <w:rPr>
                      <w:rFonts w:hint="eastAsia" w:ascii="宋体" w:hAnsi="宋体" w:cs="宋体"/>
                      <w:color w:val="auto"/>
                      <w:kern w:val="0"/>
                      <w:sz w:val="21"/>
                      <w:szCs w:val="21"/>
                      <w:highlight w:val="none"/>
                    </w:rPr>
                    <w:t>最大值占</w:t>
                  </w:r>
                </w:p>
                <w:p w14:paraId="30733B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105" w:leftChars="-50" w:right="-105" w:rightChars="-50"/>
                    <w:jc w:val="center"/>
                    <w:textAlignment w:val="auto"/>
                    <w:rPr>
                      <w:rFonts w:hint="default" w:ascii="Times New Roman" w:hAnsi="Times New Roman" w:cs="Times New Roman"/>
                      <w:color w:val="auto"/>
                      <w:kern w:val="0"/>
                      <w:sz w:val="21"/>
                      <w:szCs w:val="21"/>
                      <w:highlight w:val="none"/>
                    </w:rPr>
                  </w:pPr>
                  <w:r>
                    <w:rPr>
                      <w:rFonts w:hint="eastAsia" w:ascii="宋体" w:hAnsi="宋体" w:cs="宋体"/>
                      <w:color w:val="auto"/>
                      <w:kern w:val="0"/>
                      <w:sz w:val="21"/>
                      <w:szCs w:val="21"/>
                      <w:highlight w:val="none"/>
                    </w:rPr>
                    <w:t>标准百分比（</w:t>
                  </w:r>
                  <w:r>
                    <w:rPr>
                      <w:rFonts w:hint="default" w:ascii="Times New Roman" w:hAnsi="Times New Roman" w:cs="Times New Roman"/>
                      <w:color w:val="auto"/>
                      <w:kern w:val="0"/>
                      <w:sz w:val="21"/>
                      <w:szCs w:val="21"/>
                      <w:highlight w:val="none"/>
                    </w:rPr>
                    <w:t>%</w:t>
                  </w:r>
                  <w:r>
                    <w:rPr>
                      <w:rFonts w:hint="eastAsia" w:ascii="宋体" w:hAnsi="宋体" w:cs="宋体"/>
                      <w:color w:val="auto"/>
                      <w:kern w:val="0"/>
                      <w:sz w:val="21"/>
                      <w:szCs w:val="21"/>
                      <w:highlight w:val="none"/>
                    </w:rPr>
                    <w:t>）</w:t>
                  </w:r>
                </w:p>
              </w:tc>
              <w:tc>
                <w:tcPr>
                  <w:tcW w:w="497" w:type="pct"/>
                  <w:noWrap w:val="0"/>
                  <w:vAlign w:val="center"/>
                </w:tcPr>
                <w:p w14:paraId="44EE8D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105" w:leftChars="-50" w:right="-105" w:rightChars="-50"/>
                    <w:jc w:val="center"/>
                    <w:textAlignment w:val="auto"/>
                    <w:rPr>
                      <w:rFonts w:hint="default" w:ascii="Times New Roman" w:hAnsi="Times New Roman" w:cs="Times New Roman"/>
                      <w:color w:val="auto"/>
                      <w:kern w:val="0"/>
                      <w:sz w:val="21"/>
                      <w:szCs w:val="21"/>
                      <w:highlight w:val="none"/>
                    </w:rPr>
                  </w:pPr>
                  <w:r>
                    <w:rPr>
                      <w:rFonts w:hint="eastAsia" w:ascii="宋体" w:hAnsi="宋体" w:cs="宋体"/>
                      <w:color w:val="auto"/>
                      <w:kern w:val="0"/>
                      <w:sz w:val="21"/>
                      <w:szCs w:val="21"/>
                      <w:highlight w:val="none"/>
                    </w:rPr>
                    <w:t>超标率</w:t>
                  </w:r>
                </w:p>
              </w:tc>
              <w:tc>
                <w:tcPr>
                  <w:tcW w:w="603" w:type="pct"/>
                  <w:noWrap w:val="0"/>
                  <w:vAlign w:val="center"/>
                </w:tcPr>
                <w:p w14:paraId="108116A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r>
                    <w:rPr>
                      <w:rFonts w:hint="eastAsia" w:ascii="宋体" w:hAnsi="宋体" w:cs="宋体"/>
                      <w:color w:val="auto"/>
                      <w:kern w:val="0"/>
                      <w:sz w:val="21"/>
                      <w:szCs w:val="21"/>
                      <w:highlight w:val="none"/>
                    </w:rPr>
                    <w:t>最大超标倍数</w:t>
                  </w:r>
                </w:p>
              </w:tc>
            </w:tr>
            <w:tr w14:paraId="7AC25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 w:hRule="atLeast"/>
              </w:trPr>
              <w:tc>
                <w:tcPr>
                  <w:tcW w:w="793" w:type="pct"/>
                  <w:noWrap w:val="0"/>
                  <w:vAlign w:val="center"/>
                </w:tcPr>
                <w:p w14:paraId="71C249C1">
                  <w:pPr>
                    <w:pStyle w:val="42"/>
                    <w:keepNext w:val="0"/>
                    <w:keepLines w:val="0"/>
                    <w:suppressLineNumbers w:val="0"/>
                    <w:spacing w:before="0" w:beforeAutospacing="0" w:after="0" w:afterAutospacing="0"/>
                    <w:ind w:left="0" w:right="0"/>
                    <w:jc w:val="center"/>
                    <w:rPr>
                      <w:rFonts w:hint="default" w:ascii="宋体" w:hAnsi="宋体" w:cs="宋体"/>
                      <w:color w:val="auto"/>
                      <w:kern w:val="0"/>
                      <w:sz w:val="21"/>
                      <w:szCs w:val="21"/>
                      <w:highlight w:val="none"/>
                      <w:lang w:val="en-US"/>
                    </w:rPr>
                  </w:pPr>
                  <w:r>
                    <w:rPr>
                      <w:rFonts w:hint="eastAsia" w:ascii="Times New Roman" w:eastAsia="楷体" w:cs="Times New Roman"/>
                      <w:b w:val="0"/>
                      <w:bCs w:val="0"/>
                      <w:color w:val="auto"/>
                      <w:spacing w:val="0"/>
                      <w:w w:val="100"/>
                      <w:kern w:val="2"/>
                      <w:position w:val="0"/>
                      <w:sz w:val="21"/>
                      <w:szCs w:val="21"/>
                      <w:highlight w:val="none"/>
                      <w:u w:val="none"/>
                      <w:shd w:val="clear" w:color="auto" w:fill="auto"/>
                      <w:lang w:val="en-US" w:eastAsia="zh-CN" w:bidi="zh-TW"/>
                    </w:rPr>
                    <w:t>2026.8.1</w:t>
                  </w:r>
                </w:p>
              </w:tc>
              <w:tc>
                <w:tcPr>
                  <w:tcW w:w="477" w:type="pct"/>
                  <w:vMerge w:val="restart"/>
                  <w:noWrap w:val="0"/>
                  <w:vAlign w:val="center"/>
                </w:tcPr>
                <w:p w14:paraId="596926B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TSP</w:t>
                  </w:r>
                </w:p>
              </w:tc>
              <w:tc>
                <w:tcPr>
                  <w:tcW w:w="676" w:type="pct"/>
                  <w:noWrap w:val="0"/>
                  <w:vAlign w:val="center"/>
                </w:tcPr>
                <w:p w14:paraId="292337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楷体" w:cs="Times New Roman"/>
                      <w:color w:val="auto"/>
                      <w:sz w:val="21"/>
                      <w:szCs w:val="21"/>
                      <w:highlight w:val="none"/>
                      <w:lang w:val="en-US" w:eastAsia="zh-CN"/>
                    </w:rPr>
                    <w:t>149</w:t>
                  </w:r>
                </w:p>
              </w:tc>
              <w:tc>
                <w:tcPr>
                  <w:tcW w:w="785" w:type="pct"/>
                  <w:vMerge w:val="restart"/>
                  <w:noWrap w:val="0"/>
                  <w:vAlign w:val="center"/>
                </w:tcPr>
                <w:p w14:paraId="3571AB0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r>
                    <w:rPr>
                      <w:rFonts w:hint="eastAsia" w:ascii="Times New Roman" w:hAnsi="Times New Roman" w:cs="宋体"/>
                      <w:color w:val="auto"/>
                      <w:kern w:val="0"/>
                      <w:sz w:val="21"/>
                      <w:szCs w:val="21"/>
                      <w:highlight w:val="none"/>
                    </w:rPr>
                    <w:t>300</w:t>
                  </w:r>
                </w:p>
              </w:tc>
              <w:tc>
                <w:tcPr>
                  <w:tcW w:w="1165" w:type="pct"/>
                  <w:vMerge w:val="restart"/>
                  <w:noWrap w:val="0"/>
                  <w:vAlign w:val="center"/>
                </w:tcPr>
                <w:p w14:paraId="79FB624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52.7</w:t>
                  </w:r>
                </w:p>
              </w:tc>
              <w:tc>
                <w:tcPr>
                  <w:tcW w:w="497" w:type="pct"/>
                  <w:vMerge w:val="restart"/>
                  <w:noWrap w:val="0"/>
                  <w:vAlign w:val="center"/>
                </w:tcPr>
                <w:p w14:paraId="0911DCB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r>
                    <w:rPr>
                      <w:rFonts w:hint="eastAsia" w:ascii="Times New Roman" w:hAnsi="Times New Roman" w:cs="宋体"/>
                      <w:color w:val="auto"/>
                      <w:kern w:val="0"/>
                      <w:sz w:val="21"/>
                      <w:szCs w:val="21"/>
                      <w:highlight w:val="none"/>
                    </w:rPr>
                    <w:t>0</w:t>
                  </w:r>
                </w:p>
              </w:tc>
              <w:tc>
                <w:tcPr>
                  <w:tcW w:w="603" w:type="pct"/>
                  <w:vMerge w:val="restart"/>
                  <w:noWrap w:val="0"/>
                  <w:vAlign w:val="center"/>
                </w:tcPr>
                <w:p w14:paraId="0EB758A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r>
                    <w:rPr>
                      <w:rFonts w:hint="eastAsia" w:ascii="Times New Roman" w:hAnsi="Times New Roman" w:cs="宋体"/>
                      <w:color w:val="auto"/>
                      <w:kern w:val="0"/>
                      <w:sz w:val="21"/>
                      <w:szCs w:val="21"/>
                      <w:highlight w:val="none"/>
                    </w:rPr>
                    <w:t>0</w:t>
                  </w:r>
                </w:p>
              </w:tc>
            </w:tr>
            <w:tr w14:paraId="1439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793" w:type="pct"/>
                  <w:noWrap w:val="0"/>
                  <w:vAlign w:val="center"/>
                </w:tcPr>
                <w:p w14:paraId="6A4D1F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0"/>
                      <w:sz w:val="21"/>
                      <w:szCs w:val="21"/>
                      <w:highlight w:val="none"/>
                      <w:lang w:val="en-US"/>
                    </w:rPr>
                  </w:pPr>
                  <w:r>
                    <w:rPr>
                      <w:rFonts w:hint="eastAsia" w:ascii="Times New Roman" w:hAnsi="Times New Roman" w:eastAsia="楷体" w:cs="Times New Roman"/>
                      <w:b w:val="0"/>
                      <w:bCs w:val="0"/>
                      <w:color w:val="auto"/>
                      <w:spacing w:val="0"/>
                      <w:w w:val="100"/>
                      <w:kern w:val="2"/>
                      <w:position w:val="0"/>
                      <w:sz w:val="21"/>
                      <w:szCs w:val="21"/>
                      <w:highlight w:val="none"/>
                      <w:u w:val="none"/>
                      <w:shd w:val="clear" w:color="auto" w:fill="auto"/>
                      <w:lang w:val="en-US" w:eastAsia="zh-CN" w:bidi="zh-TW"/>
                    </w:rPr>
                    <w:t>2026.8.2</w:t>
                  </w:r>
                </w:p>
              </w:tc>
              <w:tc>
                <w:tcPr>
                  <w:tcW w:w="477" w:type="pct"/>
                  <w:vMerge w:val="continue"/>
                  <w:noWrap w:val="0"/>
                  <w:vAlign w:val="center"/>
                </w:tcPr>
                <w:p w14:paraId="1606C31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p>
              </w:tc>
              <w:tc>
                <w:tcPr>
                  <w:tcW w:w="676" w:type="pct"/>
                  <w:noWrap w:val="0"/>
                  <w:vAlign w:val="center"/>
                </w:tcPr>
                <w:p w14:paraId="7D655D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楷体" w:cs="Times New Roman"/>
                      <w:color w:val="auto"/>
                      <w:sz w:val="21"/>
                      <w:szCs w:val="21"/>
                      <w:highlight w:val="none"/>
                      <w:lang w:val="en-US" w:eastAsia="zh-CN"/>
                    </w:rPr>
                    <w:t>158</w:t>
                  </w:r>
                </w:p>
              </w:tc>
              <w:tc>
                <w:tcPr>
                  <w:tcW w:w="785" w:type="pct"/>
                  <w:vMerge w:val="continue"/>
                  <w:noWrap w:val="0"/>
                  <w:vAlign w:val="center"/>
                </w:tcPr>
                <w:p w14:paraId="497E728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p>
              </w:tc>
              <w:tc>
                <w:tcPr>
                  <w:tcW w:w="1165" w:type="pct"/>
                  <w:vMerge w:val="continue"/>
                  <w:noWrap w:val="0"/>
                  <w:vAlign w:val="center"/>
                </w:tcPr>
                <w:p w14:paraId="3B33E10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p>
              </w:tc>
              <w:tc>
                <w:tcPr>
                  <w:tcW w:w="497" w:type="pct"/>
                  <w:vMerge w:val="continue"/>
                  <w:noWrap w:val="0"/>
                  <w:vAlign w:val="center"/>
                </w:tcPr>
                <w:p w14:paraId="0812B1D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p>
              </w:tc>
              <w:tc>
                <w:tcPr>
                  <w:tcW w:w="603" w:type="pct"/>
                  <w:vMerge w:val="continue"/>
                  <w:noWrap w:val="0"/>
                  <w:vAlign w:val="center"/>
                </w:tcPr>
                <w:p w14:paraId="0EB9819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p>
              </w:tc>
            </w:tr>
            <w:tr w14:paraId="4D4B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6" w:hRule="atLeast"/>
              </w:trPr>
              <w:tc>
                <w:tcPr>
                  <w:tcW w:w="793" w:type="pct"/>
                  <w:noWrap w:val="0"/>
                  <w:vAlign w:val="center"/>
                </w:tcPr>
                <w:p w14:paraId="6B3E9F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0"/>
                      <w:sz w:val="21"/>
                      <w:szCs w:val="21"/>
                      <w:highlight w:val="none"/>
                      <w:lang w:val="en-US"/>
                    </w:rPr>
                  </w:pPr>
                  <w:r>
                    <w:rPr>
                      <w:rFonts w:hint="eastAsia" w:ascii="Times New Roman" w:hAnsi="Times New Roman" w:eastAsia="楷体" w:cs="Times New Roman"/>
                      <w:b w:val="0"/>
                      <w:bCs w:val="0"/>
                      <w:color w:val="auto"/>
                      <w:spacing w:val="0"/>
                      <w:w w:val="100"/>
                      <w:kern w:val="2"/>
                      <w:position w:val="0"/>
                      <w:sz w:val="21"/>
                      <w:szCs w:val="21"/>
                      <w:highlight w:val="none"/>
                      <w:u w:val="none"/>
                      <w:shd w:val="clear" w:color="auto" w:fill="auto"/>
                      <w:lang w:val="en-US" w:eastAsia="zh-CN" w:bidi="zh-TW"/>
                    </w:rPr>
                    <w:t>2026.8.3</w:t>
                  </w:r>
                </w:p>
              </w:tc>
              <w:tc>
                <w:tcPr>
                  <w:tcW w:w="477" w:type="pct"/>
                  <w:vMerge w:val="continue"/>
                  <w:noWrap w:val="0"/>
                  <w:vAlign w:val="center"/>
                </w:tcPr>
                <w:p w14:paraId="3EE6DA2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p>
              </w:tc>
              <w:tc>
                <w:tcPr>
                  <w:tcW w:w="676" w:type="pct"/>
                  <w:noWrap w:val="0"/>
                  <w:vAlign w:val="center"/>
                </w:tcPr>
                <w:p w14:paraId="2C4E3A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楷体" w:cs="Times New Roman"/>
                      <w:color w:val="auto"/>
                      <w:sz w:val="21"/>
                      <w:szCs w:val="21"/>
                      <w:highlight w:val="none"/>
                      <w:lang w:val="en-US" w:eastAsia="zh-CN"/>
                    </w:rPr>
                    <w:t>152</w:t>
                  </w:r>
                </w:p>
              </w:tc>
              <w:tc>
                <w:tcPr>
                  <w:tcW w:w="785" w:type="pct"/>
                  <w:vMerge w:val="continue"/>
                  <w:noWrap w:val="0"/>
                  <w:vAlign w:val="center"/>
                </w:tcPr>
                <w:p w14:paraId="369F6D4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p>
              </w:tc>
              <w:tc>
                <w:tcPr>
                  <w:tcW w:w="1165" w:type="pct"/>
                  <w:vMerge w:val="continue"/>
                  <w:noWrap w:val="0"/>
                  <w:vAlign w:val="center"/>
                </w:tcPr>
                <w:p w14:paraId="6E9E420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p>
              </w:tc>
              <w:tc>
                <w:tcPr>
                  <w:tcW w:w="497" w:type="pct"/>
                  <w:vMerge w:val="continue"/>
                  <w:noWrap w:val="0"/>
                  <w:vAlign w:val="center"/>
                </w:tcPr>
                <w:p w14:paraId="3F65807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p>
              </w:tc>
              <w:tc>
                <w:tcPr>
                  <w:tcW w:w="603" w:type="pct"/>
                  <w:vMerge w:val="continue"/>
                  <w:noWrap w:val="0"/>
                  <w:vAlign w:val="center"/>
                </w:tcPr>
                <w:p w14:paraId="1D38717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rPr>
                  </w:pPr>
                </w:p>
              </w:tc>
            </w:tr>
          </w:tbl>
          <w:p w14:paraId="2C00A7F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宋体" w:hAnsi="宋体" w:cs="宋体"/>
                <w:color w:val="auto"/>
                <w:sz w:val="24"/>
                <w:szCs w:val="24"/>
                <w:highlight w:val="yellow"/>
                <w:lang w:eastAsia="zh-CN"/>
              </w:rPr>
            </w:pPr>
            <w:r>
              <w:rPr>
                <w:rFonts w:hint="eastAsia" w:ascii="宋体" w:hAnsi="宋体" w:cs="宋体"/>
                <w:color w:val="auto"/>
                <w:kern w:val="0"/>
                <w:sz w:val="24"/>
                <w:highlight w:val="none"/>
              </w:rPr>
              <w:t>由表</w:t>
            </w:r>
            <w:r>
              <w:rPr>
                <w:rFonts w:hint="eastAsia" w:ascii="Times New Roman" w:hAnsi="Times New Roman" w:cs="宋体"/>
                <w:color w:val="auto"/>
                <w:kern w:val="0"/>
                <w:sz w:val="24"/>
                <w:highlight w:val="none"/>
              </w:rPr>
              <w:t>3</w:t>
            </w:r>
            <w:r>
              <w:rPr>
                <w:rFonts w:hint="eastAsia" w:ascii="宋体" w:hAnsi="宋体" w:cs="宋体"/>
                <w:color w:val="auto"/>
                <w:kern w:val="0"/>
                <w:sz w:val="24"/>
                <w:highlight w:val="none"/>
              </w:rPr>
              <w:t>-</w:t>
            </w:r>
            <w:r>
              <w:rPr>
                <w:rFonts w:hint="eastAsia" w:ascii="Times New Roman" w:hAnsi="Times New Roman" w:cs="宋体"/>
                <w:color w:val="auto"/>
                <w:kern w:val="0"/>
                <w:sz w:val="24"/>
                <w:highlight w:val="none"/>
              </w:rPr>
              <w:t>2</w:t>
            </w:r>
            <w:r>
              <w:rPr>
                <w:rFonts w:hint="eastAsia" w:ascii="宋体" w:hAnsi="宋体" w:cs="宋体"/>
                <w:color w:val="auto"/>
                <w:kern w:val="0"/>
                <w:sz w:val="24"/>
                <w:highlight w:val="none"/>
              </w:rPr>
              <w:t>可知，监测点连续监测</w:t>
            </w:r>
            <w:r>
              <w:rPr>
                <w:rFonts w:hint="eastAsia" w:ascii="Times New Roman" w:hAnsi="Times New Roman" w:cs="宋体"/>
                <w:color w:val="auto"/>
                <w:kern w:val="0"/>
                <w:sz w:val="24"/>
                <w:highlight w:val="none"/>
              </w:rPr>
              <w:t>3</w:t>
            </w:r>
            <w:r>
              <w:rPr>
                <w:rFonts w:hint="eastAsia" w:ascii="宋体" w:hAnsi="宋体" w:cs="宋体"/>
                <w:color w:val="auto"/>
                <w:kern w:val="0"/>
                <w:sz w:val="24"/>
                <w:highlight w:val="none"/>
              </w:rPr>
              <w:t>天，共得到</w:t>
            </w:r>
            <w:r>
              <w:rPr>
                <w:rFonts w:hint="eastAsia" w:ascii="Times New Roman" w:hAnsi="Times New Roman" w:cs="宋体"/>
                <w:color w:val="auto"/>
                <w:kern w:val="0"/>
                <w:sz w:val="24"/>
                <w:highlight w:val="none"/>
              </w:rPr>
              <w:t>TSP24</w:t>
            </w:r>
            <w:r>
              <w:rPr>
                <w:rFonts w:hint="eastAsia" w:ascii="宋体" w:hAnsi="宋体" w:cs="宋体"/>
                <w:color w:val="auto"/>
                <w:kern w:val="0"/>
                <w:sz w:val="24"/>
                <w:highlight w:val="none"/>
              </w:rPr>
              <w:t>小时平均值</w:t>
            </w:r>
            <w:r>
              <w:rPr>
                <w:rFonts w:hint="eastAsia" w:ascii="Times New Roman" w:hAnsi="Times New Roman" w:cs="宋体"/>
                <w:color w:val="auto"/>
                <w:kern w:val="0"/>
                <w:sz w:val="24"/>
                <w:highlight w:val="none"/>
              </w:rPr>
              <w:t>3</w:t>
            </w:r>
            <w:r>
              <w:rPr>
                <w:rFonts w:hint="eastAsia" w:ascii="宋体" w:hAnsi="宋体" w:cs="宋体"/>
                <w:color w:val="auto"/>
                <w:kern w:val="0"/>
                <w:sz w:val="24"/>
                <w:highlight w:val="none"/>
              </w:rPr>
              <w:t>个，其浓度最大值为</w:t>
            </w:r>
            <w:r>
              <w:rPr>
                <w:rFonts w:hint="eastAsia" w:ascii="Times New Roman" w:hAnsi="Times New Roman" w:cs="宋体"/>
                <w:color w:val="auto"/>
                <w:kern w:val="0"/>
                <w:sz w:val="24"/>
                <w:highlight w:val="none"/>
                <w:lang w:val="en-US" w:eastAsia="zh-CN"/>
              </w:rPr>
              <w:t>158</w:t>
            </w:r>
            <w:r>
              <w:rPr>
                <w:rFonts w:hint="eastAsia" w:ascii="Times New Roman" w:hAnsi="Times New Roman" w:cs="宋体"/>
                <w:color w:val="auto"/>
                <w:kern w:val="0"/>
                <w:sz w:val="24"/>
                <w:highlight w:val="none"/>
              </w:rPr>
              <w:t>ug</w:t>
            </w:r>
            <w:r>
              <w:rPr>
                <w:rFonts w:hint="eastAsia" w:ascii="宋体" w:hAnsi="宋体" w:cs="宋体"/>
                <w:color w:val="auto"/>
                <w:kern w:val="0"/>
                <w:sz w:val="24"/>
                <w:highlight w:val="none"/>
              </w:rPr>
              <w:t>/</w:t>
            </w:r>
            <w:r>
              <w:rPr>
                <w:rFonts w:hint="eastAsia" w:ascii="Times New Roman" w:hAnsi="Times New Roman" w:cs="宋体"/>
                <w:color w:val="auto"/>
                <w:kern w:val="0"/>
                <w:sz w:val="24"/>
                <w:highlight w:val="none"/>
              </w:rPr>
              <w:t>Nm</w:t>
            </w:r>
            <w:r>
              <w:rPr>
                <w:rFonts w:hint="eastAsia" w:ascii="Times New Roman" w:hAnsi="Times New Roman" w:cs="宋体"/>
                <w:color w:val="auto"/>
                <w:kern w:val="0"/>
                <w:sz w:val="24"/>
                <w:highlight w:val="none"/>
                <w:vertAlign w:val="superscript"/>
              </w:rPr>
              <w:t>3</w:t>
            </w:r>
            <w:r>
              <w:rPr>
                <w:rFonts w:hint="eastAsia" w:ascii="宋体" w:hAnsi="宋体" w:cs="宋体"/>
                <w:color w:val="auto"/>
                <w:kern w:val="0"/>
                <w:sz w:val="24"/>
                <w:highlight w:val="none"/>
              </w:rPr>
              <w:t>，所有样品均未超过《环境空气质量标准》（</w:t>
            </w:r>
            <w:r>
              <w:rPr>
                <w:rFonts w:hint="eastAsia" w:ascii="Times New Roman" w:hAnsi="Times New Roman" w:cs="宋体"/>
                <w:color w:val="auto"/>
                <w:kern w:val="0"/>
                <w:sz w:val="24"/>
                <w:highlight w:val="none"/>
              </w:rPr>
              <w:t>GB3095</w:t>
            </w:r>
            <w:r>
              <w:rPr>
                <w:rFonts w:hint="eastAsia" w:ascii="宋体" w:hAnsi="宋体" w:cs="宋体"/>
                <w:color w:val="auto"/>
                <w:kern w:val="0"/>
                <w:sz w:val="24"/>
                <w:highlight w:val="none"/>
              </w:rPr>
              <w:t>-</w:t>
            </w:r>
            <w:r>
              <w:rPr>
                <w:rFonts w:hint="eastAsia" w:ascii="Times New Roman" w:hAnsi="Times New Roman" w:cs="宋体"/>
                <w:color w:val="auto"/>
                <w:kern w:val="0"/>
                <w:sz w:val="24"/>
                <w:highlight w:val="none"/>
                <w:lang w:val="en-US" w:eastAsia="zh-CN"/>
              </w:rPr>
              <w:t>2026</w:t>
            </w:r>
            <w:r>
              <w:rPr>
                <w:rFonts w:hint="eastAsia" w:ascii="宋体" w:hAnsi="宋体" w:cs="宋体"/>
                <w:color w:val="auto"/>
                <w:kern w:val="0"/>
                <w:sz w:val="24"/>
                <w:highlight w:val="none"/>
              </w:rPr>
              <w:t>）中的二级标准（</w:t>
            </w:r>
            <w:r>
              <w:rPr>
                <w:rFonts w:hint="eastAsia" w:ascii="Times New Roman" w:hAnsi="Times New Roman" w:cs="宋体"/>
                <w:color w:val="auto"/>
                <w:kern w:val="0"/>
                <w:sz w:val="24"/>
                <w:highlight w:val="none"/>
              </w:rPr>
              <w:t>TSP24h</w:t>
            </w:r>
            <w:r>
              <w:rPr>
                <w:rFonts w:hint="eastAsia" w:ascii="宋体" w:hAnsi="宋体" w:cs="宋体"/>
                <w:color w:val="auto"/>
                <w:kern w:val="0"/>
                <w:sz w:val="24"/>
                <w:highlight w:val="none"/>
              </w:rPr>
              <w:t>平均浓度</w:t>
            </w:r>
            <w:r>
              <w:rPr>
                <w:rFonts w:hint="eastAsia" w:ascii="Times New Roman" w:hAnsi="Times New Roman" w:cs="宋体"/>
                <w:color w:val="auto"/>
                <w:kern w:val="0"/>
                <w:sz w:val="24"/>
                <w:highlight w:val="none"/>
              </w:rPr>
              <w:t>300ug</w:t>
            </w:r>
            <w:r>
              <w:rPr>
                <w:rFonts w:hint="eastAsia" w:ascii="宋体" w:hAnsi="宋体" w:cs="宋体"/>
                <w:color w:val="auto"/>
                <w:kern w:val="0"/>
                <w:sz w:val="24"/>
                <w:highlight w:val="none"/>
              </w:rPr>
              <w:t>/</w:t>
            </w:r>
            <w:r>
              <w:rPr>
                <w:rFonts w:hint="eastAsia" w:ascii="Times New Roman" w:hAnsi="Times New Roman" w:cs="宋体"/>
                <w:color w:val="auto"/>
                <w:kern w:val="0"/>
                <w:sz w:val="24"/>
                <w:highlight w:val="none"/>
              </w:rPr>
              <w:t>Nm</w:t>
            </w:r>
            <w:r>
              <w:rPr>
                <w:rFonts w:hint="eastAsia" w:ascii="Times New Roman" w:hAnsi="Times New Roman" w:cs="宋体"/>
                <w:color w:val="auto"/>
                <w:kern w:val="0"/>
                <w:sz w:val="24"/>
                <w:highlight w:val="none"/>
                <w:vertAlign w:val="superscript"/>
              </w:rPr>
              <w:t>3</w:t>
            </w:r>
            <w:r>
              <w:rPr>
                <w:rFonts w:hint="eastAsia" w:ascii="宋体" w:hAnsi="宋体" w:cs="宋体"/>
                <w:color w:val="auto"/>
                <w:kern w:val="0"/>
                <w:sz w:val="24"/>
                <w:highlight w:val="none"/>
              </w:rPr>
              <w:t>），最大浓度占标率</w:t>
            </w:r>
            <w:r>
              <w:rPr>
                <w:rFonts w:hint="eastAsia" w:ascii="Times New Roman" w:hAnsi="Times New Roman" w:cs="宋体"/>
                <w:color w:val="auto"/>
                <w:kern w:val="0"/>
                <w:sz w:val="24"/>
                <w:highlight w:val="none"/>
                <w:lang w:val="en-US" w:eastAsia="zh-CN"/>
              </w:rPr>
              <w:t>52.7</w:t>
            </w:r>
            <w:r>
              <w:rPr>
                <w:rFonts w:hint="default" w:ascii="Times New Roman" w:hAnsi="Times New Roman" w:cs="Times New Roman"/>
                <w:color w:val="auto"/>
                <w:kern w:val="0"/>
                <w:sz w:val="24"/>
                <w:highlight w:val="none"/>
              </w:rPr>
              <w:t>%</w:t>
            </w:r>
            <w:r>
              <w:rPr>
                <w:rFonts w:hint="eastAsia" w:ascii="宋体" w:hAnsi="宋体" w:cs="宋体"/>
                <w:color w:val="auto"/>
                <w:kern w:val="0"/>
                <w:sz w:val="24"/>
                <w:highlight w:val="none"/>
              </w:rPr>
              <w:t>。</w:t>
            </w:r>
          </w:p>
          <w:p w14:paraId="5A92028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eastAsia"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2.地表水环境质量现状</w:t>
            </w:r>
          </w:p>
          <w:p w14:paraId="5E484CF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cs="Times New Roman"/>
                <w:color w:val="auto"/>
                <w:sz w:val="24"/>
                <w:highlight w:val="yellow"/>
                <w:lang w:eastAsia="zh-CN"/>
              </w:rPr>
            </w:pPr>
            <w:r>
              <w:rPr>
                <w:rFonts w:hint="default" w:ascii="Times New Roman" w:hAnsi="Times New Roman" w:eastAsia="宋体" w:cs="Times New Roman"/>
                <w:color w:val="auto"/>
                <w:sz w:val="24"/>
                <w:szCs w:val="24"/>
                <w:highlight w:val="none"/>
              </w:rPr>
              <w:t>距离本项目最近的地表水体为</w:t>
            </w:r>
            <w:r>
              <w:rPr>
                <w:rFonts w:hint="eastAsia" w:ascii="Times New Roman" w:hAnsi="Times New Roman" w:cs="Times New Roman"/>
                <w:color w:val="auto"/>
                <w:sz w:val="24"/>
                <w:szCs w:val="24"/>
                <w:highlight w:val="none"/>
                <w:lang w:val="en-US" w:eastAsia="zh-CN"/>
              </w:rPr>
              <w:t>招山河</w:t>
            </w:r>
            <w:r>
              <w:rPr>
                <w:rFonts w:hint="default" w:ascii="Times New Roman" w:hAnsi="Times New Roman" w:eastAsia="宋体" w:cs="Times New Roman"/>
                <w:color w:val="auto"/>
                <w:sz w:val="24"/>
                <w:szCs w:val="24"/>
                <w:highlight w:val="none"/>
              </w:rPr>
              <w:t>，位于本项目</w:t>
            </w:r>
            <w:r>
              <w:rPr>
                <w:rFonts w:hint="eastAsia" w:ascii="Times New Roman" w:hAnsi="Times New Roman" w:eastAsia="宋体" w:cs="Times New Roman"/>
                <w:color w:val="auto"/>
                <w:sz w:val="24"/>
                <w:szCs w:val="24"/>
                <w:highlight w:val="none"/>
                <w:lang w:val="en-US" w:eastAsia="zh-CN"/>
              </w:rPr>
              <w:t>厂区东侧2.5km处</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为温河支流</w:t>
            </w:r>
            <w:r>
              <w:rPr>
                <w:rFonts w:hint="default" w:ascii="Times New Roman" w:hAnsi="Times New Roman" w:eastAsia="宋体" w:cs="Times New Roman"/>
                <w:color w:val="auto"/>
                <w:sz w:val="24"/>
                <w:szCs w:val="24"/>
                <w:highlight w:val="none"/>
              </w:rPr>
              <w:t>。根据《山西省地表水环境功能区划》（DB14/67-2019），区域地表水属于</w:t>
            </w:r>
            <w:r>
              <w:rPr>
                <w:rFonts w:hint="eastAsia" w:ascii="Times New Roman" w:hAnsi="Times New Roman" w:eastAsia="宋体" w:cs="Times New Roman"/>
                <w:color w:val="auto"/>
                <w:sz w:val="24"/>
                <w:szCs w:val="24"/>
                <w:highlight w:val="none"/>
                <w:lang w:val="en-US" w:eastAsia="zh-CN"/>
              </w:rPr>
              <w:t>海河</w:t>
            </w:r>
            <w:r>
              <w:rPr>
                <w:rFonts w:hint="default" w:ascii="Times New Roman" w:hAnsi="Times New Roman" w:eastAsia="宋体" w:cs="Times New Roman"/>
                <w:color w:val="auto"/>
                <w:sz w:val="24"/>
                <w:szCs w:val="24"/>
                <w:highlight w:val="none"/>
              </w:rPr>
              <w:t>流域----</w:t>
            </w:r>
            <w:r>
              <w:rPr>
                <w:rFonts w:hint="eastAsia" w:ascii="Times New Roman" w:hAnsi="Times New Roman" w:eastAsia="宋体" w:cs="Times New Roman"/>
                <w:color w:val="auto"/>
                <w:sz w:val="24"/>
                <w:szCs w:val="24"/>
                <w:highlight w:val="none"/>
                <w:lang w:val="en-US" w:eastAsia="zh-CN"/>
              </w:rPr>
              <w:t>滹沱河山区</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滹沱河</w:t>
            </w:r>
            <w:r>
              <w:rPr>
                <w:rFonts w:hint="default" w:ascii="Times New Roman" w:hAnsi="Times New Roman" w:eastAsia="宋体" w:cs="Times New Roman"/>
                <w:color w:val="auto"/>
                <w:sz w:val="24"/>
                <w:szCs w:val="24"/>
                <w:highlight w:val="none"/>
              </w:rPr>
              <w:t>水系，水环境功能为：</w:t>
            </w:r>
            <w:r>
              <w:rPr>
                <w:rFonts w:hint="eastAsia" w:ascii="Times New Roman" w:hAnsi="Times New Roman" w:eastAsia="宋体" w:cs="Times New Roman"/>
                <w:color w:val="auto"/>
                <w:sz w:val="24"/>
                <w:szCs w:val="24"/>
                <w:highlight w:val="none"/>
                <w:lang w:val="en-US" w:eastAsia="zh-CN"/>
              </w:rPr>
              <w:t>保留区水源保护</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水质要求为</w:t>
            </w:r>
            <w:r>
              <w:rPr>
                <w:rFonts w:hint="default" w:ascii="Times New Roman" w:hAnsi="Times New Roman" w:eastAsia="宋体" w:cs="Times New Roman"/>
                <w:color w:val="auto"/>
                <w:kern w:val="0"/>
                <w:sz w:val="24"/>
                <w:highlight w:val="none"/>
                <w:lang w:val="en-US" w:eastAsia="zh-CN"/>
              </w:rPr>
              <w:t>《地表水环境质量标准》（GB3838-2002）Ⅲ类标准</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本次评价收集了2025年1月~12月</w:t>
            </w:r>
            <w:r>
              <w:rPr>
                <w:rFonts w:hint="eastAsia" w:ascii="Times New Roman" w:hAnsi="Times New Roman" w:cs="Times New Roman"/>
                <w:color w:val="auto"/>
                <w:sz w:val="24"/>
                <w:szCs w:val="32"/>
                <w:highlight w:val="none"/>
                <w:lang w:val="en-US" w:eastAsia="zh-CN"/>
              </w:rPr>
              <w:t>阳泉市环境质量月报中招山河乌玉断面</w:t>
            </w:r>
            <w:r>
              <w:rPr>
                <w:rFonts w:hint="eastAsia" w:ascii="Times New Roman" w:hAnsi="Times New Roman" w:cs="Times New Roman"/>
                <w:b w:val="0"/>
                <w:bCs w:val="0"/>
                <w:color w:val="auto"/>
                <w:sz w:val="24"/>
                <w:szCs w:val="32"/>
                <w:highlight w:val="none"/>
                <w:lang w:val="en-US" w:eastAsia="zh-CN"/>
              </w:rPr>
              <w:t>的水质数据</w:t>
            </w:r>
            <w:r>
              <w:rPr>
                <w:rFonts w:hint="eastAsia" w:ascii="Times New Roman" w:hAnsi="Times New Roman" w:cs="Times New Roman"/>
                <w:color w:val="auto"/>
                <w:sz w:val="24"/>
                <w:szCs w:val="32"/>
                <w:highlight w:val="none"/>
                <w:lang w:eastAsia="zh-CN"/>
              </w:rPr>
              <w:t>，</w:t>
            </w:r>
            <w:r>
              <w:rPr>
                <w:rFonts w:hint="eastAsia" w:ascii="Times New Roman" w:hAnsi="Times New Roman" w:cs="Times New Roman"/>
                <w:b w:val="0"/>
                <w:bCs w:val="0"/>
                <w:color w:val="auto"/>
                <w:sz w:val="24"/>
                <w:szCs w:val="32"/>
                <w:highlight w:val="none"/>
                <w:lang w:val="en-US" w:eastAsia="zh-CN"/>
              </w:rPr>
              <w:t>具体数据详见下表。</w:t>
            </w:r>
          </w:p>
          <w:p w14:paraId="7C4BB00F">
            <w:pPr>
              <w:pStyle w:val="6"/>
              <w:rPr>
                <w:rFonts w:hint="default" w:ascii="Times New Roman" w:hAnsi="Times New Roman" w:eastAsia="宋体" w:cs="Times New Roman"/>
                <w:b/>
                <w:bCs/>
                <w:snapToGrid w:val="0"/>
                <w:color w:val="auto"/>
                <w:sz w:val="24"/>
                <w:szCs w:val="24"/>
                <w:highlight w:val="none"/>
              </w:rPr>
            </w:pPr>
            <w:r>
              <w:rPr>
                <w:rFonts w:hint="default" w:ascii="Times New Roman" w:hAnsi="Times New Roman" w:eastAsia="宋体" w:cs="Times New Roman"/>
                <w:b/>
                <w:bCs/>
                <w:snapToGrid w:val="0"/>
                <w:color w:val="auto"/>
                <w:sz w:val="24"/>
                <w:szCs w:val="24"/>
                <w:highlight w:val="none"/>
              </w:rPr>
              <w:t>表</w:t>
            </w:r>
            <w:r>
              <w:rPr>
                <w:rFonts w:hint="eastAsia" w:ascii="Times New Roman" w:hAnsi="Times New Roman" w:eastAsia="宋体" w:cs="Times New Roman"/>
                <w:b/>
                <w:bCs/>
                <w:snapToGrid w:val="0"/>
                <w:color w:val="auto"/>
                <w:sz w:val="24"/>
                <w:szCs w:val="24"/>
                <w:highlight w:val="none"/>
                <w:lang w:eastAsia="zh-CN"/>
              </w:rPr>
              <w:t>3</w:t>
            </w:r>
            <w:r>
              <w:rPr>
                <w:rFonts w:hint="eastAsia" w:ascii="Times New Roman" w:hAnsi="Times New Roman" w:eastAsia="宋体" w:cs="Times New Roman"/>
                <w:b/>
                <w:bCs/>
                <w:snapToGrid w:val="0"/>
                <w:color w:val="auto"/>
                <w:sz w:val="24"/>
                <w:szCs w:val="24"/>
                <w:highlight w:val="none"/>
                <w:lang w:val="en-US" w:eastAsia="zh-CN"/>
              </w:rPr>
              <w:t>-</w:t>
            </w:r>
            <w:r>
              <w:rPr>
                <w:rFonts w:hint="eastAsia" w:eastAsia="宋体" w:cs="Times New Roman"/>
                <w:b/>
                <w:bCs/>
                <w:snapToGrid w:val="0"/>
                <w:color w:val="auto"/>
                <w:sz w:val="24"/>
                <w:szCs w:val="24"/>
                <w:highlight w:val="none"/>
                <w:lang w:val="en-US" w:eastAsia="zh-CN"/>
              </w:rPr>
              <w:t>4  2025</w:t>
            </w:r>
            <w:r>
              <w:rPr>
                <w:rFonts w:hint="default" w:ascii="Times New Roman" w:hAnsi="Times New Roman" w:eastAsia="宋体" w:cs="Times New Roman"/>
                <w:b/>
                <w:bCs/>
                <w:snapToGrid w:val="0"/>
                <w:color w:val="auto"/>
                <w:sz w:val="24"/>
                <w:szCs w:val="24"/>
                <w:highlight w:val="none"/>
              </w:rPr>
              <w:t>年</w:t>
            </w:r>
            <w:r>
              <w:rPr>
                <w:rFonts w:hint="eastAsia" w:eastAsia="宋体" w:cs="Times New Roman"/>
                <w:b/>
                <w:bCs/>
                <w:snapToGrid w:val="0"/>
                <w:color w:val="auto"/>
                <w:sz w:val="24"/>
                <w:szCs w:val="24"/>
                <w:highlight w:val="none"/>
                <w:lang w:val="en-US" w:eastAsia="zh-CN"/>
              </w:rPr>
              <w:t>1</w:t>
            </w:r>
            <w:r>
              <w:rPr>
                <w:rFonts w:hint="eastAsia" w:ascii="Times New Roman" w:hAnsi="Times New Roman" w:eastAsia="宋体" w:cs="Times New Roman"/>
                <w:b/>
                <w:bCs/>
                <w:snapToGrid w:val="0"/>
                <w:color w:val="auto"/>
                <w:sz w:val="24"/>
                <w:szCs w:val="24"/>
                <w:highlight w:val="none"/>
                <w:lang w:val="en-US" w:eastAsia="zh-CN"/>
              </w:rPr>
              <w:t>月</w:t>
            </w:r>
            <w:r>
              <w:rPr>
                <w:rFonts w:hint="eastAsia" w:eastAsia="宋体" w:cs="Times New Roman"/>
                <w:b/>
                <w:bCs/>
                <w:snapToGrid w:val="0"/>
                <w:color w:val="auto"/>
                <w:sz w:val="24"/>
                <w:szCs w:val="24"/>
                <w:highlight w:val="none"/>
                <w:lang w:val="en-US" w:eastAsia="zh-CN"/>
              </w:rPr>
              <w:t>~12月招山河乌玉</w:t>
            </w:r>
            <w:r>
              <w:rPr>
                <w:rFonts w:hint="default" w:ascii="Times New Roman" w:hAnsi="Times New Roman" w:eastAsia="宋体" w:cs="Times New Roman"/>
                <w:b/>
                <w:bCs/>
                <w:snapToGrid w:val="0"/>
                <w:color w:val="auto"/>
                <w:sz w:val="24"/>
                <w:szCs w:val="24"/>
                <w:highlight w:val="none"/>
              </w:rPr>
              <w:t>监测断面水质状况表</w:t>
            </w:r>
          </w:p>
          <w:tbl>
            <w:tblPr>
              <w:tblStyle w:val="23"/>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888"/>
              <w:gridCol w:w="1027"/>
              <w:gridCol w:w="834"/>
              <w:gridCol w:w="823"/>
              <w:gridCol w:w="1734"/>
              <w:gridCol w:w="1735"/>
            </w:tblGrid>
            <w:tr w14:paraId="23BBAF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pct"/>
                  <w:noWrap w:val="0"/>
                  <w:vAlign w:val="center"/>
                </w:tcPr>
                <w:p w14:paraId="0C21EDDC">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时间</w:t>
                  </w:r>
                </w:p>
              </w:tc>
              <w:tc>
                <w:tcPr>
                  <w:tcW w:w="559" w:type="pct"/>
                  <w:noWrap w:val="0"/>
                  <w:vAlign w:val="center"/>
                </w:tcPr>
                <w:p w14:paraId="7CC830B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河流名称</w:t>
                  </w:r>
                </w:p>
              </w:tc>
              <w:tc>
                <w:tcPr>
                  <w:tcW w:w="646" w:type="pct"/>
                  <w:noWrap w:val="0"/>
                  <w:vAlign w:val="center"/>
                </w:tcPr>
                <w:p w14:paraId="1148804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断面名称</w:t>
                  </w:r>
                </w:p>
              </w:tc>
              <w:tc>
                <w:tcPr>
                  <w:tcW w:w="525" w:type="pct"/>
                  <w:noWrap w:val="0"/>
                  <w:vAlign w:val="center"/>
                </w:tcPr>
                <w:p w14:paraId="2A238F6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断面水质</w:t>
                  </w:r>
                </w:p>
              </w:tc>
              <w:tc>
                <w:tcPr>
                  <w:tcW w:w="518" w:type="pct"/>
                  <w:noWrap w:val="0"/>
                  <w:vAlign w:val="center"/>
                </w:tcPr>
                <w:p w14:paraId="47CAE8AB">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水质类别</w:t>
                  </w:r>
                </w:p>
              </w:tc>
              <w:tc>
                <w:tcPr>
                  <w:tcW w:w="1091" w:type="pct"/>
                  <w:noWrap w:val="0"/>
                  <w:vAlign w:val="center"/>
                </w:tcPr>
                <w:p w14:paraId="713DE220">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是否达到规定水质标准</w:t>
                  </w:r>
                </w:p>
              </w:tc>
              <w:tc>
                <w:tcPr>
                  <w:tcW w:w="1091" w:type="pct"/>
                  <w:noWrap w:val="0"/>
                  <w:vAlign w:val="center"/>
                </w:tcPr>
                <w:p w14:paraId="4D510F7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主要污染指标</w:t>
                  </w:r>
                </w:p>
              </w:tc>
            </w:tr>
            <w:tr w14:paraId="5B5452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pct"/>
                  <w:noWrap w:val="0"/>
                  <w:vAlign w:val="center"/>
                </w:tcPr>
                <w:p w14:paraId="1B920D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2025.1</w:t>
                  </w:r>
                </w:p>
              </w:tc>
              <w:tc>
                <w:tcPr>
                  <w:tcW w:w="559" w:type="pct"/>
                  <w:noWrap w:val="0"/>
                  <w:vAlign w:val="center"/>
                </w:tcPr>
                <w:p w14:paraId="3AC906B2">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招山河</w:t>
                  </w:r>
                </w:p>
              </w:tc>
              <w:tc>
                <w:tcPr>
                  <w:tcW w:w="646" w:type="pct"/>
                  <w:noWrap w:val="0"/>
                  <w:vAlign w:val="center"/>
                </w:tcPr>
                <w:p w14:paraId="577254CB">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乌玉</w:t>
                  </w:r>
                </w:p>
              </w:tc>
              <w:tc>
                <w:tcPr>
                  <w:tcW w:w="525" w:type="pct"/>
                  <w:noWrap w:val="0"/>
                  <w:vAlign w:val="center"/>
                </w:tcPr>
                <w:p w14:paraId="3E30830F">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4"/>
                      <w:szCs w:val="32"/>
                      <w:highlight w:val="none"/>
                    </w:rPr>
                  </w:pPr>
                  <w:r>
                    <w:rPr>
                      <w:rFonts w:hint="eastAsia" w:ascii="Times New Roman" w:hAnsi="Times New Roman" w:cs="Times New Roman"/>
                      <w:color w:val="auto"/>
                      <w:sz w:val="24"/>
                      <w:szCs w:val="32"/>
                      <w:highlight w:val="none"/>
                    </w:rPr>
                    <w:fldChar w:fldCharType="begin"/>
                  </w:r>
                  <w:r>
                    <w:rPr>
                      <w:rFonts w:hint="eastAsia" w:ascii="Times New Roman" w:hAnsi="Times New Roman" w:cs="Times New Roman"/>
                      <w:color w:val="auto"/>
                      <w:sz w:val="24"/>
                      <w:szCs w:val="32"/>
                      <w:highlight w:val="none"/>
                    </w:rPr>
                    <w:instrText xml:space="preserve"> = 5 \* ROMAN \* MERGEFORMAT </w:instrText>
                  </w:r>
                  <w:r>
                    <w:rPr>
                      <w:rFonts w:hint="eastAsia" w:ascii="Times New Roman" w:hAnsi="Times New Roman" w:cs="Times New Roman"/>
                      <w:color w:val="auto"/>
                      <w:sz w:val="24"/>
                      <w:szCs w:val="32"/>
                      <w:highlight w:val="none"/>
                    </w:rPr>
                    <w:fldChar w:fldCharType="separate"/>
                  </w:r>
                  <w:r>
                    <w:rPr>
                      <w:rFonts w:hint="default" w:ascii="Times New Roman" w:hAnsi="Times New Roman" w:cs="Times New Roman"/>
                      <w:color w:val="auto"/>
                    </w:rPr>
                    <w:t>V</w:t>
                  </w:r>
                  <w:r>
                    <w:rPr>
                      <w:rFonts w:hint="eastAsia" w:ascii="Times New Roman" w:hAnsi="Times New Roman" w:cs="Times New Roman"/>
                      <w:color w:val="auto"/>
                      <w:sz w:val="24"/>
                      <w:szCs w:val="32"/>
                      <w:highlight w:val="none"/>
                    </w:rPr>
                    <w:fldChar w:fldCharType="end"/>
                  </w:r>
                </w:p>
              </w:tc>
              <w:tc>
                <w:tcPr>
                  <w:tcW w:w="518" w:type="pct"/>
                  <w:noWrap w:val="0"/>
                  <w:vAlign w:val="center"/>
                </w:tcPr>
                <w:p w14:paraId="3C5949DC">
                  <w:pPr>
                    <w:keepNext w:val="0"/>
                    <w:keepLines w:val="0"/>
                    <w:suppressLineNumbers w:val="0"/>
                    <w:spacing w:before="0" w:beforeAutospacing="0" w:after="0" w:afterAutospacing="0"/>
                    <w:ind w:left="0" w:right="0"/>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4"/>
                      <w:szCs w:val="32"/>
                      <w:highlight w:val="none"/>
                      <w:lang w:val="en-US" w:eastAsia="zh-CN"/>
                    </w:rPr>
                    <w:fldChar w:fldCharType="begin"/>
                  </w:r>
                  <w:r>
                    <w:rPr>
                      <w:rFonts w:hint="eastAsia" w:ascii="Times New Roman" w:hAnsi="Times New Roman" w:cs="Times New Roman"/>
                      <w:color w:val="auto"/>
                      <w:sz w:val="24"/>
                      <w:szCs w:val="32"/>
                      <w:highlight w:val="none"/>
                      <w:lang w:val="en-US" w:eastAsia="zh-CN"/>
                    </w:rPr>
                    <w:instrText xml:space="preserve"> = 4 \* ROMAN \* MERGEFORMAT </w:instrText>
                  </w:r>
                  <w:r>
                    <w:rPr>
                      <w:rFonts w:hint="eastAsia" w:ascii="Times New Roman" w:hAnsi="Times New Roman" w:cs="Times New Roman"/>
                      <w:color w:val="auto"/>
                      <w:sz w:val="24"/>
                      <w:szCs w:val="32"/>
                      <w:highlight w:val="none"/>
                      <w:lang w:val="en-US" w:eastAsia="zh-CN"/>
                    </w:rPr>
                    <w:fldChar w:fldCharType="separate"/>
                  </w:r>
                  <w:r>
                    <w:rPr>
                      <w:rFonts w:hint="default" w:ascii="Times New Roman" w:hAnsi="Times New Roman" w:cs="Times New Roman"/>
                      <w:color w:val="auto"/>
                    </w:rPr>
                    <w:t>IV</w:t>
                  </w:r>
                  <w:r>
                    <w:rPr>
                      <w:rFonts w:hint="eastAsia" w:ascii="Times New Roman" w:hAnsi="Times New Roman" w:cs="Times New Roman"/>
                      <w:color w:val="auto"/>
                      <w:sz w:val="24"/>
                      <w:szCs w:val="32"/>
                      <w:highlight w:val="none"/>
                      <w:lang w:val="en-US" w:eastAsia="zh-CN"/>
                    </w:rPr>
                    <w:fldChar w:fldCharType="end"/>
                  </w:r>
                </w:p>
              </w:tc>
              <w:tc>
                <w:tcPr>
                  <w:tcW w:w="1091" w:type="pct"/>
                  <w:noWrap w:val="0"/>
                  <w:vAlign w:val="center"/>
                </w:tcPr>
                <w:p w14:paraId="1577EF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否</w:t>
                  </w:r>
                </w:p>
              </w:tc>
              <w:tc>
                <w:tcPr>
                  <w:tcW w:w="1091" w:type="pct"/>
                  <w:noWrap w:val="0"/>
                  <w:vAlign w:val="center"/>
                </w:tcPr>
                <w:p w14:paraId="0E56DE1F">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yellow"/>
                      <w:lang w:val="en-US" w:eastAsia="zh-CN"/>
                    </w:rPr>
                  </w:pPr>
                  <w:r>
                    <w:rPr>
                      <w:rFonts w:hint="eastAsia" w:ascii="Times New Roman" w:hAnsi="Times New Roman" w:cs="Times New Roman"/>
                      <w:color w:val="auto"/>
                      <w:szCs w:val="21"/>
                      <w:highlight w:val="none"/>
                      <w:lang w:val="en-US" w:eastAsia="zh-CN"/>
                    </w:rPr>
                    <w:t>氨氮</w:t>
                  </w:r>
                </w:p>
              </w:tc>
            </w:tr>
            <w:tr w14:paraId="6BA6B0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pct"/>
                  <w:noWrap w:val="0"/>
                  <w:vAlign w:val="center"/>
                </w:tcPr>
                <w:p w14:paraId="38A34A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2025.2</w:t>
                  </w:r>
                </w:p>
              </w:tc>
              <w:tc>
                <w:tcPr>
                  <w:tcW w:w="559" w:type="pct"/>
                  <w:noWrap w:val="0"/>
                  <w:vAlign w:val="center"/>
                </w:tcPr>
                <w:p w14:paraId="40CB5ADB">
                  <w:pPr>
                    <w:keepNext w:val="0"/>
                    <w:keepLines w:val="0"/>
                    <w:suppressLineNumbers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招山河</w:t>
                  </w:r>
                </w:p>
              </w:tc>
              <w:tc>
                <w:tcPr>
                  <w:tcW w:w="646" w:type="pct"/>
                  <w:noWrap w:val="0"/>
                  <w:vAlign w:val="center"/>
                </w:tcPr>
                <w:p w14:paraId="4769E5A6">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乌玉</w:t>
                  </w:r>
                </w:p>
              </w:tc>
              <w:tc>
                <w:tcPr>
                  <w:tcW w:w="525" w:type="pct"/>
                  <w:noWrap w:val="0"/>
                  <w:vAlign w:val="center"/>
                </w:tcPr>
                <w:p w14:paraId="372324F3">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4"/>
                      <w:szCs w:val="32"/>
                      <w:highlight w:val="none"/>
                      <w:lang w:val="en-US" w:eastAsia="zh-CN" w:bidi="ar-SA"/>
                    </w:rPr>
                  </w:pPr>
                  <w:r>
                    <w:rPr>
                      <w:rFonts w:hint="eastAsia" w:ascii="Times New Roman" w:hAnsi="Times New Roman" w:cs="Times New Roman"/>
                      <w:color w:val="auto"/>
                      <w:sz w:val="24"/>
                      <w:szCs w:val="32"/>
                      <w:highlight w:val="none"/>
                    </w:rPr>
                    <w:fldChar w:fldCharType="begin"/>
                  </w:r>
                  <w:r>
                    <w:rPr>
                      <w:rFonts w:hint="eastAsia" w:ascii="Times New Roman" w:hAnsi="Times New Roman" w:cs="Times New Roman"/>
                      <w:color w:val="auto"/>
                      <w:sz w:val="24"/>
                      <w:szCs w:val="32"/>
                      <w:highlight w:val="none"/>
                    </w:rPr>
                    <w:instrText xml:space="preserve"> = 5 \* ROMAN \* MERGEFORMAT </w:instrText>
                  </w:r>
                  <w:r>
                    <w:rPr>
                      <w:rFonts w:hint="eastAsia" w:ascii="Times New Roman" w:hAnsi="Times New Roman" w:cs="Times New Roman"/>
                      <w:color w:val="auto"/>
                      <w:sz w:val="24"/>
                      <w:szCs w:val="32"/>
                      <w:highlight w:val="none"/>
                    </w:rPr>
                    <w:fldChar w:fldCharType="separate"/>
                  </w:r>
                  <w:r>
                    <w:rPr>
                      <w:rFonts w:hint="default" w:ascii="Times New Roman" w:hAnsi="Times New Roman" w:cs="Times New Roman"/>
                      <w:color w:val="auto"/>
                    </w:rPr>
                    <w:t>V</w:t>
                  </w:r>
                  <w:r>
                    <w:rPr>
                      <w:rFonts w:hint="eastAsia" w:ascii="Times New Roman" w:hAnsi="Times New Roman" w:cs="Times New Roman"/>
                      <w:color w:val="auto"/>
                      <w:sz w:val="24"/>
                      <w:szCs w:val="32"/>
                      <w:highlight w:val="none"/>
                    </w:rPr>
                    <w:fldChar w:fldCharType="end"/>
                  </w:r>
                </w:p>
              </w:tc>
              <w:tc>
                <w:tcPr>
                  <w:tcW w:w="518" w:type="pct"/>
                  <w:noWrap w:val="0"/>
                  <w:vAlign w:val="center"/>
                </w:tcPr>
                <w:p w14:paraId="10632673">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4"/>
                      <w:szCs w:val="32"/>
                      <w:highlight w:val="none"/>
                      <w:lang w:val="en-US" w:eastAsia="zh-CN"/>
                    </w:rPr>
                    <w:fldChar w:fldCharType="begin"/>
                  </w:r>
                  <w:r>
                    <w:rPr>
                      <w:rFonts w:hint="eastAsia" w:ascii="Times New Roman" w:hAnsi="Times New Roman" w:cs="Times New Roman"/>
                      <w:color w:val="auto"/>
                      <w:sz w:val="24"/>
                      <w:szCs w:val="32"/>
                      <w:highlight w:val="none"/>
                      <w:lang w:val="en-US" w:eastAsia="zh-CN"/>
                    </w:rPr>
                    <w:instrText xml:space="preserve"> = 4 \* ROMAN \* MERGEFORMAT </w:instrText>
                  </w:r>
                  <w:r>
                    <w:rPr>
                      <w:rFonts w:hint="eastAsia" w:ascii="Times New Roman" w:hAnsi="Times New Roman" w:cs="Times New Roman"/>
                      <w:color w:val="auto"/>
                      <w:sz w:val="24"/>
                      <w:szCs w:val="32"/>
                      <w:highlight w:val="none"/>
                      <w:lang w:val="en-US" w:eastAsia="zh-CN"/>
                    </w:rPr>
                    <w:fldChar w:fldCharType="separate"/>
                  </w:r>
                  <w:r>
                    <w:rPr>
                      <w:rFonts w:hint="default" w:ascii="Times New Roman" w:hAnsi="Times New Roman" w:cs="Times New Roman"/>
                      <w:color w:val="auto"/>
                    </w:rPr>
                    <w:t>IV</w:t>
                  </w:r>
                  <w:r>
                    <w:rPr>
                      <w:rFonts w:hint="eastAsia" w:ascii="Times New Roman" w:hAnsi="Times New Roman" w:cs="Times New Roman"/>
                      <w:color w:val="auto"/>
                      <w:sz w:val="24"/>
                      <w:szCs w:val="32"/>
                      <w:highlight w:val="none"/>
                      <w:lang w:val="en-US" w:eastAsia="zh-CN"/>
                    </w:rPr>
                    <w:fldChar w:fldCharType="end"/>
                  </w:r>
                </w:p>
              </w:tc>
              <w:tc>
                <w:tcPr>
                  <w:tcW w:w="1091" w:type="pct"/>
                  <w:noWrap w:val="0"/>
                  <w:vAlign w:val="center"/>
                </w:tcPr>
                <w:p w14:paraId="19DD1F07">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否</w:t>
                  </w:r>
                </w:p>
              </w:tc>
              <w:tc>
                <w:tcPr>
                  <w:tcW w:w="1091" w:type="pct"/>
                  <w:noWrap w:val="0"/>
                  <w:vAlign w:val="center"/>
                </w:tcPr>
                <w:p w14:paraId="023CCD5E">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yellow"/>
                      <w:lang w:val="en-US" w:eastAsia="zh-CN"/>
                    </w:rPr>
                  </w:pPr>
                  <w:r>
                    <w:rPr>
                      <w:rFonts w:hint="eastAsia" w:ascii="Times New Roman" w:hAnsi="Times New Roman" w:cs="Times New Roman"/>
                      <w:color w:val="auto"/>
                      <w:szCs w:val="21"/>
                      <w:highlight w:val="none"/>
                      <w:lang w:val="en-US" w:eastAsia="zh-CN"/>
                    </w:rPr>
                    <w:t>氨氮</w:t>
                  </w:r>
                </w:p>
              </w:tc>
            </w:tr>
            <w:tr w14:paraId="532E17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66" w:type="pct"/>
                  <w:noWrap w:val="0"/>
                  <w:vAlign w:val="center"/>
                </w:tcPr>
                <w:p w14:paraId="74C706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2025.3</w:t>
                  </w:r>
                </w:p>
              </w:tc>
              <w:tc>
                <w:tcPr>
                  <w:tcW w:w="559" w:type="pct"/>
                  <w:noWrap w:val="0"/>
                  <w:vAlign w:val="center"/>
                </w:tcPr>
                <w:p w14:paraId="1108405F">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招山河</w:t>
                  </w:r>
                </w:p>
              </w:tc>
              <w:tc>
                <w:tcPr>
                  <w:tcW w:w="646" w:type="pct"/>
                  <w:noWrap w:val="0"/>
                  <w:vAlign w:val="center"/>
                </w:tcPr>
                <w:p w14:paraId="5F12164E">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乌玉</w:t>
                  </w:r>
                </w:p>
              </w:tc>
              <w:tc>
                <w:tcPr>
                  <w:tcW w:w="525" w:type="pct"/>
                  <w:noWrap w:val="0"/>
                  <w:vAlign w:val="center"/>
                </w:tcPr>
                <w:p w14:paraId="3A39E44C">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4"/>
                      <w:szCs w:val="32"/>
                      <w:highlight w:val="none"/>
                      <w:lang w:val="en-US" w:eastAsia="zh-CN" w:bidi="ar-SA"/>
                    </w:rPr>
                  </w:pPr>
                  <w:r>
                    <w:rPr>
                      <w:rFonts w:hint="eastAsia" w:ascii="Times New Roman" w:hAnsi="Times New Roman" w:cs="Times New Roman"/>
                      <w:color w:val="auto"/>
                      <w:sz w:val="24"/>
                      <w:szCs w:val="32"/>
                      <w:highlight w:val="none"/>
                    </w:rPr>
                    <w:fldChar w:fldCharType="begin"/>
                  </w:r>
                  <w:r>
                    <w:rPr>
                      <w:rFonts w:hint="eastAsia" w:ascii="Times New Roman" w:hAnsi="Times New Roman" w:cs="Times New Roman"/>
                      <w:color w:val="auto"/>
                      <w:sz w:val="24"/>
                      <w:szCs w:val="32"/>
                      <w:highlight w:val="none"/>
                    </w:rPr>
                    <w:instrText xml:space="preserve"> = 5 \* ROMAN \* MERGEFORMAT </w:instrText>
                  </w:r>
                  <w:r>
                    <w:rPr>
                      <w:rFonts w:hint="eastAsia" w:ascii="Times New Roman" w:hAnsi="Times New Roman" w:cs="Times New Roman"/>
                      <w:color w:val="auto"/>
                      <w:sz w:val="24"/>
                      <w:szCs w:val="32"/>
                      <w:highlight w:val="none"/>
                    </w:rPr>
                    <w:fldChar w:fldCharType="separate"/>
                  </w:r>
                  <w:r>
                    <w:rPr>
                      <w:rFonts w:hint="default" w:ascii="Times New Roman" w:hAnsi="Times New Roman" w:cs="Times New Roman"/>
                      <w:color w:val="auto"/>
                    </w:rPr>
                    <w:t>V</w:t>
                  </w:r>
                  <w:r>
                    <w:rPr>
                      <w:rFonts w:hint="eastAsia" w:ascii="Times New Roman" w:hAnsi="Times New Roman" w:cs="Times New Roman"/>
                      <w:color w:val="auto"/>
                      <w:sz w:val="24"/>
                      <w:szCs w:val="32"/>
                      <w:highlight w:val="none"/>
                    </w:rPr>
                    <w:fldChar w:fldCharType="end"/>
                  </w:r>
                </w:p>
              </w:tc>
              <w:tc>
                <w:tcPr>
                  <w:tcW w:w="518" w:type="pct"/>
                  <w:noWrap w:val="0"/>
                  <w:vAlign w:val="center"/>
                </w:tcPr>
                <w:p w14:paraId="1727012A">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4"/>
                      <w:szCs w:val="32"/>
                      <w:highlight w:val="none"/>
                      <w:lang w:val="en-US" w:eastAsia="zh-CN"/>
                    </w:rPr>
                    <w:fldChar w:fldCharType="begin"/>
                  </w:r>
                  <w:r>
                    <w:rPr>
                      <w:rFonts w:hint="eastAsia" w:ascii="Times New Roman" w:hAnsi="Times New Roman" w:cs="Times New Roman"/>
                      <w:color w:val="auto"/>
                      <w:sz w:val="24"/>
                      <w:szCs w:val="32"/>
                      <w:highlight w:val="none"/>
                      <w:lang w:val="en-US" w:eastAsia="zh-CN"/>
                    </w:rPr>
                    <w:instrText xml:space="preserve"> = 4 \* ROMAN \* MERGEFORMAT </w:instrText>
                  </w:r>
                  <w:r>
                    <w:rPr>
                      <w:rFonts w:hint="eastAsia" w:ascii="Times New Roman" w:hAnsi="Times New Roman" w:cs="Times New Roman"/>
                      <w:color w:val="auto"/>
                      <w:sz w:val="24"/>
                      <w:szCs w:val="32"/>
                      <w:highlight w:val="none"/>
                      <w:lang w:val="en-US" w:eastAsia="zh-CN"/>
                    </w:rPr>
                    <w:fldChar w:fldCharType="separate"/>
                  </w:r>
                  <w:r>
                    <w:rPr>
                      <w:rFonts w:hint="default" w:ascii="Times New Roman" w:hAnsi="Times New Roman" w:cs="Times New Roman"/>
                      <w:color w:val="auto"/>
                    </w:rPr>
                    <w:t>IV</w:t>
                  </w:r>
                  <w:r>
                    <w:rPr>
                      <w:rFonts w:hint="eastAsia" w:ascii="Times New Roman" w:hAnsi="Times New Roman" w:cs="Times New Roman"/>
                      <w:color w:val="auto"/>
                      <w:sz w:val="24"/>
                      <w:szCs w:val="32"/>
                      <w:highlight w:val="none"/>
                      <w:lang w:val="en-US" w:eastAsia="zh-CN"/>
                    </w:rPr>
                    <w:fldChar w:fldCharType="end"/>
                  </w:r>
                </w:p>
              </w:tc>
              <w:tc>
                <w:tcPr>
                  <w:tcW w:w="1091" w:type="pct"/>
                  <w:noWrap w:val="0"/>
                  <w:vAlign w:val="center"/>
                </w:tcPr>
                <w:p w14:paraId="2D1631FA">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否</w:t>
                  </w:r>
                </w:p>
              </w:tc>
              <w:tc>
                <w:tcPr>
                  <w:tcW w:w="1091" w:type="pct"/>
                  <w:noWrap w:val="0"/>
                  <w:vAlign w:val="center"/>
                </w:tcPr>
                <w:p w14:paraId="23292517">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yellow"/>
                      <w:lang w:val="en-US" w:eastAsia="zh-CN"/>
                    </w:rPr>
                  </w:pPr>
                  <w:r>
                    <w:rPr>
                      <w:rFonts w:hint="eastAsia" w:ascii="Times New Roman" w:hAnsi="Times New Roman" w:cs="Times New Roman"/>
                      <w:color w:val="auto"/>
                      <w:szCs w:val="21"/>
                      <w:highlight w:val="none"/>
                      <w:lang w:val="en-US" w:eastAsia="zh-CN"/>
                    </w:rPr>
                    <w:t>氨氮</w:t>
                  </w:r>
                </w:p>
              </w:tc>
            </w:tr>
            <w:tr w14:paraId="712FB9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pct"/>
                  <w:noWrap w:val="0"/>
                  <w:vAlign w:val="center"/>
                </w:tcPr>
                <w:p w14:paraId="3C1984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2025.4</w:t>
                  </w:r>
                </w:p>
              </w:tc>
              <w:tc>
                <w:tcPr>
                  <w:tcW w:w="559" w:type="pct"/>
                  <w:noWrap w:val="0"/>
                  <w:vAlign w:val="center"/>
                </w:tcPr>
                <w:p w14:paraId="38D77AEE">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招山河</w:t>
                  </w:r>
                </w:p>
              </w:tc>
              <w:tc>
                <w:tcPr>
                  <w:tcW w:w="646" w:type="pct"/>
                  <w:noWrap w:val="0"/>
                  <w:vAlign w:val="center"/>
                </w:tcPr>
                <w:p w14:paraId="13A5BFBF">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乌玉</w:t>
                  </w:r>
                </w:p>
              </w:tc>
              <w:tc>
                <w:tcPr>
                  <w:tcW w:w="525" w:type="pct"/>
                  <w:noWrap w:val="0"/>
                  <w:vAlign w:val="center"/>
                </w:tcPr>
                <w:p w14:paraId="308BEA19">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4"/>
                      <w:szCs w:val="32"/>
                      <w:highlight w:val="none"/>
                      <w:lang w:val="en-US" w:eastAsia="zh-CN" w:bidi="ar-SA"/>
                    </w:rPr>
                  </w:pPr>
                  <w:r>
                    <w:rPr>
                      <w:rFonts w:hint="eastAsia" w:ascii="Times New Roman" w:hAnsi="Times New Roman" w:cs="Times New Roman"/>
                      <w:color w:val="auto"/>
                      <w:sz w:val="24"/>
                      <w:szCs w:val="32"/>
                      <w:highlight w:val="none"/>
                    </w:rPr>
                    <w:fldChar w:fldCharType="begin"/>
                  </w:r>
                  <w:r>
                    <w:rPr>
                      <w:rFonts w:hint="eastAsia" w:ascii="Times New Roman" w:hAnsi="Times New Roman" w:cs="Times New Roman"/>
                      <w:color w:val="auto"/>
                      <w:sz w:val="24"/>
                      <w:szCs w:val="32"/>
                      <w:highlight w:val="none"/>
                    </w:rPr>
                    <w:instrText xml:space="preserve"> = 5 \* ROMAN \* MERGEFORMAT </w:instrText>
                  </w:r>
                  <w:r>
                    <w:rPr>
                      <w:rFonts w:hint="eastAsia" w:ascii="Times New Roman" w:hAnsi="Times New Roman" w:cs="Times New Roman"/>
                      <w:color w:val="auto"/>
                      <w:sz w:val="24"/>
                      <w:szCs w:val="32"/>
                      <w:highlight w:val="none"/>
                    </w:rPr>
                    <w:fldChar w:fldCharType="separate"/>
                  </w:r>
                  <w:r>
                    <w:rPr>
                      <w:rFonts w:hint="default" w:ascii="Times New Roman" w:hAnsi="Times New Roman" w:cs="Times New Roman"/>
                      <w:color w:val="auto"/>
                    </w:rPr>
                    <w:t>V</w:t>
                  </w:r>
                  <w:r>
                    <w:rPr>
                      <w:rFonts w:hint="eastAsia" w:ascii="Times New Roman" w:hAnsi="Times New Roman" w:cs="Times New Roman"/>
                      <w:color w:val="auto"/>
                      <w:sz w:val="24"/>
                      <w:szCs w:val="32"/>
                      <w:highlight w:val="none"/>
                    </w:rPr>
                    <w:fldChar w:fldCharType="end"/>
                  </w:r>
                </w:p>
              </w:tc>
              <w:tc>
                <w:tcPr>
                  <w:tcW w:w="518" w:type="pct"/>
                  <w:noWrap w:val="0"/>
                  <w:vAlign w:val="center"/>
                </w:tcPr>
                <w:p w14:paraId="6F4A94EB">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4"/>
                      <w:szCs w:val="32"/>
                      <w:highlight w:val="none"/>
                      <w:lang w:val="en-US" w:eastAsia="zh-CN"/>
                    </w:rPr>
                    <w:fldChar w:fldCharType="begin"/>
                  </w:r>
                  <w:r>
                    <w:rPr>
                      <w:rFonts w:hint="eastAsia" w:ascii="Times New Roman" w:hAnsi="Times New Roman" w:cs="Times New Roman"/>
                      <w:color w:val="auto"/>
                      <w:sz w:val="24"/>
                      <w:szCs w:val="32"/>
                      <w:highlight w:val="none"/>
                      <w:lang w:val="en-US" w:eastAsia="zh-CN"/>
                    </w:rPr>
                    <w:instrText xml:space="preserve"> = 4 \* ROMAN \* MERGEFORMAT </w:instrText>
                  </w:r>
                  <w:r>
                    <w:rPr>
                      <w:rFonts w:hint="eastAsia" w:ascii="Times New Roman" w:hAnsi="Times New Roman" w:cs="Times New Roman"/>
                      <w:color w:val="auto"/>
                      <w:sz w:val="24"/>
                      <w:szCs w:val="32"/>
                      <w:highlight w:val="none"/>
                      <w:lang w:val="en-US" w:eastAsia="zh-CN"/>
                    </w:rPr>
                    <w:fldChar w:fldCharType="separate"/>
                  </w:r>
                  <w:r>
                    <w:rPr>
                      <w:rFonts w:hint="default" w:ascii="Times New Roman" w:hAnsi="Times New Roman" w:cs="Times New Roman"/>
                      <w:color w:val="auto"/>
                    </w:rPr>
                    <w:t>IV</w:t>
                  </w:r>
                  <w:r>
                    <w:rPr>
                      <w:rFonts w:hint="eastAsia" w:ascii="Times New Roman" w:hAnsi="Times New Roman" w:cs="Times New Roman"/>
                      <w:color w:val="auto"/>
                      <w:sz w:val="24"/>
                      <w:szCs w:val="32"/>
                      <w:highlight w:val="none"/>
                      <w:lang w:val="en-US" w:eastAsia="zh-CN"/>
                    </w:rPr>
                    <w:fldChar w:fldCharType="end"/>
                  </w:r>
                </w:p>
              </w:tc>
              <w:tc>
                <w:tcPr>
                  <w:tcW w:w="1091" w:type="pct"/>
                  <w:noWrap w:val="0"/>
                  <w:vAlign w:val="center"/>
                </w:tcPr>
                <w:p w14:paraId="169182CC">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否</w:t>
                  </w:r>
                </w:p>
              </w:tc>
              <w:tc>
                <w:tcPr>
                  <w:tcW w:w="1091" w:type="pct"/>
                  <w:noWrap w:val="0"/>
                  <w:vAlign w:val="center"/>
                </w:tcPr>
                <w:p w14:paraId="0FEF8A1A">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yellow"/>
                      <w:lang w:val="en-US" w:eastAsia="zh-CN"/>
                    </w:rPr>
                  </w:pPr>
                  <w:r>
                    <w:rPr>
                      <w:rFonts w:hint="eastAsia" w:ascii="Times New Roman" w:hAnsi="Times New Roman" w:cs="Times New Roman"/>
                      <w:color w:val="auto"/>
                      <w:szCs w:val="21"/>
                      <w:highlight w:val="none"/>
                      <w:lang w:val="en-US" w:eastAsia="zh-CN"/>
                    </w:rPr>
                    <w:t>氨氮</w:t>
                  </w:r>
                </w:p>
              </w:tc>
            </w:tr>
            <w:tr w14:paraId="219ED3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pct"/>
                  <w:noWrap w:val="0"/>
                  <w:vAlign w:val="center"/>
                </w:tcPr>
                <w:p w14:paraId="621865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2025.5</w:t>
                  </w:r>
                </w:p>
              </w:tc>
              <w:tc>
                <w:tcPr>
                  <w:tcW w:w="559" w:type="pct"/>
                  <w:noWrap w:val="0"/>
                  <w:vAlign w:val="center"/>
                </w:tcPr>
                <w:p w14:paraId="41BC37D0">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招山河</w:t>
                  </w:r>
                </w:p>
              </w:tc>
              <w:tc>
                <w:tcPr>
                  <w:tcW w:w="646" w:type="pct"/>
                  <w:noWrap w:val="0"/>
                  <w:vAlign w:val="center"/>
                </w:tcPr>
                <w:p w14:paraId="458BF3CA">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乌玉</w:t>
                  </w:r>
                </w:p>
              </w:tc>
              <w:tc>
                <w:tcPr>
                  <w:tcW w:w="525" w:type="pct"/>
                  <w:noWrap w:val="0"/>
                  <w:vAlign w:val="center"/>
                </w:tcPr>
                <w:p w14:paraId="03616142">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4"/>
                      <w:szCs w:val="32"/>
                      <w:highlight w:val="none"/>
                      <w:lang w:val="en-US" w:eastAsia="zh-CN" w:bidi="ar-SA"/>
                    </w:rPr>
                  </w:pPr>
                  <w:r>
                    <w:rPr>
                      <w:rFonts w:hint="eastAsia" w:ascii="Times New Roman" w:hAnsi="Times New Roman" w:cs="Times New Roman"/>
                      <w:color w:val="auto"/>
                      <w:sz w:val="24"/>
                      <w:szCs w:val="32"/>
                      <w:highlight w:val="none"/>
                      <w:lang w:val="en-US" w:eastAsia="zh-CN"/>
                    </w:rPr>
                    <w:t>--</w:t>
                  </w:r>
                </w:p>
              </w:tc>
              <w:tc>
                <w:tcPr>
                  <w:tcW w:w="518" w:type="pct"/>
                  <w:noWrap w:val="0"/>
                  <w:vAlign w:val="center"/>
                </w:tcPr>
                <w:p w14:paraId="39912D48">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4"/>
                      <w:szCs w:val="32"/>
                      <w:highlight w:val="none"/>
                      <w:lang w:val="en-US" w:eastAsia="zh-CN"/>
                    </w:rPr>
                    <w:fldChar w:fldCharType="begin"/>
                  </w:r>
                  <w:r>
                    <w:rPr>
                      <w:rFonts w:hint="eastAsia" w:ascii="Times New Roman" w:hAnsi="Times New Roman" w:cs="Times New Roman"/>
                      <w:color w:val="auto"/>
                      <w:sz w:val="24"/>
                      <w:szCs w:val="32"/>
                      <w:highlight w:val="none"/>
                      <w:lang w:val="en-US" w:eastAsia="zh-CN"/>
                    </w:rPr>
                    <w:instrText xml:space="preserve"> = 4 \* ROMAN \* MERGEFORMAT </w:instrText>
                  </w:r>
                  <w:r>
                    <w:rPr>
                      <w:rFonts w:hint="eastAsia" w:ascii="Times New Roman" w:hAnsi="Times New Roman" w:cs="Times New Roman"/>
                      <w:color w:val="auto"/>
                      <w:sz w:val="24"/>
                      <w:szCs w:val="32"/>
                      <w:highlight w:val="none"/>
                      <w:lang w:val="en-US" w:eastAsia="zh-CN"/>
                    </w:rPr>
                    <w:fldChar w:fldCharType="separate"/>
                  </w:r>
                  <w:r>
                    <w:rPr>
                      <w:rFonts w:hint="default" w:ascii="Times New Roman" w:hAnsi="Times New Roman" w:cs="Times New Roman"/>
                      <w:color w:val="auto"/>
                    </w:rPr>
                    <w:t>IV</w:t>
                  </w:r>
                  <w:r>
                    <w:rPr>
                      <w:rFonts w:hint="eastAsia" w:ascii="Times New Roman" w:hAnsi="Times New Roman" w:cs="Times New Roman"/>
                      <w:color w:val="auto"/>
                      <w:sz w:val="24"/>
                      <w:szCs w:val="32"/>
                      <w:highlight w:val="none"/>
                      <w:lang w:val="en-US" w:eastAsia="zh-CN"/>
                    </w:rPr>
                    <w:fldChar w:fldCharType="end"/>
                  </w:r>
                </w:p>
              </w:tc>
              <w:tc>
                <w:tcPr>
                  <w:tcW w:w="1091" w:type="pct"/>
                  <w:noWrap w:val="0"/>
                  <w:vAlign w:val="center"/>
                </w:tcPr>
                <w:p w14:paraId="69AA8CF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w:t>
                  </w:r>
                </w:p>
              </w:tc>
              <w:tc>
                <w:tcPr>
                  <w:tcW w:w="1091" w:type="pct"/>
                  <w:noWrap w:val="0"/>
                  <w:vAlign w:val="center"/>
                </w:tcPr>
                <w:p w14:paraId="2FC9A0C3">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yellow"/>
                      <w:lang w:val="en-US" w:eastAsia="zh-CN"/>
                    </w:rPr>
                  </w:pPr>
                </w:p>
              </w:tc>
            </w:tr>
            <w:tr w14:paraId="3607F3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pct"/>
                  <w:noWrap w:val="0"/>
                  <w:vAlign w:val="center"/>
                </w:tcPr>
                <w:p w14:paraId="3D9F40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2025.6</w:t>
                  </w:r>
                </w:p>
              </w:tc>
              <w:tc>
                <w:tcPr>
                  <w:tcW w:w="559" w:type="pct"/>
                  <w:noWrap w:val="0"/>
                  <w:vAlign w:val="center"/>
                </w:tcPr>
                <w:p w14:paraId="1D47722C">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招山河</w:t>
                  </w:r>
                </w:p>
              </w:tc>
              <w:tc>
                <w:tcPr>
                  <w:tcW w:w="646" w:type="pct"/>
                  <w:noWrap w:val="0"/>
                  <w:vAlign w:val="center"/>
                </w:tcPr>
                <w:p w14:paraId="5551D619">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乌玉</w:t>
                  </w:r>
                </w:p>
              </w:tc>
              <w:tc>
                <w:tcPr>
                  <w:tcW w:w="525" w:type="pct"/>
                  <w:noWrap w:val="0"/>
                  <w:vAlign w:val="center"/>
                </w:tcPr>
                <w:p w14:paraId="495CD4F4">
                  <w:pPr>
                    <w:keepNext w:val="0"/>
                    <w:keepLines w:val="0"/>
                    <w:suppressLineNumbers w:val="0"/>
                    <w:spacing w:before="0" w:beforeAutospacing="0" w:after="0" w:afterAutospacing="0"/>
                    <w:ind w:left="0" w:right="0"/>
                    <w:jc w:val="center"/>
                    <w:rPr>
                      <w:rFonts w:hint="default" w:ascii="Times New Roman" w:hAnsi="Times New Roman" w:cs="Times New Roman"/>
                      <w:bCs/>
                      <w:color w:val="auto"/>
                      <w:kern w:val="2"/>
                      <w:sz w:val="24"/>
                      <w:szCs w:val="32"/>
                      <w:highlight w:val="none"/>
                      <w:lang w:val="en-US" w:eastAsia="zh-CN" w:bidi="ar-SA"/>
                    </w:rPr>
                  </w:pPr>
                  <w:r>
                    <w:rPr>
                      <w:rFonts w:hint="eastAsia" w:ascii="Times New Roman" w:hAnsi="Times New Roman" w:cs="Times New Roman"/>
                      <w:color w:val="auto"/>
                      <w:sz w:val="24"/>
                      <w:szCs w:val="32"/>
                      <w:highlight w:val="none"/>
                      <w:lang w:val="en-US" w:eastAsia="zh-CN"/>
                    </w:rPr>
                    <w:t>--</w:t>
                  </w:r>
                </w:p>
              </w:tc>
              <w:tc>
                <w:tcPr>
                  <w:tcW w:w="518" w:type="pct"/>
                  <w:noWrap w:val="0"/>
                  <w:vAlign w:val="center"/>
                </w:tcPr>
                <w:p w14:paraId="70A7C0B1">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4"/>
                      <w:szCs w:val="32"/>
                      <w:highlight w:val="none"/>
                      <w:lang w:val="en-US" w:eastAsia="zh-CN"/>
                    </w:rPr>
                    <w:fldChar w:fldCharType="begin"/>
                  </w:r>
                  <w:r>
                    <w:rPr>
                      <w:rFonts w:hint="eastAsia" w:ascii="Times New Roman" w:hAnsi="Times New Roman" w:cs="Times New Roman"/>
                      <w:color w:val="auto"/>
                      <w:sz w:val="24"/>
                      <w:szCs w:val="32"/>
                      <w:highlight w:val="none"/>
                      <w:lang w:val="en-US" w:eastAsia="zh-CN"/>
                    </w:rPr>
                    <w:instrText xml:space="preserve"> = 4 \* ROMAN \* MERGEFORMAT </w:instrText>
                  </w:r>
                  <w:r>
                    <w:rPr>
                      <w:rFonts w:hint="eastAsia" w:ascii="Times New Roman" w:hAnsi="Times New Roman" w:cs="Times New Roman"/>
                      <w:color w:val="auto"/>
                      <w:sz w:val="24"/>
                      <w:szCs w:val="32"/>
                      <w:highlight w:val="none"/>
                      <w:lang w:val="en-US" w:eastAsia="zh-CN"/>
                    </w:rPr>
                    <w:fldChar w:fldCharType="separate"/>
                  </w:r>
                  <w:r>
                    <w:rPr>
                      <w:rFonts w:hint="default" w:ascii="Times New Roman" w:hAnsi="Times New Roman" w:cs="Times New Roman"/>
                      <w:color w:val="auto"/>
                    </w:rPr>
                    <w:t>IV</w:t>
                  </w:r>
                  <w:r>
                    <w:rPr>
                      <w:rFonts w:hint="eastAsia" w:ascii="Times New Roman" w:hAnsi="Times New Roman" w:cs="Times New Roman"/>
                      <w:color w:val="auto"/>
                      <w:sz w:val="24"/>
                      <w:szCs w:val="32"/>
                      <w:highlight w:val="none"/>
                      <w:lang w:val="en-US" w:eastAsia="zh-CN"/>
                    </w:rPr>
                    <w:fldChar w:fldCharType="end"/>
                  </w:r>
                </w:p>
              </w:tc>
              <w:tc>
                <w:tcPr>
                  <w:tcW w:w="1091" w:type="pct"/>
                  <w:noWrap w:val="0"/>
                  <w:vAlign w:val="center"/>
                </w:tcPr>
                <w:p w14:paraId="3AF66C04">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w:t>
                  </w:r>
                </w:p>
              </w:tc>
              <w:tc>
                <w:tcPr>
                  <w:tcW w:w="1091" w:type="pct"/>
                  <w:noWrap w:val="0"/>
                  <w:vAlign w:val="center"/>
                </w:tcPr>
                <w:p w14:paraId="380968EE">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yellow"/>
                      <w:lang w:val="en-US" w:eastAsia="zh-CN"/>
                    </w:rPr>
                  </w:pPr>
                </w:p>
              </w:tc>
            </w:tr>
            <w:tr w14:paraId="1DDA4B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pct"/>
                  <w:noWrap w:val="0"/>
                  <w:vAlign w:val="center"/>
                </w:tcPr>
                <w:p w14:paraId="772B1F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2025.7</w:t>
                  </w:r>
                </w:p>
              </w:tc>
              <w:tc>
                <w:tcPr>
                  <w:tcW w:w="559" w:type="pct"/>
                  <w:noWrap w:val="0"/>
                  <w:vAlign w:val="center"/>
                </w:tcPr>
                <w:p w14:paraId="428AA7CA">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招山河</w:t>
                  </w:r>
                </w:p>
              </w:tc>
              <w:tc>
                <w:tcPr>
                  <w:tcW w:w="646" w:type="pct"/>
                  <w:noWrap w:val="0"/>
                  <w:vAlign w:val="center"/>
                </w:tcPr>
                <w:p w14:paraId="074CA941">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乌玉</w:t>
                  </w:r>
                </w:p>
              </w:tc>
              <w:tc>
                <w:tcPr>
                  <w:tcW w:w="525" w:type="pct"/>
                  <w:noWrap w:val="0"/>
                  <w:vAlign w:val="center"/>
                </w:tcPr>
                <w:p w14:paraId="1B1B8BDD">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4"/>
                      <w:szCs w:val="32"/>
                      <w:highlight w:val="none"/>
                      <w:lang w:val="en-US" w:eastAsia="zh-CN" w:bidi="ar-SA"/>
                    </w:rPr>
                  </w:pPr>
                  <w:r>
                    <w:rPr>
                      <w:rFonts w:hint="eastAsia" w:ascii="Times New Roman" w:hAnsi="Times New Roman" w:cs="Times New Roman"/>
                      <w:color w:val="auto"/>
                      <w:sz w:val="24"/>
                      <w:szCs w:val="32"/>
                      <w:highlight w:val="none"/>
                      <w:lang w:val="en-US" w:eastAsia="zh-CN"/>
                    </w:rPr>
                    <w:t>--</w:t>
                  </w:r>
                </w:p>
              </w:tc>
              <w:tc>
                <w:tcPr>
                  <w:tcW w:w="518" w:type="pct"/>
                  <w:noWrap w:val="0"/>
                  <w:vAlign w:val="center"/>
                </w:tcPr>
                <w:p w14:paraId="10AF1DC1">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4"/>
                      <w:szCs w:val="32"/>
                      <w:highlight w:val="none"/>
                      <w:lang w:val="en-US" w:eastAsia="zh-CN"/>
                    </w:rPr>
                    <w:fldChar w:fldCharType="begin"/>
                  </w:r>
                  <w:r>
                    <w:rPr>
                      <w:rFonts w:hint="eastAsia" w:ascii="Times New Roman" w:hAnsi="Times New Roman" w:cs="Times New Roman"/>
                      <w:color w:val="auto"/>
                      <w:sz w:val="24"/>
                      <w:szCs w:val="32"/>
                      <w:highlight w:val="none"/>
                      <w:lang w:val="en-US" w:eastAsia="zh-CN"/>
                    </w:rPr>
                    <w:instrText xml:space="preserve"> = 4 \* ROMAN \* MERGEFORMAT </w:instrText>
                  </w:r>
                  <w:r>
                    <w:rPr>
                      <w:rFonts w:hint="eastAsia" w:ascii="Times New Roman" w:hAnsi="Times New Roman" w:cs="Times New Roman"/>
                      <w:color w:val="auto"/>
                      <w:sz w:val="24"/>
                      <w:szCs w:val="32"/>
                      <w:highlight w:val="none"/>
                      <w:lang w:val="en-US" w:eastAsia="zh-CN"/>
                    </w:rPr>
                    <w:fldChar w:fldCharType="separate"/>
                  </w:r>
                  <w:r>
                    <w:rPr>
                      <w:rFonts w:hint="default" w:ascii="Times New Roman" w:hAnsi="Times New Roman" w:cs="Times New Roman"/>
                      <w:color w:val="auto"/>
                    </w:rPr>
                    <w:t>IV</w:t>
                  </w:r>
                  <w:r>
                    <w:rPr>
                      <w:rFonts w:hint="eastAsia" w:ascii="Times New Roman" w:hAnsi="Times New Roman" w:cs="Times New Roman"/>
                      <w:color w:val="auto"/>
                      <w:sz w:val="24"/>
                      <w:szCs w:val="32"/>
                      <w:highlight w:val="none"/>
                      <w:lang w:val="en-US" w:eastAsia="zh-CN"/>
                    </w:rPr>
                    <w:fldChar w:fldCharType="end"/>
                  </w:r>
                </w:p>
              </w:tc>
              <w:tc>
                <w:tcPr>
                  <w:tcW w:w="1091" w:type="pct"/>
                  <w:noWrap w:val="0"/>
                  <w:vAlign w:val="center"/>
                </w:tcPr>
                <w:p w14:paraId="0129486A">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w:t>
                  </w:r>
                </w:p>
              </w:tc>
              <w:tc>
                <w:tcPr>
                  <w:tcW w:w="1091" w:type="pct"/>
                  <w:noWrap w:val="0"/>
                  <w:vAlign w:val="center"/>
                </w:tcPr>
                <w:p w14:paraId="0DC8D0AD">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yellow"/>
                      <w:lang w:val="en-US" w:eastAsia="zh-CN"/>
                    </w:rPr>
                  </w:pPr>
                </w:p>
              </w:tc>
            </w:tr>
            <w:tr w14:paraId="3CC2CF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pct"/>
                  <w:noWrap w:val="0"/>
                  <w:vAlign w:val="center"/>
                </w:tcPr>
                <w:p w14:paraId="2245E6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2025.8</w:t>
                  </w:r>
                </w:p>
              </w:tc>
              <w:tc>
                <w:tcPr>
                  <w:tcW w:w="559" w:type="pct"/>
                  <w:noWrap w:val="0"/>
                  <w:vAlign w:val="center"/>
                </w:tcPr>
                <w:p w14:paraId="5D1644CB">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招山河</w:t>
                  </w:r>
                </w:p>
              </w:tc>
              <w:tc>
                <w:tcPr>
                  <w:tcW w:w="646" w:type="pct"/>
                  <w:noWrap w:val="0"/>
                  <w:vAlign w:val="center"/>
                </w:tcPr>
                <w:p w14:paraId="1BA52DE5">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乌玉</w:t>
                  </w:r>
                </w:p>
              </w:tc>
              <w:tc>
                <w:tcPr>
                  <w:tcW w:w="525" w:type="pct"/>
                  <w:noWrap w:val="0"/>
                  <w:vAlign w:val="center"/>
                </w:tcPr>
                <w:p w14:paraId="7A9171F7">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4"/>
                      <w:szCs w:val="32"/>
                      <w:highlight w:val="none"/>
                      <w:lang w:val="en-US" w:eastAsia="zh-CN" w:bidi="ar-SA"/>
                    </w:rPr>
                  </w:pPr>
                  <w:r>
                    <w:rPr>
                      <w:rFonts w:hint="eastAsia" w:ascii="Times New Roman" w:hAnsi="Times New Roman" w:cs="Times New Roman"/>
                      <w:color w:val="auto"/>
                      <w:sz w:val="24"/>
                      <w:szCs w:val="32"/>
                      <w:highlight w:val="none"/>
                    </w:rPr>
                    <w:fldChar w:fldCharType="begin"/>
                  </w:r>
                  <w:r>
                    <w:rPr>
                      <w:rFonts w:hint="eastAsia" w:ascii="Times New Roman" w:hAnsi="Times New Roman" w:cs="Times New Roman"/>
                      <w:color w:val="auto"/>
                      <w:sz w:val="24"/>
                      <w:szCs w:val="32"/>
                      <w:highlight w:val="none"/>
                    </w:rPr>
                    <w:instrText xml:space="preserve"> = 5 \* ROMAN \* MERGEFORMAT </w:instrText>
                  </w:r>
                  <w:r>
                    <w:rPr>
                      <w:rFonts w:hint="eastAsia" w:ascii="Times New Roman" w:hAnsi="Times New Roman" w:cs="Times New Roman"/>
                      <w:color w:val="auto"/>
                      <w:sz w:val="24"/>
                      <w:szCs w:val="32"/>
                      <w:highlight w:val="none"/>
                    </w:rPr>
                    <w:fldChar w:fldCharType="separate"/>
                  </w:r>
                  <w:r>
                    <w:rPr>
                      <w:rFonts w:hint="default" w:ascii="Times New Roman" w:hAnsi="Times New Roman" w:cs="Times New Roman"/>
                      <w:color w:val="auto"/>
                    </w:rPr>
                    <w:t>V</w:t>
                  </w:r>
                  <w:r>
                    <w:rPr>
                      <w:rFonts w:hint="eastAsia" w:ascii="Times New Roman" w:hAnsi="Times New Roman" w:cs="Times New Roman"/>
                      <w:color w:val="auto"/>
                      <w:sz w:val="24"/>
                      <w:szCs w:val="32"/>
                      <w:highlight w:val="none"/>
                    </w:rPr>
                    <w:fldChar w:fldCharType="end"/>
                  </w:r>
                </w:p>
              </w:tc>
              <w:tc>
                <w:tcPr>
                  <w:tcW w:w="518" w:type="pct"/>
                  <w:noWrap w:val="0"/>
                  <w:vAlign w:val="center"/>
                </w:tcPr>
                <w:p w14:paraId="38A185A8">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4"/>
                      <w:szCs w:val="32"/>
                      <w:highlight w:val="none"/>
                      <w:lang w:val="en-US" w:eastAsia="zh-CN"/>
                    </w:rPr>
                    <w:fldChar w:fldCharType="begin"/>
                  </w:r>
                  <w:r>
                    <w:rPr>
                      <w:rFonts w:hint="eastAsia" w:ascii="Times New Roman" w:hAnsi="Times New Roman" w:cs="Times New Roman"/>
                      <w:color w:val="auto"/>
                      <w:sz w:val="24"/>
                      <w:szCs w:val="32"/>
                      <w:highlight w:val="none"/>
                      <w:lang w:val="en-US" w:eastAsia="zh-CN"/>
                    </w:rPr>
                    <w:instrText xml:space="preserve"> = 4 \* ROMAN \* MERGEFORMAT </w:instrText>
                  </w:r>
                  <w:r>
                    <w:rPr>
                      <w:rFonts w:hint="eastAsia" w:ascii="Times New Roman" w:hAnsi="Times New Roman" w:cs="Times New Roman"/>
                      <w:color w:val="auto"/>
                      <w:sz w:val="24"/>
                      <w:szCs w:val="32"/>
                      <w:highlight w:val="none"/>
                      <w:lang w:val="en-US" w:eastAsia="zh-CN"/>
                    </w:rPr>
                    <w:fldChar w:fldCharType="separate"/>
                  </w:r>
                  <w:r>
                    <w:rPr>
                      <w:rFonts w:hint="default" w:ascii="Times New Roman" w:hAnsi="Times New Roman" w:cs="Times New Roman"/>
                      <w:color w:val="auto"/>
                    </w:rPr>
                    <w:t>IV</w:t>
                  </w:r>
                  <w:r>
                    <w:rPr>
                      <w:rFonts w:hint="eastAsia" w:ascii="Times New Roman" w:hAnsi="Times New Roman" w:cs="Times New Roman"/>
                      <w:color w:val="auto"/>
                      <w:sz w:val="24"/>
                      <w:szCs w:val="32"/>
                      <w:highlight w:val="none"/>
                      <w:lang w:val="en-US" w:eastAsia="zh-CN"/>
                    </w:rPr>
                    <w:fldChar w:fldCharType="end"/>
                  </w:r>
                </w:p>
              </w:tc>
              <w:tc>
                <w:tcPr>
                  <w:tcW w:w="1091" w:type="pct"/>
                  <w:noWrap w:val="0"/>
                  <w:vAlign w:val="center"/>
                </w:tcPr>
                <w:p w14:paraId="6054B95A">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否</w:t>
                  </w:r>
                </w:p>
              </w:tc>
              <w:tc>
                <w:tcPr>
                  <w:tcW w:w="1091" w:type="pct"/>
                  <w:noWrap w:val="0"/>
                  <w:vAlign w:val="center"/>
                </w:tcPr>
                <w:p w14:paraId="16DF1493">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yellow"/>
                      <w:lang w:val="en-US" w:eastAsia="zh-CN"/>
                    </w:rPr>
                  </w:pPr>
                  <w:r>
                    <w:rPr>
                      <w:rFonts w:hint="eastAsia" w:ascii="Times New Roman" w:hAnsi="Times New Roman" w:cs="Times New Roman"/>
                      <w:color w:val="auto"/>
                      <w:szCs w:val="21"/>
                      <w:highlight w:val="none"/>
                      <w:lang w:val="en-US" w:eastAsia="zh-CN"/>
                    </w:rPr>
                    <w:t>氨氮</w:t>
                  </w:r>
                </w:p>
              </w:tc>
            </w:tr>
            <w:tr w14:paraId="7BE230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pct"/>
                  <w:noWrap w:val="0"/>
                  <w:vAlign w:val="center"/>
                </w:tcPr>
                <w:p w14:paraId="2117C2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2025.9</w:t>
                  </w:r>
                </w:p>
              </w:tc>
              <w:tc>
                <w:tcPr>
                  <w:tcW w:w="559" w:type="pct"/>
                  <w:noWrap w:val="0"/>
                  <w:vAlign w:val="center"/>
                </w:tcPr>
                <w:p w14:paraId="548E9BAC">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招山河</w:t>
                  </w:r>
                </w:p>
              </w:tc>
              <w:tc>
                <w:tcPr>
                  <w:tcW w:w="646" w:type="pct"/>
                  <w:noWrap w:val="0"/>
                  <w:vAlign w:val="center"/>
                </w:tcPr>
                <w:p w14:paraId="449FEEB6">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乌玉</w:t>
                  </w:r>
                </w:p>
              </w:tc>
              <w:tc>
                <w:tcPr>
                  <w:tcW w:w="525" w:type="pct"/>
                  <w:noWrap w:val="0"/>
                  <w:vAlign w:val="center"/>
                </w:tcPr>
                <w:p w14:paraId="2A310D09">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4"/>
                      <w:szCs w:val="32"/>
                      <w:highlight w:val="none"/>
                      <w:lang w:val="en-US" w:eastAsia="zh-CN" w:bidi="ar-SA"/>
                    </w:rPr>
                  </w:pPr>
                  <w:r>
                    <w:rPr>
                      <w:rFonts w:hint="eastAsia" w:ascii="Times New Roman" w:hAnsi="Times New Roman" w:cs="Times New Roman"/>
                      <w:color w:val="auto"/>
                      <w:sz w:val="24"/>
                      <w:szCs w:val="32"/>
                      <w:highlight w:val="none"/>
                    </w:rPr>
                    <w:fldChar w:fldCharType="begin"/>
                  </w:r>
                  <w:r>
                    <w:rPr>
                      <w:rFonts w:hint="eastAsia" w:ascii="Times New Roman" w:hAnsi="Times New Roman" w:cs="Times New Roman"/>
                      <w:color w:val="auto"/>
                      <w:sz w:val="24"/>
                      <w:szCs w:val="32"/>
                      <w:highlight w:val="none"/>
                    </w:rPr>
                    <w:instrText xml:space="preserve"> = 5 \* ROMAN \* MERGEFORMAT </w:instrText>
                  </w:r>
                  <w:r>
                    <w:rPr>
                      <w:rFonts w:hint="eastAsia" w:ascii="Times New Roman" w:hAnsi="Times New Roman" w:cs="Times New Roman"/>
                      <w:color w:val="auto"/>
                      <w:sz w:val="24"/>
                      <w:szCs w:val="32"/>
                      <w:highlight w:val="none"/>
                    </w:rPr>
                    <w:fldChar w:fldCharType="separate"/>
                  </w:r>
                  <w:r>
                    <w:rPr>
                      <w:rFonts w:hint="default" w:ascii="Times New Roman" w:hAnsi="Times New Roman" w:cs="Times New Roman"/>
                      <w:color w:val="auto"/>
                    </w:rPr>
                    <w:t>V</w:t>
                  </w:r>
                  <w:r>
                    <w:rPr>
                      <w:rFonts w:hint="eastAsia" w:ascii="Times New Roman" w:hAnsi="Times New Roman" w:cs="Times New Roman"/>
                      <w:color w:val="auto"/>
                      <w:sz w:val="24"/>
                      <w:szCs w:val="32"/>
                      <w:highlight w:val="none"/>
                    </w:rPr>
                    <w:fldChar w:fldCharType="end"/>
                  </w:r>
                </w:p>
              </w:tc>
              <w:tc>
                <w:tcPr>
                  <w:tcW w:w="518" w:type="pct"/>
                  <w:noWrap w:val="0"/>
                  <w:vAlign w:val="center"/>
                </w:tcPr>
                <w:p w14:paraId="24C0A969">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4"/>
                      <w:szCs w:val="32"/>
                      <w:highlight w:val="none"/>
                      <w:lang w:val="en-US" w:eastAsia="zh-CN"/>
                    </w:rPr>
                    <w:fldChar w:fldCharType="begin"/>
                  </w:r>
                  <w:r>
                    <w:rPr>
                      <w:rFonts w:hint="eastAsia" w:ascii="Times New Roman" w:hAnsi="Times New Roman" w:cs="Times New Roman"/>
                      <w:color w:val="auto"/>
                      <w:sz w:val="24"/>
                      <w:szCs w:val="32"/>
                      <w:highlight w:val="none"/>
                      <w:lang w:val="en-US" w:eastAsia="zh-CN"/>
                    </w:rPr>
                    <w:instrText xml:space="preserve"> = 4 \* ROMAN \* MERGEFORMAT </w:instrText>
                  </w:r>
                  <w:r>
                    <w:rPr>
                      <w:rFonts w:hint="eastAsia" w:ascii="Times New Roman" w:hAnsi="Times New Roman" w:cs="Times New Roman"/>
                      <w:color w:val="auto"/>
                      <w:sz w:val="24"/>
                      <w:szCs w:val="32"/>
                      <w:highlight w:val="none"/>
                      <w:lang w:val="en-US" w:eastAsia="zh-CN"/>
                    </w:rPr>
                    <w:fldChar w:fldCharType="separate"/>
                  </w:r>
                  <w:r>
                    <w:rPr>
                      <w:rFonts w:hint="default" w:ascii="Times New Roman" w:hAnsi="Times New Roman" w:cs="Times New Roman"/>
                      <w:color w:val="auto"/>
                    </w:rPr>
                    <w:t>IV</w:t>
                  </w:r>
                  <w:r>
                    <w:rPr>
                      <w:rFonts w:hint="eastAsia" w:ascii="Times New Roman" w:hAnsi="Times New Roman" w:cs="Times New Roman"/>
                      <w:color w:val="auto"/>
                      <w:sz w:val="24"/>
                      <w:szCs w:val="32"/>
                      <w:highlight w:val="none"/>
                      <w:lang w:val="en-US" w:eastAsia="zh-CN"/>
                    </w:rPr>
                    <w:fldChar w:fldCharType="end"/>
                  </w:r>
                </w:p>
              </w:tc>
              <w:tc>
                <w:tcPr>
                  <w:tcW w:w="1091" w:type="pct"/>
                  <w:noWrap w:val="0"/>
                  <w:vAlign w:val="center"/>
                </w:tcPr>
                <w:p w14:paraId="45717E39">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否</w:t>
                  </w:r>
                </w:p>
              </w:tc>
              <w:tc>
                <w:tcPr>
                  <w:tcW w:w="1091" w:type="pct"/>
                  <w:noWrap w:val="0"/>
                  <w:vAlign w:val="center"/>
                </w:tcPr>
                <w:p w14:paraId="4A85F78A">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yellow"/>
                      <w:lang w:val="en-US" w:eastAsia="zh-CN"/>
                    </w:rPr>
                  </w:pPr>
                  <w:r>
                    <w:rPr>
                      <w:rFonts w:hint="eastAsia" w:ascii="Times New Roman" w:hAnsi="Times New Roman" w:cs="Times New Roman"/>
                      <w:color w:val="auto"/>
                      <w:szCs w:val="21"/>
                      <w:highlight w:val="none"/>
                      <w:lang w:val="en-US" w:eastAsia="zh-CN"/>
                    </w:rPr>
                    <w:t>氨氮</w:t>
                  </w:r>
                </w:p>
              </w:tc>
            </w:tr>
            <w:tr w14:paraId="299E9B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pct"/>
                  <w:noWrap w:val="0"/>
                  <w:vAlign w:val="center"/>
                </w:tcPr>
                <w:p w14:paraId="38DC49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2025.10</w:t>
                  </w:r>
                </w:p>
              </w:tc>
              <w:tc>
                <w:tcPr>
                  <w:tcW w:w="559" w:type="pct"/>
                  <w:noWrap w:val="0"/>
                  <w:vAlign w:val="center"/>
                </w:tcPr>
                <w:p w14:paraId="5F7B1E5D">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招山河</w:t>
                  </w:r>
                </w:p>
              </w:tc>
              <w:tc>
                <w:tcPr>
                  <w:tcW w:w="646" w:type="pct"/>
                  <w:noWrap w:val="0"/>
                  <w:vAlign w:val="center"/>
                </w:tcPr>
                <w:p w14:paraId="256ADA47">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乌玉</w:t>
                  </w:r>
                </w:p>
              </w:tc>
              <w:tc>
                <w:tcPr>
                  <w:tcW w:w="525" w:type="pct"/>
                  <w:noWrap w:val="0"/>
                  <w:vAlign w:val="center"/>
                </w:tcPr>
                <w:p w14:paraId="04BFE54B">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4"/>
                      <w:szCs w:val="32"/>
                      <w:highlight w:val="none"/>
                      <w:lang w:val="en-US" w:eastAsia="zh-CN" w:bidi="ar-SA"/>
                    </w:rPr>
                  </w:pPr>
                  <w:r>
                    <w:rPr>
                      <w:rFonts w:hint="eastAsia" w:ascii="Times New Roman" w:hAnsi="Times New Roman" w:cs="Times New Roman"/>
                      <w:color w:val="auto"/>
                      <w:sz w:val="24"/>
                      <w:szCs w:val="32"/>
                      <w:highlight w:val="none"/>
                    </w:rPr>
                    <w:fldChar w:fldCharType="begin"/>
                  </w:r>
                  <w:r>
                    <w:rPr>
                      <w:rFonts w:hint="eastAsia" w:ascii="Times New Roman" w:hAnsi="Times New Roman" w:cs="Times New Roman"/>
                      <w:color w:val="auto"/>
                      <w:sz w:val="24"/>
                      <w:szCs w:val="32"/>
                      <w:highlight w:val="none"/>
                    </w:rPr>
                    <w:instrText xml:space="preserve"> = 5 \* ROMAN \* MERGEFORMAT </w:instrText>
                  </w:r>
                  <w:r>
                    <w:rPr>
                      <w:rFonts w:hint="eastAsia" w:ascii="Times New Roman" w:hAnsi="Times New Roman" w:cs="Times New Roman"/>
                      <w:color w:val="auto"/>
                      <w:sz w:val="24"/>
                      <w:szCs w:val="32"/>
                      <w:highlight w:val="none"/>
                    </w:rPr>
                    <w:fldChar w:fldCharType="separate"/>
                  </w:r>
                  <w:r>
                    <w:rPr>
                      <w:rFonts w:hint="default" w:ascii="Times New Roman" w:hAnsi="Times New Roman" w:cs="Times New Roman"/>
                      <w:color w:val="auto"/>
                    </w:rPr>
                    <w:t>V</w:t>
                  </w:r>
                  <w:r>
                    <w:rPr>
                      <w:rFonts w:hint="eastAsia" w:ascii="Times New Roman" w:hAnsi="Times New Roman" w:cs="Times New Roman"/>
                      <w:color w:val="auto"/>
                      <w:sz w:val="24"/>
                      <w:szCs w:val="32"/>
                      <w:highlight w:val="none"/>
                    </w:rPr>
                    <w:fldChar w:fldCharType="end"/>
                  </w:r>
                </w:p>
              </w:tc>
              <w:tc>
                <w:tcPr>
                  <w:tcW w:w="518" w:type="pct"/>
                  <w:noWrap w:val="0"/>
                  <w:vAlign w:val="center"/>
                </w:tcPr>
                <w:p w14:paraId="2ABB7A57">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4"/>
                      <w:szCs w:val="32"/>
                      <w:highlight w:val="none"/>
                      <w:lang w:val="en-US" w:eastAsia="zh-CN"/>
                    </w:rPr>
                    <w:fldChar w:fldCharType="begin"/>
                  </w:r>
                  <w:r>
                    <w:rPr>
                      <w:rFonts w:hint="eastAsia" w:ascii="Times New Roman" w:hAnsi="Times New Roman" w:cs="Times New Roman"/>
                      <w:color w:val="auto"/>
                      <w:sz w:val="24"/>
                      <w:szCs w:val="32"/>
                      <w:highlight w:val="none"/>
                      <w:lang w:val="en-US" w:eastAsia="zh-CN"/>
                    </w:rPr>
                    <w:instrText xml:space="preserve"> = 4 \* ROMAN \* MERGEFORMAT </w:instrText>
                  </w:r>
                  <w:r>
                    <w:rPr>
                      <w:rFonts w:hint="eastAsia" w:ascii="Times New Roman" w:hAnsi="Times New Roman" w:cs="Times New Roman"/>
                      <w:color w:val="auto"/>
                      <w:sz w:val="24"/>
                      <w:szCs w:val="32"/>
                      <w:highlight w:val="none"/>
                      <w:lang w:val="en-US" w:eastAsia="zh-CN"/>
                    </w:rPr>
                    <w:fldChar w:fldCharType="separate"/>
                  </w:r>
                  <w:r>
                    <w:rPr>
                      <w:rFonts w:hint="default" w:ascii="Times New Roman" w:hAnsi="Times New Roman" w:cs="Times New Roman"/>
                      <w:color w:val="auto"/>
                    </w:rPr>
                    <w:t>IV</w:t>
                  </w:r>
                  <w:r>
                    <w:rPr>
                      <w:rFonts w:hint="eastAsia" w:ascii="Times New Roman" w:hAnsi="Times New Roman" w:cs="Times New Roman"/>
                      <w:color w:val="auto"/>
                      <w:sz w:val="24"/>
                      <w:szCs w:val="32"/>
                      <w:highlight w:val="none"/>
                      <w:lang w:val="en-US" w:eastAsia="zh-CN"/>
                    </w:rPr>
                    <w:fldChar w:fldCharType="end"/>
                  </w:r>
                </w:p>
              </w:tc>
              <w:tc>
                <w:tcPr>
                  <w:tcW w:w="1091" w:type="pct"/>
                  <w:noWrap w:val="0"/>
                  <w:vAlign w:val="center"/>
                </w:tcPr>
                <w:p w14:paraId="4A5316A7">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否</w:t>
                  </w:r>
                </w:p>
              </w:tc>
              <w:tc>
                <w:tcPr>
                  <w:tcW w:w="1091" w:type="pct"/>
                  <w:noWrap w:val="0"/>
                  <w:vAlign w:val="center"/>
                </w:tcPr>
                <w:p w14:paraId="18408402">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yellow"/>
                      <w:lang w:val="en-US" w:eastAsia="zh-CN"/>
                    </w:rPr>
                  </w:pPr>
                  <w:r>
                    <w:rPr>
                      <w:rFonts w:hint="eastAsia" w:ascii="Times New Roman" w:hAnsi="Times New Roman" w:cs="Times New Roman"/>
                      <w:color w:val="auto"/>
                      <w:szCs w:val="21"/>
                      <w:highlight w:val="none"/>
                      <w:lang w:val="en-US" w:eastAsia="zh-CN"/>
                    </w:rPr>
                    <w:t>氨氮</w:t>
                  </w:r>
                </w:p>
              </w:tc>
            </w:tr>
            <w:tr w14:paraId="1C3C4C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pct"/>
                  <w:noWrap w:val="0"/>
                  <w:vAlign w:val="center"/>
                </w:tcPr>
                <w:p w14:paraId="7D5A1DBA">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2025.11</w:t>
                  </w:r>
                </w:p>
              </w:tc>
              <w:tc>
                <w:tcPr>
                  <w:tcW w:w="559" w:type="pct"/>
                  <w:noWrap w:val="0"/>
                  <w:vAlign w:val="center"/>
                </w:tcPr>
                <w:p w14:paraId="15AB8804">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招山河</w:t>
                  </w:r>
                </w:p>
              </w:tc>
              <w:tc>
                <w:tcPr>
                  <w:tcW w:w="646" w:type="pct"/>
                  <w:noWrap w:val="0"/>
                  <w:vAlign w:val="center"/>
                </w:tcPr>
                <w:p w14:paraId="769CEBC6">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乌玉</w:t>
                  </w:r>
                </w:p>
              </w:tc>
              <w:tc>
                <w:tcPr>
                  <w:tcW w:w="525" w:type="pct"/>
                  <w:noWrap w:val="0"/>
                  <w:vAlign w:val="center"/>
                </w:tcPr>
                <w:p w14:paraId="2B32CA96">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4"/>
                      <w:szCs w:val="32"/>
                      <w:highlight w:val="none"/>
                      <w:lang w:val="en-US" w:eastAsia="zh-CN" w:bidi="ar-SA"/>
                    </w:rPr>
                  </w:pPr>
                  <w:r>
                    <w:rPr>
                      <w:rFonts w:hint="eastAsia" w:ascii="Times New Roman" w:hAnsi="Times New Roman" w:cs="Times New Roman"/>
                      <w:color w:val="auto"/>
                      <w:sz w:val="24"/>
                      <w:szCs w:val="32"/>
                      <w:highlight w:val="none"/>
                    </w:rPr>
                    <w:fldChar w:fldCharType="begin"/>
                  </w:r>
                  <w:r>
                    <w:rPr>
                      <w:rFonts w:hint="eastAsia" w:ascii="Times New Roman" w:hAnsi="Times New Roman" w:cs="Times New Roman"/>
                      <w:color w:val="auto"/>
                      <w:sz w:val="24"/>
                      <w:szCs w:val="32"/>
                      <w:highlight w:val="none"/>
                    </w:rPr>
                    <w:instrText xml:space="preserve"> = 5 \* ROMAN \* MERGEFORMAT </w:instrText>
                  </w:r>
                  <w:r>
                    <w:rPr>
                      <w:rFonts w:hint="eastAsia" w:ascii="Times New Roman" w:hAnsi="Times New Roman" w:cs="Times New Roman"/>
                      <w:color w:val="auto"/>
                      <w:sz w:val="24"/>
                      <w:szCs w:val="32"/>
                      <w:highlight w:val="none"/>
                    </w:rPr>
                    <w:fldChar w:fldCharType="separate"/>
                  </w:r>
                  <w:r>
                    <w:rPr>
                      <w:rFonts w:hint="default" w:ascii="Times New Roman" w:hAnsi="Times New Roman" w:cs="Times New Roman"/>
                      <w:color w:val="auto"/>
                    </w:rPr>
                    <w:t>V</w:t>
                  </w:r>
                  <w:r>
                    <w:rPr>
                      <w:rFonts w:hint="eastAsia" w:ascii="Times New Roman" w:hAnsi="Times New Roman" w:cs="Times New Roman"/>
                      <w:color w:val="auto"/>
                      <w:sz w:val="24"/>
                      <w:szCs w:val="32"/>
                      <w:highlight w:val="none"/>
                    </w:rPr>
                    <w:fldChar w:fldCharType="end"/>
                  </w:r>
                </w:p>
              </w:tc>
              <w:tc>
                <w:tcPr>
                  <w:tcW w:w="518" w:type="pct"/>
                  <w:noWrap w:val="0"/>
                  <w:vAlign w:val="center"/>
                </w:tcPr>
                <w:p w14:paraId="2DE7ACEA">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4"/>
                      <w:szCs w:val="32"/>
                      <w:highlight w:val="none"/>
                      <w:lang w:val="en-US" w:eastAsia="zh-CN"/>
                    </w:rPr>
                    <w:fldChar w:fldCharType="begin"/>
                  </w:r>
                  <w:r>
                    <w:rPr>
                      <w:rFonts w:hint="eastAsia" w:ascii="Times New Roman" w:hAnsi="Times New Roman" w:cs="Times New Roman"/>
                      <w:color w:val="auto"/>
                      <w:sz w:val="24"/>
                      <w:szCs w:val="32"/>
                      <w:highlight w:val="none"/>
                      <w:lang w:val="en-US" w:eastAsia="zh-CN"/>
                    </w:rPr>
                    <w:instrText xml:space="preserve"> = 4 \* ROMAN \* MERGEFORMAT </w:instrText>
                  </w:r>
                  <w:r>
                    <w:rPr>
                      <w:rFonts w:hint="eastAsia" w:ascii="Times New Roman" w:hAnsi="Times New Roman" w:cs="Times New Roman"/>
                      <w:color w:val="auto"/>
                      <w:sz w:val="24"/>
                      <w:szCs w:val="32"/>
                      <w:highlight w:val="none"/>
                      <w:lang w:val="en-US" w:eastAsia="zh-CN"/>
                    </w:rPr>
                    <w:fldChar w:fldCharType="separate"/>
                  </w:r>
                  <w:r>
                    <w:rPr>
                      <w:rFonts w:hint="default" w:ascii="Times New Roman" w:hAnsi="Times New Roman" w:cs="Times New Roman"/>
                      <w:color w:val="auto"/>
                    </w:rPr>
                    <w:t>IV</w:t>
                  </w:r>
                  <w:r>
                    <w:rPr>
                      <w:rFonts w:hint="eastAsia" w:ascii="Times New Roman" w:hAnsi="Times New Roman" w:cs="Times New Roman"/>
                      <w:color w:val="auto"/>
                      <w:sz w:val="24"/>
                      <w:szCs w:val="32"/>
                      <w:highlight w:val="none"/>
                      <w:lang w:val="en-US" w:eastAsia="zh-CN"/>
                    </w:rPr>
                    <w:fldChar w:fldCharType="end"/>
                  </w:r>
                </w:p>
              </w:tc>
              <w:tc>
                <w:tcPr>
                  <w:tcW w:w="1091" w:type="pct"/>
                  <w:noWrap w:val="0"/>
                  <w:vAlign w:val="center"/>
                </w:tcPr>
                <w:p w14:paraId="278CD3E1">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否</w:t>
                  </w:r>
                </w:p>
              </w:tc>
              <w:tc>
                <w:tcPr>
                  <w:tcW w:w="1091" w:type="pct"/>
                  <w:noWrap w:val="0"/>
                  <w:vAlign w:val="center"/>
                </w:tcPr>
                <w:p w14:paraId="76888ECF">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yellow"/>
                      <w:lang w:val="en-US" w:eastAsia="zh-CN"/>
                    </w:rPr>
                  </w:pPr>
                  <w:r>
                    <w:rPr>
                      <w:rFonts w:hint="eastAsia" w:ascii="Times New Roman" w:hAnsi="Times New Roman" w:cs="Times New Roman"/>
                      <w:color w:val="auto"/>
                      <w:szCs w:val="21"/>
                      <w:highlight w:val="none"/>
                      <w:lang w:val="en-US" w:eastAsia="zh-CN"/>
                    </w:rPr>
                    <w:t>氨氮</w:t>
                  </w:r>
                </w:p>
              </w:tc>
            </w:tr>
            <w:tr w14:paraId="743053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6" w:type="pct"/>
                  <w:noWrap w:val="0"/>
                  <w:vAlign w:val="center"/>
                </w:tcPr>
                <w:p w14:paraId="3005FD6F">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2025.12</w:t>
                  </w:r>
                </w:p>
              </w:tc>
              <w:tc>
                <w:tcPr>
                  <w:tcW w:w="559" w:type="pct"/>
                  <w:noWrap w:val="0"/>
                  <w:vAlign w:val="center"/>
                </w:tcPr>
                <w:p w14:paraId="7F082E33">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招山河</w:t>
                  </w:r>
                </w:p>
              </w:tc>
              <w:tc>
                <w:tcPr>
                  <w:tcW w:w="646" w:type="pct"/>
                  <w:noWrap w:val="0"/>
                  <w:vAlign w:val="center"/>
                </w:tcPr>
                <w:p w14:paraId="313B6A4D">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乌玉</w:t>
                  </w:r>
                </w:p>
              </w:tc>
              <w:tc>
                <w:tcPr>
                  <w:tcW w:w="525" w:type="pct"/>
                  <w:noWrap w:val="0"/>
                  <w:vAlign w:val="center"/>
                </w:tcPr>
                <w:p w14:paraId="562A9D79">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4"/>
                      <w:szCs w:val="32"/>
                      <w:highlight w:val="none"/>
                      <w:lang w:val="en-US" w:eastAsia="zh-CN" w:bidi="ar-SA"/>
                    </w:rPr>
                  </w:pPr>
                  <w:r>
                    <w:rPr>
                      <w:rFonts w:hint="eastAsia" w:ascii="Times New Roman" w:hAnsi="Times New Roman" w:cs="Times New Roman"/>
                      <w:color w:val="auto"/>
                      <w:sz w:val="24"/>
                      <w:szCs w:val="32"/>
                      <w:highlight w:val="none"/>
                    </w:rPr>
                    <w:fldChar w:fldCharType="begin"/>
                  </w:r>
                  <w:r>
                    <w:rPr>
                      <w:rFonts w:hint="eastAsia" w:ascii="Times New Roman" w:hAnsi="Times New Roman" w:cs="Times New Roman"/>
                      <w:color w:val="auto"/>
                      <w:sz w:val="24"/>
                      <w:szCs w:val="32"/>
                      <w:highlight w:val="none"/>
                    </w:rPr>
                    <w:instrText xml:space="preserve"> = 5 \* ROMAN \* MERGEFORMAT </w:instrText>
                  </w:r>
                  <w:r>
                    <w:rPr>
                      <w:rFonts w:hint="eastAsia" w:ascii="Times New Roman" w:hAnsi="Times New Roman" w:cs="Times New Roman"/>
                      <w:color w:val="auto"/>
                      <w:sz w:val="24"/>
                      <w:szCs w:val="32"/>
                      <w:highlight w:val="none"/>
                    </w:rPr>
                    <w:fldChar w:fldCharType="separate"/>
                  </w:r>
                  <w:r>
                    <w:rPr>
                      <w:rFonts w:hint="default" w:ascii="Times New Roman" w:hAnsi="Times New Roman" w:cs="Times New Roman"/>
                      <w:color w:val="auto"/>
                    </w:rPr>
                    <w:t>V</w:t>
                  </w:r>
                  <w:r>
                    <w:rPr>
                      <w:rFonts w:hint="eastAsia" w:ascii="Times New Roman" w:hAnsi="Times New Roman" w:cs="Times New Roman"/>
                      <w:color w:val="auto"/>
                      <w:sz w:val="24"/>
                      <w:szCs w:val="32"/>
                      <w:highlight w:val="none"/>
                    </w:rPr>
                    <w:fldChar w:fldCharType="end"/>
                  </w:r>
                </w:p>
              </w:tc>
              <w:tc>
                <w:tcPr>
                  <w:tcW w:w="518" w:type="pct"/>
                  <w:noWrap w:val="0"/>
                  <w:vAlign w:val="center"/>
                </w:tcPr>
                <w:p w14:paraId="19076A05">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4"/>
                      <w:szCs w:val="32"/>
                      <w:highlight w:val="none"/>
                      <w:lang w:val="en-US" w:eastAsia="zh-CN"/>
                    </w:rPr>
                    <w:fldChar w:fldCharType="begin"/>
                  </w:r>
                  <w:r>
                    <w:rPr>
                      <w:rFonts w:hint="eastAsia" w:ascii="Times New Roman" w:hAnsi="Times New Roman" w:cs="Times New Roman"/>
                      <w:color w:val="auto"/>
                      <w:sz w:val="24"/>
                      <w:szCs w:val="32"/>
                      <w:highlight w:val="none"/>
                      <w:lang w:val="en-US" w:eastAsia="zh-CN"/>
                    </w:rPr>
                    <w:instrText xml:space="preserve"> = 4 \* ROMAN \* MERGEFORMAT </w:instrText>
                  </w:r>
                  <w:r>
                    <w:rPr>
                      <w:rFonts w:hint="eastAsia" w:ascii="Times New Roman" w:hAnsi="Times New Roman" w:cs="Times New Roman"/>
                      <w:color w:val="auto"/>
                      <w:sz w:val="24"/>
                      <w:szCs w:val="32"/>
                      <w:highlight w:val="none"/>
                      <w:lang w:val="en-US" w:eastAsia="zh-CN"/>
                    </w:rPr>
                    <w:fldChar w:fldCharType="separate"/>
                  </w:r>
                  <w:r>
                    <w:rPr>
                      <w:rFonts w:hint="default" w:ascii="Times New Roman" w:hAnsi="Times New Roman" w:cs="Times New Roman"/>
                      <w:color w:val="auto"/>
                    </w:rPr>
                    <w:t>IV</w:t>
                  </w:r>
                  <w:r>
                    <w:rPr>
                      <w:rFonts w:hint="eastAsia" w:ascii="Times New Roman" w:hAnsi="Times New Roman" w:cs="Times New Roman"/>
                      <w:color w:val="auto"/>
                      <w:sz w:val="24"/>
                      <w:szCs w:val="32"/>
                      <w:highlight w:val="none"/>
                      <w:lang w:val="en-US" w:eastAsia="zh-CN"/>
                    </w:rPr>
                    <w:fldChar w:fldCharType="end"/>
                  </w:r>
                </w:p>
              </w:tc>
              <w:tc>
                <w:tcPr>
                  <w:tcW w:w="1091" w:type="pct"/>
                  <w:noWrap w:val="0"/>
                  <w:vAlign w:val="center"/>
                </w:tcPr>
                <w:p w14:paraId="11E5ED82">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否</w:t>
                  </w:r>
                </w:p>
              </w:tc>
              <w:tc>
                <w:tcPr>
                  <w:tcW w:w="1091" w:type="pct"/>
                  <w:noWrap w:val="0"/>
                  <w:vAlign w:val="center"/>
                </w:tcPr>
                <w:p w14:paraId="2C65DFF0">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highlight w:val="yellow"/>
                      <w:lang w:val="en-US" w:eastAsia="zh-CN"/>
                    </w:rPr>
                  </w:pPr>
                  <w:r>
                    <w:rPr>
                      <w:rFonts w:hint="eastAsia" w:ascii="Times New Roman" w:hAnsi="Times New Roman" w:cs="Times New Roman"/>
                      <w:color w:val="auto"/>
                      <w:szCs w:val="21"/>
                      <w:highlight w:val="none"/>
                      <w:lang w:val="en-US" w:eastAsia="zh-CN"/>
                    </w:rPr>
                    <w:t>氨氮</w:t>
                  </w:r>
                </w:p>
              </w:tc>
            </w:tr>
          </w:tbl>
          <w:p w14:paraId="10ED235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eastAsia"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3.声环境质量现状</w:t>
            </w:r>
          </w:p>
          <w:p w14:paraId="0F2DB2C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宋体" w:hAnsi="宋体" w:cs="宋体"/>
                <w:b w:val="0"/>
                <w:bCs w:val="0"/>
                <w:color w:val="auto"/>
                <w:kern w:val="0"/>
                <w:sz w:val="24"/>
                <w:szCs w:val="24"/>
                <w:highlight w:val="none"/>
                <w:lang w:val="en-US" w:eastAsia="zh-CN"/>
              </w:rPr>
            </w:pPr>
            <w:r>
              <w:rPr>
                <w:rFonts w:hint="eastAsia" w:ascii="宋体" w:hAnsi="宋体" w:cs="宋体"/>
                <w:color w:val="auto"/>
                <w:kern w:val="0"/>
                <w:sz w:val="24"/>
                <w:highlight w:val="none"/>
              </w:rPr>
              <w:t>本项目厂界外周边</w:t>
            </w:r>
            <w:r>
              <w:rPr>
                <w:rFonts w:hint="eastAsia" w:ascii="Times New Roman" w:hAnsi="Times New Roman" w:cs="宋体"/>
                <w:color w:val="auto"/>
                <w:kern w:val="0"/>
                <w:sz w:val="24"/>
                <w:highlight w:val="none"/>
              </w:rPr>
              <w:t>50</w:t>
            </w:r>
            <w:r>
              <w:rPr>
                <w:rFonts w:hint="eastAsia" w:ascii="宋体" w:hAnsi="宋体" w:cs="宋体"/>
                <w:color w:val="auto"/>
                <w:kern w:val="0"/>
                <w:sz w:val="24"/>
                <w:highlight w:val="none"/>
              </w:rPr>
              <w:t>米范围内无声环境保护目标，根据</w:t>
            </w:r>
            <w:r>
              <w:rPr>
                <w:rFonts w:hint="eastAsia" w:ascii="宋体" w:hAnsi="宋体" w:cs="宋体"/>
                <w:color w:val="auto"/>
                <w:kern w:val="0"/>
                <w:sz w:val="24"/>
                <w:highlight w:val="none"/>
                <w:lang w:val="en-US" w:eastAsia="zh-CN"/>
              </w:rPr>
              <w:t>《建设项目</w:t>
            </w:r>
            <w:r>
              <w:rPr>
                <w:rFonts w:hint="eastAsia" w:ascii="宋体" w:hAnsi="宋体" w:cs="宋体"/>
                <w:color w:val="auto"/>
                <w:kern w:val="0"/>
                <w:sz w:val="24"/>
                <w:highlight w:val="none"/>
              </w:rPr>
              <w:t>环境影响报告表编制</w:t>
            </w:r>
            <w:r>
              <w:rPr>
                <w:rFonts w:hint="eastAsia" w:ascii="宋体" w:hAnsi="宋体" w:cs="宋体"/>
                <w:color w:val="auto"/>
                <w:kern w:val="0"/>
                <w:sz w:val="24"/>
                <w:highlight w:val="none"/>
                <w:lang w:val="en-US" w:eastAsia="zh-CN"/>
              </w:rPr>
              <w:t>技术</w:t>
            </w:r>
            <w:r>
              <w:rPr>
                <w:rFonts w:hint="eastAsia" w:ascii="宋体" w:hAnsi="宋体" w:cs="宋体"/>
                <w:color w:val="auto"/>
                <w:kern w:val="0"/>
                <w:sz w:val="24"/>
                <w:highlight w:val="none"/>
              </w:rPr>
              <w:t>指南</w:t>
            </w:r>
            <w:r>
              <w:rPr>
                <w:rFonts w:hint="eastAsia" w:ascii="宋体" w:hAnsi="宋体" w:cs="宋体"/>
                <w:color w:val="auto"/>
                <w:kern w:val="0"/>
                <w:sz w:val="24"/>
                <w:highlight w:val="none"/>
                <w:lang w:val="en-US" w:eastAsia="zh-CN"/>
              </w:rPr>
              <w:t>（污染影响类）（试行）》</w:t>
            </w:r>
            <w:r>
              <w:rPr>
                <w:rFonts w:hint="eastAsia" w:ascii="宋体" w:hAnsi="宋体" w:cs="宋体"/>
                <w:color w:val="auto"/>
                <w:kern w:val="0"/>
                <w:sz w:val="24"/>
                <w:highlight w:val="none"/>
              </w:rPr>
              <w:t>，本次未进行声环境质量现状监测。</w:t>
            </w:r>
          </w:p>
          <w:p w14:paraId="0417802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4.</w:t>
            </w:r>
            <w:r>
              <w:rPr>
                <w:rFonts w:hint="default" w:ascii="Times New Roman" w:hAnsi="Times New Roman" w:cs="Times New Roman"/>
                <w:b/>
                <w:bCs/>
                <w:color w:val="auto"/>
                <w:kern w:val="0"/>
                <w:sz w:val="24"/>
                <w:szCs w:val="24"/>
                <w:highlight w:val="none"/>
                <w:lang w:val="en-US" w:eastAsia="zh-CN"/>
              </w:rPr>
              <w:t>生态环境现状</w:t>
            </w:r>
          </w:p>
          <w:p w14:paraId="710D81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sz w:val="24"/>
                <w:szCs w:val="24"/>
                <w:highlight w:val="none"/>
                <w:u w:val="none"/>
              </w:rPr>
              <w:t>本项目选址位于</w:t>
            </w:r>
            <w:r>
              <w:rPr>
                <w:rFonts w:hint="eastAsia" w:ascii="Times New Roman" w:hAnsi="Times New Roman" w:eastAsia="宋体" w:cs="Times New Roman"/>
                <w:color w:val="auto"/>
                <w:sz w:val="24"/>
                <w:szCs w:val="24"/>
                <w:highlight w:val="none"/>
                <w:lang w:val="en-US" w:eastAsia="zh-CN"/>
              </w:rPr>
              <w:t>山西省阳泉市盂县路家村镇石坡峪村（兴裕煤矿内）</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土地性质为</w:t>
            </w:r>
            <w:r>
              <w:rPr>
                <w:rFonts w:hint="eastAsia" w:ascii="Times New Roman" w:hAnsi="Times New Roman" w:cs="Times New Roman"/>
                <w:color w:val="auto"/>
                <w:sz w:val="24"/>
                <w:szCs w:val="24"/>
                <w:highlight w:val="none"/>
                <w:lang w:val="en-US" w:eastAsia="zh-CN"/>
              </w:rPr>
              <w:t>工业</w:t>
            </w:r>
            <w:r>
              <w:rPr>
                <w:rFonts w:hint="default" w:ascii="Times New Roman" w:hAnsi="Times New Roman" w:cs="Times New Roman"/>
                <w:color w:val="auto"/>
                <w:sz w:val="24"/>
                <w:szCs w:val="24"/>
                <w:highlight w:val="none"/>
                <w:lang w:val="en-US" w:eastAsia="zh-CN"/>
              </w:rPr>
              <w:t>用地，</w:t>
            </w:r>
            <w:r>
              <w:rPr>
                <w:rFonts w:hint="default" w:ascii="Times New Roman" w:hAnsi="Times New Roman" w:eastAsia="宋体" w:cs="Times New Roman"/>
                <w:color w:val="auto"/>
                <w:kern w:val="0"/>
                <w:sz w:val="24"/>
                <w:highlight w:val="none"/>
                <w:lang w:val="en-US" w:eastAsia="zh-CN"/>
              </w:rPr>
              <w:t>占地面积为</w:t>
            </w:r>
            <w:r>
              <w:rPr>
                <w:rFonts w:hint="eastAsia" w:ascii="Times New Roman" w:hAnsi="Times New Roman" w:eastAsia="宋体" w:cs="Times New Roman"/>
                <w:color w:val="auto"/>
                <w:sz w:val="24"/>
                <w:szCs w:val="24"/>
                <w:highlight w:val="none"/>
                <w:lang w:val="en-US" w:eastAsia="zh-CN"/>
              </w:rPr>
              <w:t>1000</w:t>
            </w:r>
            <w:r>
              <w:rPr>
                <w:rFonts w:hint="default" w:ascii="Times New Roman" w:hAnsi="Times New Roman" w:eastAsia="宋体" w:cs="Times New Roman"/>
                <w:color w:val="auto"/>
                <w:kern w:val="0"/>
                <w:sz w:val="24"/>
                <w:highlight w:val="none"/>
                <w:lang w:val="en-US" w:eastAsia="zh-CN"/>
              </w:rPr>
              <w:t>m</w:t>
            </w:r>
            <w:r>
              <w:rPr>
                <w:rFonts w:hint="default" w:ascii="Times New Roman" w:hAnsi="Times New Roman" w:eastAsia="宋体" w:cs="Times New Roman"/>
                <w:color w:val="auto"/>
                <w:kern w:val="0"/>
                <w:sz w:val="24"/>
                <w:highlight w:val="none"/>
                <w:vertAlign w:val="superscript"/>
                <w:lang w:val="en-US" w:eastAsia="zh-CN"/>
              </w:rPr>
              <w:t>2</w:t>
            </w:r>
            <w:r>
              <w:rPr>
                <w:rFonts w:hint="default" w:ascii="Times New Roman" w:hAnsi="Times New Roman" w:eastAsia="宋体" w:cs="Times New Roman"/>
                <w:color w:val="auto"/>
                <w:kern w:val="0"/>
                <w:sz w:val="24"/>
                <w:highlight w:val="none"/>
                <w:lang w:val="en-US" w:eastAsia="zh-CN"/>
              </w:rPr>
              <w:t>，项目四周自然植被主要以</w:t>
            </w:r>
            <w:r>
              <w:rPr>
                <w:rFonts w:hint="eastAsia" w:ascii="Times New Roman" w:hAnsi="Times New Roman" w:eastAsia="宋体" w:cs="Times New Roman"/>
                <w:color w:val="auto"/>
                <w:kern w:val="0"/>
                <w:sz w:val="24"/>
                <w:highlight w:val="none"/>
                <w:lang w:val="en-US" w:eastAsia="zh-CN"/>
              </w:rPr>
              <w:t>其他草地、灌木林地</w:t>
            </w:r>
            <w:r>
              <w:rPr>
                <w:rFonts w:hint="default" w:ascii="Times New Roman" w:hAnsi="Times New Roman" w:eastAsia="宋体" w:cs="Times New Roman"/>
                <w:color w:val="auto"/>
                <w:kern w:val="0"/>
                <w:sz w:val="24"/>
                <w:highlight w:val="none"/>
                <w:lang w:val="en-US" w:eastAsia="zh-CN"/>
              </w:rPr>
              <w:t>为主，区域内未见珍稀、濒危野生动、植物，无重要生态敏感点。</w:t>
            </w:r>
          </w:p>
          <w:p w14:paraId="0755FD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eastAsia" w:ascii="宋体" w:hAnsi="宋体" w:cs="宋体"/>
                <w:b/>
                <w:bCs/>
                <w:color w:val="auto"/>
                <w:kern w:val="0"/>
                <w:sz w:val="24"/>
                <w:highlight w:val="none"/>
              </w:rPr>
            </w:pPr>
            <w:r>
              <w:rPr>
                <w:rFonts w:hint="eastAsia" w:cs="宋体"/>
                <w:b/>
                <w:bCs/>
                <w:color w:val="auto"/>
                <w:kern w:val="0"/>
                <w:sz w:val="24"/>
                <w:highlight w:val="none"/>
                <w:lang w:eastAsia="zh-CN"/>
              </w:rPr>
              <w:t>5.</w:t>
            </w:r>
            <w:r>
              <w:rPr>
                <w:rFonts w:hint="eastAsia" w:ascii="宋体" w:hAnsi="宋体" w:cs="宋体"/>
                <w:b/>
                <w:bCs/>
                <w:color w:val="auto"/>
                <w:kern w:val="0"/>
                <w:sz w:val="24"/>
                <w:highlight w:val="none"/>
              </w:rPr>
              <w:t>地下水、土壤环境</w:t>
            </w:r>
          </w:p>
          <w:p w14:paraId="0E98CBC7">
            <w:pPr>
              <w:keepNext w:val="0"/>
              <w:keepLines w:val="0"/>
              <w:suppressLineNumbers w:val="0"/>
              <w:adjustRightInd w:val="0"/>
              <w:snapToGrid w:val="0"/>
              <w:spacing w:before="0" w:beforeAutospacing="0" w:after="0" w:afterAutospacing="0" w:line="360" w:lineRule="auto"/>
              <w:ind w:left="0" w:right="0"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项目所在地附近无水源地及水源保护区，</w:t>
            </w:r>
            <w:r>
              <w:rPr>
                <w:rFonts w:hint="eastAsia" w:ascii="宋体" w:hAnsi="宋体" w:cs="宋体"/>
                <w:color w:val="auto"/>
                <w:kern w:val="0"/>
                <w:sz w:val="24"/>
                <w:highlight w:val="none"/>
              </w:rPr>
              <w:t>本次评价要求</w:t>
            </w:r>
            <w:r>
              <w:rPr>
                <w:rFonts w:hint="eastAsia" w:ascii="宋体" w:hAnsi="宋体" w:cs="宋体"/>
                <w:color w:val="auto"/>
                <w:kern w:val="0"/>
                <w:sz w:val="24"/>
                <w:highlight w:val="none"/>
                <w:lang w:val="en-US" w:eastAsia="zh-CN"/>
              </w:rPr>
              <w:t>采取</w:t>
            </w:r>
            <w:r>
              <w:rPr>
                <w:rFonts w:hint="eastAsia" w:ascii="宋体" w:hAnsi="宋体" w:cs="宋体"/>
                <w:color w:val="auto"/>
                <w:kern w:val="0"/>
                <w:sz w:val="24"/>
                <w:highlight w:val="none"/>
              </w:rPr>
              <w:t>防渗措施，采取措施后，正常工况下不存在明显的</w:t>
            </w:r>
            <w:r>
              <w:rPr>
                <w:rFonts w:hint="eastAsia" w:ascii="宋体" w:hAnsi="宋体" w:cs="宋体"/>
                <w:color w:val="auto"/>
                <w:kern w:val="0"/>
                <w:sz w:val="24"/>
                <w:highlight w:val="none"/>
                <w:lang w:val="en-US" w:eastAsia="zh-CN"/>
              </w:rPr>
              <w:t>地下水</w:t>
            </w:r>
            <w:r>
              <w:rPr>
                <w:rFonts w:hint="eastAsia" w:ascii="宋体" w:hAnsi="宋体" w:cs="宋体"/>
                <w:color w:val="auto"/>
                <w:kern w:val="0"/>
                <w:sz w:val="24"/>
                <w:highlight w:val="none"/>
              </w:rPr>
              <w:t>污染途径，根据《建设项目环境影响报告表编制技术指南（污染影响类）</w:t>
            </w:r>
            <w:r>
              <w:rPr>
                <w:rFonts w:hint="eastAsia" w:ascii="宋体" w:hAnsi="宋体" w:cs="宋体"/>
                <w:color w:val="auto"/>
                <w:kern w:val="0"/>
                <w:sz w:val="24"/>
                <w:highlight w:val="none"/>
                <w:lang w:eastAsia="zh-CN"/>
              </w:rPr>
              <w:t>（试行）》</w:t>
            </w:r>
            <w:r>
              <w:rPr>
                <w:rFonts w:hint="eastAsia" w:ascii="宋体" w:hAnsi="宋体" w:cs="宋体"/>
                <w:color w:val="auto"/>
                <w:kern w:val="0"/>
                <w:sz w:val="24"/>
                <w:highlight w:val="none"/>
              </w:rPr>
              <w:t>，故不开展地下水、土壤环境现状调查。</w:t>
            </w:r>
          </w:p>
          <w:p w14:paraId="72E6B1B4">
            <w:pPr>
              <w:pStyle w:val="9"/>
              <w:keepNext w:val="0"/>
              <w:keepLines w:val="0"/>
              <w:suppressLineNumbers w:val="0"/>
              <w:spacing w:before="0" w:beforeAutospacing="0" w:afterAutospacing="0"/>
              <w:ind w:right="0"/>
              <w:rPr>
                <w:rFonts w:hint="eastAsia" w:ascii="宋体" w:hAnsi="宋体" w:cs="宋体"/>
                <w:color w:val="auto"/>
                <w:kern w:val="0"/>
                <w:sz w:val="24"/>
                <w:highlight w:val="none"/>
              </w:rPr>
            </w:pPr>
          </w:p>
          <w:p w14:paraId="02844E3A">
            <w:pPr>
              <w:pStyle w:val="40"/>
              <w:keepNext w:val="0"/>
              <w:keepLines w:val="0"/>
              <w:suppressLineNumbers w:val="0"/>
              <w:ind w:left="0"/>
              <w:rPr>
                <w:rFonts w:hint="eastAsia" w:ascii="宋体" w:hAnsi="宋体" w:cs="宋体"/>
                <w:color w:val="auto"/>
                <w:kern w:val="0"/>
                <w:sz w:val="24"/>
                <w:highlight w:val="none"/>
              </w:rPr>
            </w:pPr>
          </w:p>
          <w:p w14:paraId="74D904AC">
            <w:pPr>
              <w:pStyle w:val="41"/>
              <w:keepNext w:val="0"/>
              <w:keepLines w:val="0"/>
              <w:suppressLineNumbers w:val="0"/>
              <w:spacing w:beforeAutospacing="0" w:afterAutospacing="0"/>
              <w:ind w:left="0" w:right="0"/>
              <w:rPr>
                <w:rFonts w:hint="eastAsia" w:ascii="宋体" w:hAnsi="宋体" w:cs="宋体"/>
                <w:color w:val="auto"/>
                <w:kern w:val="0"/>
                <w:sz w:val="24"/>
                <w:highlight w:val="none"/>
              </w:rPr>
            </w:pPr>
          </w:p>
          <w:p w14:paraId="73A3DF5F">
            <w:pPr>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p w14:paraId="04A090B1">
            <w:pPr>
              <w:pStyle w:val="9"/>
              <w:keepNext w:val="0"/>
              <w:keepLines w:val="0"/>
              <w:suppressLineNumbers w:val="0"/>
              <w:spacing w:before="0" w:beforeAutospacing="0" w:afterAutospacing="0"/>
              <w:ind w:right="0"/>
              <w:rPr>
                <w:rFonts w:hint="default" w:ascii="Times New Roman" w:hAnsi="Times New Roman" w:cs="Times New Roman"/>
                <w:color w:val="auto"/>
                <w:highlight w:val="none"/>
              </w:rPr>
            </w:pPr>
          </w:p>
          <w:p w14:paraId="1797F942">
            <w:pPr>
              <w:pStyle w:val="40"/>
              <w:keepNext w:val="0"/>
              <w:keepLines w:val="0"/>
              <w:suppressLineNumbers w:val="0"/>
              <w:ind w:left="0"/>
              <w:rPr>
                <w:rFonts w:hint="default" w:ascii="Times New Roman" w:hAnsi="Times New Roman" w:cs="Times New Roman"/>
                <w:color w:val="auto"/>
                <w:highlight w:val="none"/>
              </w:rPr>
            </w:pPr>
          </w:p>
          <w:p w14:paraId="62798EA8">
            <w:pPr>
              <w:pStyle w:val="41"/>
              <w:keepNext w:val="0"/>
              <w:keepLines w:val="0"/>
              <w:suppressLineNumbers w:val="0"/>
              <w:spacing w:beforeAutospacing="0" w:afterAutospacing="0"/>
              <w:ind w:left="0" w:right="0"/>
              <w:rPr>
                <w:rFonts w:hint="default" w:ascii="Times New Roman" w:hAnsi="Times New Roman" w:cs="Times New Roman"/>
                <w:color w:val="auto"/>
                <w:highlight w:val="none"/>
              </w:rPr>
            </w:pPr>
          </w:p>
          <w:p w14:paraId="324D472A">
            <w:pPr>
              <w:pStyle w:val="9"/>
              <w:keepNext w:val="0"/>
              <w:keepLines w:val="0"/>
              <w:suppressLineNumbers w:val="0"/>
              <w:spacing w:before="0" w:beforeAutospacing="0" w:afterAutospacing="0"/>
              <w:ind w:right="0"/>
              <w:rPr>
                <w:rFonts w:hint="default" w:ascii="Times New Roman" w:hAnsi="Times New Roman" w:cs="Times New Roman"/>
                <w:color w:val="auto"/>
                <w:highlight w:val="none"/>
              </w:rPr>
            </w:pPr>
          </w:p>
        </w:tc>
      </w:tr>
    </w:tbl>
    <w:p w14:paraId="0E522820">
      <w:pPr>
        <w:adjustRightInd w:val="0"/>
        <w:snapToGrid w:val="0"/>
        <w:jc w:val="center"/>
        <w:rPr>
          <w:rFonts w:hint="eastAsia" w:ascii="宋体" w:hAnsi="宋体" w:cs="宋体"/>
          <w:color w:val="auto"/>
          <w:kern w:val="0"/>
          <w:szCs w:val="21"/>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8220"/>
      </w:tblGrid>
      <w:tr w14:paraId="798F45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800" w:type="dxa"/>
            <w:noWrap w:val="0"/>
            <w:vAlign w:val="center"/>
          </w:tcPr>
          <w:p w14:paraId="4C011C60">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境</w:t>
            </w:r>
          </w:p>
          <w:p w14:paraId="3223FD17">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保护</w:t>
            </w:r>
          </w:p>
          <w:p w14:paraId="39D10CC2">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目标</w:t>
            </w:r>
          </w:p>
        </w:tc>
        <w:tc>
          <w:tcPr>
            <w:tcW w:w="8190" w:type="dxa"/>
            <w:noWrap w:val="0"/>
            <w:vAlign w:val="center"/>
          </w:tcPr>
          <w:p w14:paraId="4B906C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本项目环境保护目标如下：</w:t>
            </w:r>
          </w:p>
          <w:p w14:paraId="6A34B93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（1）环境空气</w:t>
            </w:r>
          </w:p>
          <w:p w14:paraId="6329EAB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rPr>
            </w:pPr>
            <w:r>
              <w:rPr>
                <w:rFonts w:hint="eastAsia" w:ascii="Times New Roman" w:hAnsi="Times New Roman" w:cs="Times New Roman"/>
                <w:color w:val="auto"/>
                <w:sz w:val="24"/>
                <w:szCs w:val="24"/>
                <w:highlight w:val="none"/>
                <w:lang w:val="en-US" w:eastAsia="zh-CN"/>
              </w:rPr>
              <w:t>本项目厂界500米范围内，无自然保护区、文化区等保护目标，</w:t>
            </w:r>
            <w:r>
              <w:rPr>
                <w:rFonts w:hint="eastAsia" w:ascii="Times New Roman" w:hAnsi="Times New Roman" w:eastAsia="宋体" w:cs="Times New Roman"/>
                <w:color w:val="auto"/>
                <w:sz w:val="24"/>
                <w:szCs w:val="24"/>
                <w:highlight w:val="none"/>
                <w:lang w:val="en-US" w:eastAsia="zh-CN"/>
              </w:rPr>
              <w:t>敏感点为厂界东北侧270m处的石坡峪村。</w:t>
            </w:r>
          </w:p>
          <w:p w14:paraId="7A3332F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420" w:leftChars="200" w:right="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宋体" w:hAnsi="宋体" w:cs="宋体"/>
                <w:color w:val="auto"/>
                <w:kern w:val="0"/>
                <w:sz w:val="24"/>
                <w:szCs w:val="24"/>
                <w:highlight w:val="none"/>
                <w:lang w:val="en-US" w:eastAsia="zh-CN"/>
              </w:rPr>
              <w:t>（2）地下水</w:t>
            </w:r>
          </w:p>
          <w:p w14:paraId="1486EAD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本项目厂界500米范围内无地下水集中式饮用水水源和热水、矿泉水、温泉等特殊地下水资源。</w:t>
            </w:r>
          </w:p>
          <w:p w14:paraId="47F812F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420" w:leftChars="200" w:right="0"/>
              <w:jc w:val="both"/>
              <w:textAlignment w:val="auto"/>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（3）噪声</w:t>
            </w:r>
          </w:p>
          <w:p w14:paraId="4AE0EB3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厂界：</w:t>
            </w:r>
            <w:r>
              <w:rPr>
                <w:rFonts w:hint="eastAsia" w:ascii="Times New Roman" w:hAnsi="Times New Roman" w:cs="Times New Roman"/>
                <w:color w:val="auto"/>
                <w:sz w:val="24"/>
                <w:szCs w:val="24"/>
                <w:highlight w:val="none"/>
              </w:rPr>
              <w:t>项目厂界</w:t>
            </w:r>
            <w:r>
              <w:rPr>
                <w:rFonts w:hint="default" w:ascii="Times New Roman" w:hAnsi="Times New Roman" w:cs="Times New Roman"/>
                <w:color w:val="auto"/>
                <w:sz w:val="24"/>
                <w:szCs w:val="24"/>
                <w:highlight w:val="none"/>
              </w:rPr>
              <w:t>50m</w:t>
            </w:r>
            <w:r>
              <w:rPr>
                <w:rFonts w:hint="eastAsia" w:ascii="Times New Roman" w:hAnsi="Times New Roman" w:cs="Times New Roman"/>
                <w:color w:val="auto"/>
                <w:sz w:val="24"/>
                <w:szCs w:val="24"/>
                <w:highlight w:val="none"/>
              </w:rPr>
              <w:t>范围内没有声环境保护目标</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距离本项目最近的村庄为厂界东北侧270m处的</w:t>
            </w:r>
            <w:r>
              <w:rPr>
                <w:rFonts w:hint="eastAsia" w:ascii="Times New Roman" w:hAnsi="Times New Roman" w:eastAsia="宋体" w:cs="Times New Roman"/>
                <w:color w:val="auto"/>
                <w:sz w:val="24"/>
                <w:szCs w:val="24"/>
                <w:highlight w:val="none"/>
                <w:lang w:val="en-US" w:eastAsia="zh-CN"/>
              </w:rPr>
              <w:t>石坡峪村</w:t>
            </w:r>
            <w:r>
              <w:rPr>
                <w:rFonts w:hint="eastAsia" w:ascii="Times New Roman" w:hAnsi="Times New Roman" w:cs="Times New Roman"/>
                <w:color w:val="auto"/>
                <w:sz w:val="24"/>
                <w:szCs w:val="24"/>
                <w:highlight w:val="none"/>
                <w:lang w:val="en-US" w:eastAsia="zh-CN"/>
              </w:rPr>
              <w:t>。</w:t>
            </w:r>
          </w:p>
          <w:p w14:paraId="66229753">
            <w:pPr>
              <w:keepNext w:val="0"/>
              <w:keepLines w:val="0"/>
              <w:pageBreakBefore w:val="0"/>
              <w:widowControl w:val="0"/>
              <w:numPr>
                <w:ilvl w:val="0"/>
                <w:numId w:val="4"/>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生态环境</w:t>
            </w:r>
          </w:p>
          <w:p w14:paraId="610544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239" w:leftChars="114" w:right="0" w:firstLine="240" w:firstLineChars="1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项目用地范围内不存在生态环境保护目标。</w:t>
            </w:r>
          </w:p>
          <w:p w14:paraId="5684A806">
            <w:pPr>
              <w:keepNext w:val="0"/>
              <w:keepLines w:val="0"/>
              <w:pageBreakBefore w:val="0"/>
              <w:widowControl w:val="0"/>
              <w:numPr>
                <w:ilvl w:val="0"/>
                <w:numId w:val="4"/>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地表水</w:t>
            </w:r>
          </w:p>
          <w:p w14:paraId="14406BC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本项目最近地表水体为厂区东侧2.5km处的招山河。</w:t>
            </w:r>
          </w:p>
          <w:p w14:paraId="0A3C712D">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500" w:lineRule="exact"/>
              <w:ind w:left="0" w:leftChars="0" w:right="0" w:firstLine="0" w:firstLineChars="0"/>
              <w:jc w:val="center"/>
              <w:textAlignment w:val="center"/>
              <w:rPr>
                <w:rFonts w:hint="default" w:ascii="Times New Roman" w:hAnsi="Times New Roman" w:eastAsia="宋体" w:cs="Times New Roman"/>
                <w:b/>
                <w:bCs/>
                <w:color w:val="auto"/>
                <w:sz w:val="24"/>
                <w:szCs w:val="24"/>
                <w:highlight w:val="none"/>
                <w:lang w:val="en-US" w:eastAsia="zh-CN"/>
              </w:rPr>
            </w:pPr>
            <w:r>
              <w:rPr>
                <w:rFonts w:hint="eastAsia" w:hAnsi="Times New Roman" w:eastAsia="宋体" w:cs="Times New Roman"/>
                <w:b/>
                <w:bCs/>
                <w:color w:val="auto"/>
                <w:sz w:val="24"/>
                <w:szCs w:val="24"/>
                <w:highlight w:val="none"/>
                <w:lang w:val="en-US" w:eastAsia="zh-CN"/>
              </w:rPr>
              <w:t>表</w:t>
            </w:r>
            <w:r>
              <w:rPr>
                <w:rFonts w:hint="eastAsia" w:hAnsi="Times New Roman" w:cs="Times New Roman"/>
                <w:b/>
                <w:bCs/>
                <w:color w:val="auto"/>
                <w:sz w:val="24"/>
                <w:szCs w:val="24"/>
                <w:highlight w:val="none"/>
                <w:lang w:val="en-US" w:eastAsia="zh-CN"/>
              </w:rPr>
              <w:t xml:space="preserve">3-5 </w:t>
            </w:r>
            <w:r>
              <w:rPr>
                <w:rFonts w:hint="default" w:ascii="Times New Roman" w:hAnsi="Times New Roman" w:eastAsia="宋体" w:cs="Times New Roman"/>
                <w:b/>
                <w:bCs/>
                <w:color w:val="auto"/>
                <w:sz w:val="24"/>
                <w:szCs w:val="24"/>
                <w:highlight w:val="none"/>
                <w:lang w:val="en-US" w:eastAsia="zh-CN"/>
              </w:rPr>
              <w:t>环境保护目标一览表</w:t>
            </w:r>
          </w:p>
          <w:tbl>
            <w:tblPr>
              <w:tblStyle w:val="23"/>
              <w:tblW w:w="499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482"/>
              <w:gridCol w:w="1431"/>
              <w:gridCol w:w="970"/>
              <w:gridCol w:w="643"/>
              <w:gridCol w:w="935"/>
              <w:gridCol w:w="707"/>
              <w:gridCol w:w="2805"/>
            </w:tblGrid>
            <w:tr w14:paraId="42A99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302" w:type="pct"/>
                  <w:vMerge w:val="restart"/>
                  <w:tcBorders>
                    <w:tl2br w:val="nil"/>
                    <w:tr2bl w:val="nil"/>
                  </w:tcBorders>
                  <w:noWrap w:val="0"/>
                  <w:vAlign w:val="center"/>
                </w:tcPr>
                <w:p w14:paraId="23D302B2">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序号</w:t>
                  </w:r>
                </w:p>
              </w:tc>
              <w:tc>
                <w:tcPr>
                  <w:tcW w:w="897" w:type="pct"/>
                  <w:vMerge w:val="restart"/>
                  <w:tcBorders>
                    <w:tl2br w:val="nil"/>
                    <w:tr2bl w:val="nil"/>
                  </w:tcBorders>
                  <w:noWrap w:val="0"/>
                  <w:vAlign w:val="center"/>
                </w:tcPr>
                <w:p w14:paraId="7A432266">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保护类别</w:t>
                  </w:r>
                </w:p>
              </w:tc>
              <w:tc>
                <w:tcPr>
                  <w:tcW w:w="608" w:type="pct"/>
                  <w:vMerge w:val="restart"/>
                  <w:tcBorders>
                    <w:tl2br w:val="nil"/>
                    <w:tr2bl w:val="nil"/>
                  </w:tcBorders>
                  <w:noWrap w:val="0"/>
                  <w:vAlign w:val="center"/>
                </w:tcPr>
                <w:p w14:paraId="2B78ED48">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环境保护目标名称</w:t>
                  </w:r>
                </w:p>
              </w:tc>
              <w:tc>
                <w:tcPr>
                  <w:tcW w:w="989" w:type="pct"/>
                  <w:gridSpan w:val="2"/>
                  <w:tcBorders>
                    <w:tl2br w:val="nil"/>
                    <w:tr2bl w:val="nil"/>
                  </w:tcBorders>
                  <w:noWrap w:val="0"/>
                  <w:vAlign w:val="center"/>
                </w:tcPr>
                <w:p w14:paraId="5B5B02DE">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与厂界位置关系</w:t>
                  </w:r>
                </w:p>
              </w:tc>
              <w:tc>
                <w:tcPr>
                  <w:tcW w:w="443" w:type="pct"/>
                  <w:vMerge w:val="restart"/>
                  <w:tcBorders>
                    <w:tl2br w:val="nil"/>
                    <w:tr2bl w:val="nil"/>
                  </w:tcBorders>
                  <w:noWrap w:val="0"/>
                  <w:vAlign w:val="center"/>
                </w:tcPr>
                <w:p w14:paraId="25385F4F">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保护对象</w:t>
                  </w:r>
                </w:p>
              </w:tc>
              <w:tc>
                <w:tcPr>
                  <w:tcW w:w="1758" w:type="pct"/>
                  <w:vMerge w:val="restart"/>
                  <w:tcBorders>
                    <w:tl2br w:val="nil"/>
                    <w:tr2bl w:val="nil"/>
                  </w:tcBorders>
                  <w:noWrap w:val="0"/>
                  <w:vAlign w:val="center"/>
                </w:tcPr>
                <w:p w14:paraId="01184C34">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保护要求</w:t>
                  </w:r>
                </w:p>
              </w:tc>
            </w:tr>
            <w:tr w14:paraId="39F4F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302" w:type="pct"/>
                  <w:vMerge w:val="continue"/>
                  <w:tcBorders>
                    <w:tl2br w:val="nil"/>
                    <w:tr2bl w:val="nil"/>
                  </w:tcBorders>
                  <w:noWrap w:val="0"/>
                  <w:vAlign w:val="center"/>
                </w:tcPr>
                <w:p w14:paraId="498B11D5">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p>
              </w:tc>
              <w:tc>
                <w:tcPr>
                  <w:tcW w:w="897" w:type="pct"/>
                  <w:vMerge w:val="continue"/>
                  <w:tcBorders>
                    <w:tl2br w:val="nil"/>
                    <w:tr2bl w:val="nil"/>
                  </w:tcBorders>
                  <w:noWrap w:val="0"/>
                  <w:vAlign w:val="center"/>
                </w:tcPr>
                <w:p w14:paraId="19623FC7">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p>
              </w:tc>
              <w:tc>
                <w:tcPr>
                  <w:tcW w:w="608" w:type="pct"/>
                  <w:vMerge w:val="continue"/>
                  <w:tcBorders>
                    <w:tl2br w:val="nil"/>
                    <w:tr2bl w:val="nil"/>
                  </w:tcBorders>
                  <w:noWrap w:val="0"/>
                  <w:vAlign w:val="center"/>
                </w:tcPr>
                <w:p w14:paraId="4B75932B">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p>
              </w:tc>
              <w:tc>
                <w:tcPr>
                  <w:tcW w:w="403" w:type="pct"/>
                  <w:tcBorders>
                    <w:tl2br w:val="nil"/>
                    <w:tr2bl w:val="nil"/>
                  </w:tcBorders>
                  <w:noWrap w:val="0"/>
                  <w:vAlign w:val="center"/>
                </w:tcPr>
                <w:p w14:paraId="102001FB">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方位</w:t>
                  </w:r>
                </w:p>
              </w:tc>
              <w:tc>
                <w:tcPr>
                  <w:tcW w:w="586" w:type="pct"/>
                  <w:tcBorders>
                    <w:tl2br w:val="nil"/>
                    <w:tr2bl w:val="nil"/>
                  </w:tcBorders>
                  <w:noWrap w:val="0"/>
                  <w:vAlign w:val="center"/>
                </w:tcPr>
                <w:p w14:paraId="1E2FBFD3">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距离（</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lang w:eastAsia="zh-CN"/>
                    </w:rPr>
                    <w:t>）</w:t>
                  </w:r>
                </w:p>
              </w:tc>
              <w:tc>
                <w:tcPr>
                  <w:tcW w:w="443" w:type="pct"/>
                  <w:vMerge w:val="continue"/>
                  <w:tcBorders>
                    <w:tl2br w:val="nil"/>
                    <w:tr2bl w:val="nil"/>
                  </w:tcBorders>
                  <w:noWrap w:val="0"/>
                  <w:vAlign w:val="center"/>
                </w:tcPr>
                <w:p w14:paraId="374D7481">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p>
              </w:tc>
              <w:tc>
                <w:tcPr>
                  <w:tcW w:w="1758" w:type="pct"/>
                  <w:vMerge w:val="continue"/>
                  <w:tcBorders>
                    <w:tl2br w:val="nil"/>
                    <w:tr2bl w:val="nil"/>
                  </w:tcBorders>
                  <w:noWrap w:val="0"/>
                  <w:vAlign w:val="center"/>
                </w:tcPr>
                <w:p w14:paraId="3C480A00">
                  <w:pPr>
                    <w:pStyle w:val="54"/>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eastAsia="zh-CN"/>
                    </w:rPr>
                  </w:pPr>
                </w:p>
              </w:tc>
            </w:tr>
            <w:tr w14:paraId="40A3E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54" w:hRule="atLeast"/>
              </w:trPr>
              <w:tc>
                <w:tcPr>
                  <w:tcW w:w="302" w:type="pct"/>
                  <w:tcBorders>
                    <w:tl2br w:val="nil"/>
                    <w:tr2bl w:val="nil"/>
                  </w:tcBorders>
                  <w:noWrap w:val="0"/>
                  <w:vAlign w:val="center"/>
                </w:tcPr>
                <w:p w14:paraId="67FB34CF">
                  <w:pPr>
                    <w:pStyle w:val="54"/>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w:t>
                  </w:r>
                </w:p>
              </w:tc>
              <w:tc>
                <w:tcPr>
                  <w:tcW w:w="897" w:type="pct"/>
                  <w:tcBorders>
                    <w:tl2br w:val="nil"/>
                    <w:tr2bl w:val="nil"/>
                  </w:tcBorders>
                  <w:noWrap w:val="0"/>
                  <w:vAlign w:val="center"/>
                </w:tcPr>
                <w:p w14:paraId="3AAD4233">
                  <w:pPr>
                    <w:pStyle w:val="54"/>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声环境（</w:t>
                  </w:r>
                  <w:r>
                    <w:rPr>
                      <w:rFonts w:hint="eastAsia" w:ascii="Times New Roman" w:hAnsi="Times New Roman" w:cs="Times New Roman"/>
                      <w:color w:val="auto"/>
                      <w:szCs w:val="21"/>
                      <w:highlight w:val="none"/>
                      <w:lang w:val="en-US" w:eastAsia="zh-CN"/>
                    </w:rPr>
                    <w:t>厂界</w:t>
                  </w:r>
                  <w:r>
                    <w:rPr>
                      <w:rFonts w:hint="default" w:ascii="Times New Roman" w:hAnsi="Times New Roman" w:cs="Times New Roman"/>
                      <w:color w:val="auto"/>
                      <w:szCs w:val="21"/>
                      <w:highlight w:val="none"/>
                      <w:lang w:val="en-US" w:eastAsia="zh-CN"/>
                    </w:rPr>
                    <w:t>50m范围内</w:t>
                  </w:r>
                  <w:r>
                    <w:rPr>
                      <w:rFonts w:hint="default" w:ascii="Times New Roman" w:hAnsi="Times New Roman" w:cs="Times New Roman"/>
                      <w:color w:val="auto"/>
                      <w:szCs w:val="21"/>
                      <w:highlight w:val="none"/>
                      <w:lang w:eastAsia="zh-CN"/>
                    </w:rPr>
                    <w:t>）</w:t>
                  </w:r>
                </w:p>
              </w:tc>
              <w:tc>
                <w:tcPr>
                  <w:tcW w:w="608" w:type="pct"/>
                  <w:tcBorders>
                    <w:tl2br w:val="nil"/>
                    <w:tr2bl w:val="nil"/>
                  </w:tcBorders>
                  <w:noWrap w:val="0"/>
                  <w:vAlign w:val="center"/>
                </w:tcPr>
                <w:p w14:paraId="4AC1AAC5">
                  <w:pPr>
                    <w:pStyle w:val="54"/>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Cs w:val="21"/>
                      <w:highlight w:val="none"/>
                      <w:lang w:eastAsia="zh-CN"/>
                    </w:rPr>
                  </w:pPr>
                  <w:r>
                    <w:rPr>
                      <w:rFonts w:hint="default" w:ascii="Times New Roman" w:hAnsi="Times New Roman" w:cs="Times New Roman"/>
                      <w:color w:val="auto"/>
                      <w:szCs w:val="21"/>
                      <w:highlight w:val="none"/>
                      <w:lang w:eastAsia="zh-CN"/>
                    </w:rPr>
                    <w:t>无</w:t>
                  </w:r>
                </w:p>
              </w:tc>
              <w:tc>
                <w:tcPr>
                  <w:tcW w:w="403" w:type="pct"/>
                  <w:tcBorders>
                    <w:tl2br w:val="nil"/>
                    <w:tr2bl w:val="nil"/>
                  </w:tcBorders>
                  <w:noWrap w:val="0"/>
                  <w:vAlign w:val="center"/>
                </w:tcPr>
                <w:p w14:paraId="716308F6">
                  <w:pPr>
                    <w:pStyle w:val="54"/>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586" w:type="pct"/>
                  <w:tcBorders>
                    <w:tl2br w:val="nil"/>
                    <w:tr2bl w:val="nil"/>
                  </w:tcBorders>
                  <w:noWrap w:val="0"/>
                  <w:vAlign w:val="center"/>
                </w:tcPr>
                <w:p w14:paraId="12B6248D">
                  <w:pPr>
                    <w:pStyle w:val="54"/>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443" w:type="pct"/>
                  <w:tcBorders>
                    <w:tl2br w:val="nil"/>
                    <w:tr2bl w:val="nil"/>
                  </w:tcBorders>
                  <w:noWrap w:val="0"/>
                  <w:vAlign w:val="center"/>
                </w:tcPr>
                <w:p w14:paraId="30CF67DA">
                  <w:pPr>
                    <w:pStyle w:val="54"/>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w:t>
                  </w:r>
                </w:p>
              </w:tc>
              <w:tc>
                <w:tcPr>
                  <w:tcW w:w="1758" w:type="pct"/>
                  <w:tcBorders>
                    <w:tl2br w:val="nil"/>
                    <w:tr2bl w:val="nil"/>
                  </w:tcBorders>
                  <w:noWrap w:val="0"/>
                  <w:vAlign w:val="center"/>
                </w:tcPr>
                <w:p w14:paraId="7DC66960">
                  <w:pPr>
                    <w:pStyle w:val="54"/>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宋体" w:hAnsi="宋体" w:eastAsia="宋体" w:cs="宋体"/>
                      <w:color w:val="auto"/>
                      <w:sz w:val="21"/>
                      <w:szCs w:val="21"/>
                      <w:highlight w:val="none"/>
                      <w:lang w:eastAsia="zh-CN"/>
                    </w:rPr>
                    <w:t>/</w:t>
                  </w:r>
                </w:p>
              </w:tc>
            </w:tr>
            <w:tr w14:paraId="5DC59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17" w:hRule="atLeast"/>
              </w:trPr>
              <w:tc>
                <w:tcPr>
                  <w:tcW w:w="302" w:type="pct"/>
                  <w:tcBorders>
                    <w:tl2br w:val="nil"/>
                    <w:tr2bl w:val="nil"/>
                  </w:tcBorders>
                  <w:noWrap w:val="0"/>
                  <w:vAlign w:val="center"/>
                </w:tcPr>
                <w:p w14:paraId="79E98130">
                  <w:pPr>
                    <w:pStyle w:val="54"/>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897" w:type="pct"/>
                  <w:tcBorders>
                    <w:tl2br w:val="nil"/>
                    <w:tr2bl w:val="nil"/>
                  </w:tcBorders>
                  <w:noWrap w:val="0"/>
                  <w:vAlign w:val="center"/>
                </w:tcPr>
                <w:p w14:paraId="1CA3B63E">
                  <w:pPr>
                    <w:pStyle w:val="54"/>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大气环境（</w:t>
                  </w:r>
                  <w:r>
                    <w:rPr>
                      <w:rFonts w:hint="eastAsia" w:ascii="Times New Roman" w:hAnsi="Times New Roman" w:cs="Times New Roman"/>
                      <w:color w:val="auto"/>
                      <w:highlight w:val="none"/>
                      <w:lang w:val="en-US" w:eastAsia="zh-CN"/>
                    </w:rPr>
                    <w:t>厂界</w:t>
                  </w:r>
                  <w:r>
                    <w:rPr>
                      <w:rFonts w:hint="default" w:ascii="Times New Roman" w:hAnsi="Times New Roman" w:cs="Times New Roman"/>
                      <w:color w:val="auto"/>
                      <w:highlight w:val="none"/>
                      <w:lang w:val="en-US" w:eastAsia="zh-CN"/>
                    </w:rPr>
                    <w:t>500m范围内</w:t>
                  </w:r>
                  <w:r>
                    <w:rPr>
                      <w:rFonts w:hint="default" w:ascii="Times New Roman" w:hAnsi="Times New Roman" w:cs="Times New Roman"/>
                      <w:color w:val="auto"/>
                      <w:highlight w:val="none"/>
                      <w:lang w:eastAsia="zh-CN"/>
                    </w:rPr>
                    <w:t>）</w:t>
                  </w:r>
                </w:p>
              </w:tc>
              <w:tc>
                <w:tcPr>
                  <w:tcW w:w="608" w:type="pct"/>
                  <w:tcBorders>
                    <w:tl2br w:val="nil"/>
                    <w:tr2bl w:val="nil"/>
                  </w:tcBorders>
                  <w:noWrap w:val="0"/>
                  <w:vAlign w:val="center"/>
                </w:tcPr>
                <w:p w14:paraId="278890C3">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石坡峪村</w:t>
                  </w:r>
                </w:p>
              </w:tc>
              <w:tc>
                <w:tcPr>
                  <w:tcW w:w="403" w:type="pct"/>
                  <w:tcBorders>
                    <w:tl2br w:val="nil"/>
                    <w:tr2bl w:val="nil"/>
                  </w:tcBorders>
                  <w:noWrap w:val="0"/>
                  <w:vAlign w:val="center"/>
                </w:tcPr>
                <w:p w14:paraId="008E455A">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highlight w:val="none"/>
                      <w:lang w:val="en-US" w:eastAsia="zh-CN"/>
                    </w:rPr>
                    <w:t>东北</w:t>
                  </w:r>
                </w:p>
              </w:tc>
              <w:tc>
                <w:tcPr>
                  <w:tcW w:w="586" w:type="pct"/>
                  <w:tcBorders>
                    <w:tl2br w:val="nil"/>
                    <w:tr2bl w:val="nil"/>
                  </w:tcBorders>
                  <w:noWrap w:val="0"/>
                  <w:vAlign w:val="center"/>
                </w:tcPr>
                <w:p w14:paraId="612A2FFB">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highlight w:val="none"/>
                      <w:lang w:val="en-US" w:eastAsia="zh-CN"/>
                    </w:rPr>
                    <w:t>270</w:t>
                  </w:r>
                </w:p>
              </w:tc>
              <w:tc>
                <w:tcPr>
                  <w:tcW w:w="443" w:type="pct"/>
                  <w:tcBorders>
                    <w:tl2br w:val="nil"/>
                    <w:tr2bl w:val="nil"/>
                  </w:tcBorders>
                  <w:noWrap w:val="0"/>
                  <w:vAlign w:val="center"/>
                </w:tcPr>
                <w:p w14:paraId="389D4AE5">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居民</w:t>
                  </w:r>
                </w:p>
              </w:tc>
              <w:tc>
                <w:tcPr>
                  <w:tcW w:w="1758" w:type="pct"/>
                  <w:tcBorders>
                    <w:tl2br w:val="nil"/>
                    <w:tr2bl w:val="nil"/>
                  </w:tcBorders>
                  <w:noWrap w:val="0"/>
                  <w:vAlign w:val="center"/>
                </w:tcPr>
                <w:p w14:paraId="68614575">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highlight w:val="none"/>
                      <w:lang w:val="en-US" w:eastAsia="zh-CN"/>
                    </w:rPr>
                  </w:pPr>
                  <w:r>
                    <w:rPr>
                      <w:rFonts w:hint="eastAsia" w:eastAsia="宋体" w:cs="Times New Roman"/>
                      <w:color w:val="auto"/>
                      <w:highlight w:val="none"/>
                      <w:lang w:val="en-US" w:eastAsia="zh-CN"/>
                    </w:rPr>
                    <w:t>《环境空气质量标准》（GB3095-2026）表1过渡阶段二级标准</w:t>
                  </w:r>
                </w:p>
              </w:tc>
            </w:tr>
            <w:tr w14:paraId="3FF6B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trPr>
              <w:tc>
                <w:tcPr>
                  <w:tcW w:w="302" w:type="pct"/>
                  <w:tcBorders>
                    <w:tl2br w:val="nil"/>
                    <w:tr2bl w:val="nil"/>
                  </w:tcBorders>
                  <w:noWrap w:val="0"/>
                  <w:vAlign w:val="center"/>
                </w:tcPr>
                <w:p w14:paraId="02B0CADF">
                  <w:pPr>
                    <w:pStyle w:val="54"/>
                    <w:keepNext w:val="0"/>
                    <w:keepLines w:val="0"/>
                    <w:suppressLineNumbers w:val="0"/>
                    <w:bidi w:val="0"/>
                    <w:spacing w:before="0" w:beforeAutospacing="0" w:after="0" w:afterAutospacing="0"/>
                    <w:ind w:left="0" w:right="0"/>
                    <w:jc w:val="center"/>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3</w:t>
                  </w:r>
                </w:p>
              </w:tc>
              <w:tc>
                <w:tcPr>
                  <w:tcW w:w="897" w:type="pct"/>
                  <w:tcBorders>
                    <w:tl2br w:val="nil"/>
                    <w:tr2bl w:val="nil"/>
                  </w:tcBorders>
                  <w:noWrap w:val="0"/>
                  <w:vAlign w:val="center"/>
                </w:tcPr>
                <w:p w14:paraId="45B6CC59">
                  <w:pPr>
                    <w:pStyle w:val="54"/>
                    <w:keepNext w:val="0"/>
                    <w:keepLines w:val="0"/>
                    <w:suppressLineNumbers w:val="0"/>
                    <w:bidi w:val="0"/>
                    <w:spacing w:before="0" w:beforeAutospacing="0" w:after="0" w:afterAutospacing="0"/>
                    <w:ind w:left="0" w:right="0"/>
                    <w:jc w:val="center"/>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地表水环境</w:t>
                  </w:r>
                </w:p>
              </w:tc>
              <w:tc>
                <w:tcPr>
                  <w:tcW w:w="608" w:type="pct"/>
                  <w:tcBorders>
                    <w:tl2br w:val="nil"/>
                    <w:tr2bl w:val="nil"/>
                  </w:tcBorders>
                  <w:noWrap w:val="0"/>
                  <w:vAlign w:val="center"/>
                </w:tcPr>
                <w:p w14:paraId="0589C25E">
                  <w:pPr>
                    <w:pStyle w:val="54"/>
                    <w:keepNext w:val="0"/>
                    <w:keepLines w:val="0"/>
                    <w:suppressLineNumbers w:val="0"/>
                    <w:bidi w:val="0"/>
                    <w:spacing w:before="0" w:beforeAutospacing="0" w:after="0" w:afterAutospacing="0"/>
                    <w:ind w:left="0" w:right="0" w:firstLine="0" w:firstLineChars="0"/>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招山河</w:t>
                  </w:r>
                </w:p>
              </w:tc>
              <w:tc>
                <w:tcPr>
                  <w:tcW w:w="403" w:type="pct"/>
                  <w:tcBorders>
                    <w:tl2br w:val="nil"/>
                    <w:tr2bl w:val="nil"/>
                  </w:tcBorders>
                  <w:noWrap w:val="0"/>
                  <w:vAlign w:val="center"/>
                </w:tcPr>
                <w:p w14:paraId="20AA2E07">
                  <w:pPr>
                    <w:pStyle w:val="54"/>
                    <w:keepNext w:val="0"/>
                    <w:keepLines w:val="0"/>
                    <w:suppressLineNumbers w:val="0"/>
                    <w:bidi w:val="0"/>
                    <w:spacing w:before="0" w:beforeAutospacing="0" w:after="0" w:afterAutospacing="0"/>
                    <w:ind w:left="0" w:right="0" w:firstLine="0" w:firstLine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东</w:t>
                  </w:r>
                </w:p>
              </w:tc>
              <w:tc>
                <w:tcPr>
                  <w:tcW w:w="586" w:type="pct"/>
                  <w:tcBorders>
                    <w:tl2br w:val="nil"/>
                    <w:tr2bl w:val="nil"/>
                  </w:tcBorders>
                  <w:noWrap w:val="0"/>
                  <w:vAlign w:val="center"/>
                </w:tcPr>
                <w:p w14:paraId="25E7C82A">
                  <w:pPr>
                    <w:pStyle w:val="54"/>
                    <w:keepNext w:val="0"/>
                    <w:keepLines w:val="0"/>
                    <w:suppressLineNumbers w:val="0"/>
                    <w:bidi w:val="0"/>
                    <w:spacing w:before="0" w:beforeAutospacing="0" w:after="0" w:afterAutospacing="0"/>
                    <w:ind w:left="0" w:right="0" w:firstLine="0" w:firstLine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2500</w:t>
                  </w:r>
                </w:p>
              </w:tc>
              <w:tc>
                <w:tcPr>
                  <w:tcW w:w="443" w:type="pct"/>
                  <w:tcBorders>
                    <w:tl2br w:val="nil"/>
                    <w:tr2bl w:val="nil"/>
                  </w:tcBorders>
                  <w:noWrap w:val="0"/>
                  <w:vAlign w:val="center"/>
                </w:tcPr>
                <w:p w14:paraId="195EF448">
                  <w:pPr>
                    <w:pStyle w:val="54"/>
                    <w:keepNext w:val="0"/>
                    <w:keepLines w:val="0"/>
                    <w:suppressLineNumbers w:val="0"/>
                    <w:bidi w:val="0"/>
                    <w:spacing w:before="0" w:beforeAutospacing="0" w:after="0" w:afterAutospacing="0"/>
                    <w:ind w:left="0" w:right="0" w:firstLine="0" w:firstLineChars="0"/>
                    <w:jc w:val="center"/>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地表水</w:t>
                  </w:r>
                </w:p>
              </w:tc>
              <w:tc>
                <w:tcPr>
                  <w:tcW w:w="1758" w:type="pct"/>
                  <w:tcBorders>
                    <w:tl2br w:val="nil"/>
                    <w:tr2bl w:val="nil"/>
                  </w:tcBorders>
                  <w:noWrap w:val="0"/>
                  <w:vAlign w:val="center"/>
                </w:tcPr>
                <w:p w14:paraId="581A92CC">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 w:val="21"/>
                      <w:szCs w:val="21"/>
                      <w:highlight w:val="none"/>
                    </w:rPr>
                    <w:t>《地表水环境质量标准》（GB3838—2002）类标准</w:t>
                  </w:r>
                </w:p>
              </w:tc>
            </w:tr>
            <w:tr w14:paraId="0AB2F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trPr>
              <w:tc>
                <w:tcPr>
                  <w:tcW w:w="302" w:type="pct"/>
                  <w:tcBorders>
                    <w:tl2br w:val="nil"/>
                    <w:tr2bl w:val="nil"/>
                  </w:tcBorders>
                  <w:noWrap w:val="0"/>
                  <w:vAlign w:val="center"/>
                </w:tcPr>
                <w:p w14:paraId="52F682D5">
                  <w:pPr>
                    <w:pStyle w:val="54"/>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w:t>
                  </w:r>
                </w:p>
              </w:tc>
              <w:tc>
                <w:tcPr>
                  <w:tcW w:w="897" w:type="pct"/>
                  <w:tcBorders>
                    <w:tl2br w:val="nil"/>
                    <w:tr2bl w:val="nil"/>
                  </w:tcBorders>
                  <w:noWrap w:val="0"/>
                  <w:vAlign w:val="center"/>
                </w:tcPr>
                <w:p w14:paraId="1CBA90DE">
                  <w:pPr>
                    <w:pStyle w:val="54"/>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地下水环境（</w:t>
                  </w:r>
                  <w:r>
                    <w:rPr>
                      <w:rFonts w:hint="default" w:ascii="Times New Roman" w:hAnsi="Times New Roman" w:cs="Times New Roman"/>
                      <w:color w:val="auto"/>
                      <w:highlight w:val="none"/>
                      <w:lang w:val="en-US" w:eastAsia="zh-CN"/>
                    </w:rPr>
                    <w:t>500m范围内</w:t>
                  </w:r>
                  <w:r>
                    <w:rPr>
                      <w:rFonts w:hint="default" w:ascii="Times New Roman" w:hAnsi="Times New Roman" w:cs="Times New Roman"/>
                      <w:color w:val="auto"/>
                      <w:highlight w:val="none"/>
                      <w:lang w:eastAsia="zh-CN"/>
                    </w:rPr>
                    <w:t>）</w:t>
                  </w:r>
                </w:p>
              </w:tc>
              <w:tc>
                <w:tcPr>
                  <w:tcW w:w="608" w:type="pct"/>
                  <w:tcBorders>
                    <w:tl2br w:val="nil"/>
                    <w:tr2bl w:val="nil"/>
                  </w:tcBorders>
                  <w:noWrap w:val="0"/>
                  <w:vAlign w:val="center"/>
                </w:tcPr>
                <w:p w14:paraId="68785CE9">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无</w:t>
                  </w:r>
                </w:p>
              </w:tc>
              <w:tc>
                <w:tcPr>
                  <w:tcW w:w="403" w:type="pct"/>
                  <w:tcBorders>
                    <w:tl2br w:val="nil"/>
                    <w:tr2bl w:val="nil"/>
                  </w:tcBorders>
                  <w:noWrap w:val="0"/>
                  <w:vAlign w:val="center"/>
                </w:tcPr>
                <w:p w14:paraId="18F4D25D">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w:t>
                  </w:r>
                </w:p>
              </w:tc>
              <w:tc>
                <w:tcPr>
                  <w:tcW w:w="586" w:type="pct"/>
                  <w:tcBorders>
                    <w:tl2br w:val="nil"/>
                    <w:tr2bl w:val="nil"/>
                  </w:tcBorders>
                  <w:noWrap w:val="0"/>
                  <w:vAlign w:val="center"/>
                </w:tcPr>
                <w:p w14:paraId="7CDE2FF8">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w:t>
                  </w:r>
                </w:p>
              </w:tc>
              <w:tc>
                <w:tcPr>
                  <w:tcW w:w="443" w:type="pct"/>
                  <w:tcBorders>
                    <w:tl2br w:val="nil"/>
                    <w:tr2bl w:val="nil"/>
                  </w:tcBorders>
                  <w:noWrap w:val="0"/>
                  <w:vAlign w:val="center"/>
                </w:tcPr>
                <w:p w14:paraId="26E90496">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1758" w:type="pct"/>
                  <w:tcBorders>
                    <w:tl2br w:val="nil"/>
                    <w:tr2bl w:val="nil"/>
                  </w:tcBorders>
                  <w:noWrap w:val="0"/>
                  <w:vAlign w:val="center"/>
                </w:tcPr>
                <w:p w14:paraId="29253E65">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r>
            <w:tr w14:paraId="77367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302" w:type="pct"/>
                  <w:tcBorders>
                    <w:tl2br w:val="nil"/>
                    <w:tr2bl w:val="nil"/>
                  </w:tcBorders>
                  <w:noWrap w:val="0"/>
                  <w:vAlign w:val="center"/>
                </w:tcPr>
                <w:p w14:paraId="3F6CCC72">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w:t>
                  </w:r>
                </w:p>
              </w:tc>
              <w:tc>
                <w:tcPr>
                  <w:tcW w:w="897" w:type="pct"/>
                  <w:tcBorders>
                    <w:tl2br w:val="nil"/>
                    <w:tr2bl w:val="nil"/>
                  </w:tcBorders>
                  <w:noWrap w:val="0"/>
                  <w:vAlign w:val="center"/>
                </w:tcPr>
                <w:p w14:paraId="2E1C6516">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eastAsia="zh-CN"/>
                    </w:rPr>
                    <w:t>生态环境（占地范围内）</w:t>
                  </w:r>
                </w:p>
              </w:tc>
              <w:tc>
                <w:tcPr>
                  <w:tcW w:w="608" w:type="pct"/>
                  <w:tcBorders>
                    <w:tl2br w:val="nil"/>
                    <w:tr2bl w:val="nil"/>
                  </w:tcBorders>
                  <w:noWrap w:val="0"/>
                  <w:vAlign w:val="center"/>
                </w:tcPr>
                <w:p w14:paraId="55F89B54">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eastAsia="zh-CN"/>
                    </w:rPr>
                    <w:t>无</w:t>
                  </w:r>
                </w:p>
              </w:tc>
              <w:tc>
                <w:tcPr>
                  <w:tcW w:w="403" w:type="pct"/>
                  <w:tcBorders>
                    <w:tl2br w:val="nil"/>
                    <w:tr2bl w:val="nil"/>
                  </w:tcBorders>
                  <w:noWrap w:val="0"/>
                  <w:vAlign w:val="center"/>
                </w:tcPr>
                <w:p w14:paraId="5D7C9142">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w:t>
                  </w:r>
                </w:p>
              </w:tc>
              <w:tc>
                <w:tcPr>
                  <w:tcW w:w="586" w:type="pct"/>
                  <w:tcBorders>
                    <w:tl2br w:val="nil"/>
                    <w:tr2bl w:val="nil"/>
                  </w:tcBorders>
                  <w:noWrap w:val="0"/>
                  <w:vAlign w:val="center"/>
                </w:tcPr>
                <w:p w14:paraId="6B8C83F9">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w:t>
                  </w:r>
                </w:p>
              </w:tc>
              <w:tc>
                <w:tcPr>
                  <w:tcW w:w="443" w:type="pct"/>
                  <w:tcBorders>
                    <w:tl2br w:val="nil"/>
                    <w:tr2bl w:val="nil"/>
                  </w:tcBorders>
                  <w:noWrap w:val="0"/>
                  <w:vAlign w:val="center"/>
                </w:tcPr>
                <w:p w14:paraId="0089A681">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1758" w:type="pct"/>
                  <w:tcBorders>
                    <w:tl2br w:val="nil"/>
                    <w:tr2bl w:val="nil"/>
                  </w:tcBorders>
                  <w:noWrap w:val="0"/>
                  <w:vAlign w:val="center"/>
                </w:tcPr>
                <w:p w14:paraId="5EE203EB">
                  <w:pPr>
                    <w:pStyle w:val="54"/>
                    <w:keepNext w:val="0"/>
                    <w:keepLines w:val="0"/>
                    <w:suppressLineNumbers w:val="0"/>
                    <w:bidi w:val="0"/>
                    <w:spacing w:before="0" w:beforeAutospacing="0" w:after="0" w:afterAutospacing="0"/>
                    <w:ind w:left="0" w:right="0"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r>
          </w:tbl>
          <w:p w14:paraId="0A607833">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Cs w:val="21"/>
                <w:highlight w:val="none"/>
              </w:rPr>
            </w:pPr>
          </w:p>
        </w:tc>
      </w:tr>
      <w:tr w14:paraId="47EEA1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800" w:type="dxa"/>
            <w:noWrap w:val="0"/>
            <w:tcMar>
              <w:left w:w="28" w:type="dxa"/>
              <w:right w:w="28" w:type="dxa"/>
            </w:tcMar>
            <w:vAlign w:val="center"/>
          </w:tcPr>
          <w:p w14:paraId="31455F2E">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污染</w:t>
            </w:r>
          </w:p>
          <w:p w14:paraId="439B641C">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物排</w:t>
            </w:r>
          </w:p>
          <w:p w14:paraId="26AB922F">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放控</w:t>
            </w:r>
          </w:p>
          <w:p w14:paraId="5B9B7EE2">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制标</w:t>
            </w:r>
          </w:p>
          <w:p w14:paraId="349AE6A7">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准</w:t>
            </w:r>
          </w:p>
        </w:tc>
        <w:tc>
          <w:tcPr>
            <w:tcW w:w="8190" w:type="dxa"/>
            <w:noWrap w:val="0"/>
            <w:vAlign w:val="center"/>
          </w:tcPr>
          <w:p w14:paraId="0B15373D">
            <w:pPr>
              <w:keepNext w:val="0"/>
              <w:keepLines w:val="0"/>
              <w:suppressLineNumbers w:val="0"/>
              <w:adjustRightInd w:val="0"/>
              <w:snapToGrid w:val="0"/>
              <w:spacing w:before="0" w:beforeAutospacing="0" w:after="0" w:afterAutospacing="0" w:line="360" w:lineRule="auto"/>
              <w:ind w:left="0" w:right="0" w:firstLine="482" w:firstLineChars="200"/>
              <w:rPr>
                <w:rFonts w:hint="eastAsia" w:ascii="宋体" w:hAnsi="宋体" w:cs="宋体"/>
                <w:b/>
                <w:bCs/>
                <w:color w:val="auto"/>
                <w:kern w:val="0"/>
                <w:sz w:val="24"/>
                <w:highlight w:val="none"/>
              </w:rPr>
            </w:pPr>
            <w:r>
              <w:rPr>
                <w:rFonts w:hint="eastAsia" w:cs="宋体"/>
                <w:b/>
                <w:bCs/>
                <w:color w:val="auto"/>
                <w:kern w:val="0"/>
                <w:sz w:val="24"/>
                <w:highlight w:val="none"/>
                <w:lang w:eastAsia="zh-CN"/>
              </w:rPr>
              <w:t>1.</w:t>
            </w:r>
            <w:r>
              <w:rPr>
                <w:rFonts w:hint="eastAsia" w:ascii="宋体" w:hAnsi="宋体" w:cs="宋体"/>
                <w:b/>
                <w:bCs/>
                <w:color w:val="auto"/>
                <w:kern w:val="0"/>
                <w:sz w:val="24"/>
                <w:highlight w:val="none"/>
              </w:rPr>
              <w:t>废气</w:t>
            </w:r>
          </w:p>
          <w:p w14:paraId="4E90BB31">
            <w:pPr>
              <w:keepNext w:val="0"/>
              <w:keepLines w:val="0"/>
              <w:suppressLineNumbers w:val="0"/>
              <w:adjustRightInd w:val="0"/>
              <w:snapToGrid w:val="0"/>
              <w:spacing w:before="0" w:beforeAutospacing="0" w:after="0" w:afterAutospacing="0" w:line="460" w:lineRule="exact"/>
              <w:ind w:left="0" w:right="0" w:firstLine="480" w:firstLineChars="200"/>
              <w:rPr>
                <w:rFonts w:hint="default" w:ascii="Times New Roman" w:hAnsi="Times New Roman" w:eastAsia="宋体" w:cs="Times New Roman"/>
                <w:bCs/>
                <w:color w:val="auto"/>
                <w:sz w:val="24"/>
                <w:highlight w:val="none"/>
                <w:lang w:eastAsia="zh-CN"/>
              </w:rPr>
            </w:pPr>
            <w:r>
              <w:rPr>
                <w:rFonts w:hint="default" w:ascii="Times New Roman" w:hAnsi="Times New Roman" w:eastAsia="宋体" w:cs="Times New Roman"/>
                <w:bCs/>
                <w:color w:val="auto"/>
                <w:sz w:val="24"/>
                <w:highlight w:val="none"/>
                <w:lang w:eastAsia="zh-CN"/>
              </w:rPr>
              <w:t>本项目有组织大气污染物排放执行《玻璃工业大气污染物排放标准》（</w:t>
            </w:r>
            <w:r>
              <w:rPr>
                <w:rFonts w:hint="default" w:ascii="Times New Roman" w:hAnsi="Times New Roman" w:eastAsia="宋体" w:cs="Times New Roman"/>
                <w:bCs/>
                <w:color w:val="auto"/>
                <w:sz w:val="24"/>
                <w:highlight w:val="none"/>
                <w:lang w:val="en-US" w:eastAsia="zh-CN"/>
              </w:rPr>
              <w:t>GB26453-2022</w:t>
            </w:r>
            <w:r>
              <w:rPr>
                <w:rFonts w:hint="default" w:ascii="Times New Roman" w:hAnsi="Times New Roman" w:eastAsia="宋体" w:cs="Times New Roman"/>
                <w:bCs/>
                <w:color w:val="auto"/>
                <w:sz w:val="24"/>
                <w:highlight w:val="none"/>
                <w:lang w:eastAsia="zh-CN"/>
              </w:rPr>
              <w:t>）表</w:t>
            </w:r>
            <w:r>
              <w:rPr>
                <w:rFonts w:hint="default" w:ascii="Times New Roman" w:hAnsi="Times New Roman" w:eastAsia="宋体" w:cs="Times New Roman"/>
                <w:bCs/>
                <w:color w:val="auto"/>
                <w:sz w:val="24"/>
                <w:highlight w:val="none"/>
                <w:lang w:val="en-US" w:eastAsia="zh-CN"/>
              </w:rPr>
              <w:t>1</w:t>
            </w:r>
            <w:r>
              <w:rPr>
                <w:rFonts w:hint="default" w:ascii="Times New Roman" w:hAnsi="Times New Roman" w:eastAsia="宋体" w:cs="Times New Roman"/>
                <w:bCs/>
                <w:color w:val="auto"/>
                <w:sz w:val="24"/>
                <w:highlight w:val="none"/>
                <w:lang w:eastAsia="zh-CN"/>
              </w:rPr>
              <w:t>标准限值要求，厂区内无组织颗粒物执行“附录</w:t>
            </w:r>
            <w:r>
              <w:rPr>
                <w:rFonts w:hint="default" w:ascii="Times New Roman" w:hAnsi="Times New Roman" w:eastAsia="宋体" w:cs="Times New Roman"/>
                <w:bCs/>
                <w:color w:val="auto"/>
                <w:sz w:val="24"/>
                <w:highlight w:val="none"/>
                <w:lang w:val="en-US" w:eastAsia="zh-CN"/>
              </w:rPr>
              <w:t xml:space="preserve">B.1 </w:t>
            </w:r>
            <w:r>
              <w:rPr>
                <w:rFonts w:hint="default" w:ascii="Times New Roman" w:hAnsi="Times New Roman" w:eastAsia="宋体" w:cs="Times New Roman"/>
                <w:bCs/>
                <w:color w:val="auto"/>
                <w:sz w:val="24"/>
                <w:highlight w:val="none"/>
                <w:lang w:eastAsia="zh-CN"/>
              </w:rPr>
              <w:t>”标准限值要求，具体指标详见下表。</w:t>
            </w:r>
          </w:p>
          <w:p w14:paraId="152C4F09">
            <w:pPr>
              <w:pStyle w:val="6"/>
              <w:spacing w:before="0" w:beforeLines="0" w:line="500" w:lineRule="exact"/>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4"/>
                <w:szCs w:val="24"/>
                <w:highlight w:val="none"/>
              </w:rPr>
              <w:t xml:space="preserve">表 </w:t>
            </w:r>
            <w:r>
              <w:rPr>
                <w:rFonts w:hint="default" w:ascii="Times New Roman" w:hAnsi="Times New Roman" w:eastAsia="宋体" w:cs="Times New Roman"/>
                <w:b/>
                <w:bCs/>
                <w:color w:val="auto"/>
                <w:sz w:val="24"/>
                <w:szCs w:val="24"/>
                <w:highlight w:val="none"/>
                <w:lang w:val="en-US" w:eastAsia="zh-CN"/>
              </w:rPr>
              <w:t>3-</w:t>
            </w:r>
            <w:r>
              <w:rPr>
                <w:rFonts w:hint="eastAsia" w:ascii="Times New Roman" w:hAnsi="Times New Roman" w:eastAsia="宋体"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eastAsia="zh-CN"/>
              </w:rPr>
              <w:t>《玻璃工业大气污染物排放标准》（</w:t>
            </w:r>
            <w:r>
              <w:rPr>
                <w:rFonts w:hint="default" w:ascii="Times New Roman" w:hAnsi="Times New Roman" w:eastAsia="宋体" w:cs="Times New Roman"/>
                <w:b/>
                <w:bCs/>
                <w:color w:val="auto"/>
                <w:sz w:val="24"/>
                <w:szCs w:val="24"/>
                <w:highlight w:val="none"/>
                <w:lang w:val="en-US" w:eastAsia="zh-CN"/>
              </w:rPr>
              <w:t>GB26453-2022</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lang w:val="en-US" w:eastAsia="zh-CN"/>
              </w:rPr>
              <w:t xml:space="preserve"> 单位：mg/m</w:t>
            </w:r>
            <w:r>
              <w:rPr>
                <w:rFonts w:hint="default" w:ascii="Times New Roman" w:hAnsi="Times New Roman" w:eastAsia="宋体" w:cs="Times New Roman"/>
                <w:b/>
                <w:bCs/>
                <w:color w:val="auto"/>
                <w:sz w:val="24"/>
                <w:szCs w:val="24"/>
                <w:highlight w:val="none"/>
                <w:vertAlign w:val="superscript"/>
                <w:lang w:val="en-US" w:eastAsia="zh-CN"/>
              </w:rPr>
              <w:t>3</w:t>
            </w:r>
          </w:p>
          <w:tbl>
            <w:tblPr>
              <w:tblStyle w:val="24"/>
              <w:tblW w:w="7974" w:type="dxa"/>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425"/>
              <w:gridCol w:w="1395"/>
              <w:gridCol w:w="4458"/>
            </w:tblGrid>
            <w:tr w14:paraId="458B44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6" w:type="dxa"/>
                  <w:tcBorders>
                    <w:tl2br w:val="nil"/>
                    <w:tr2bl w:val="nil"/>
                  </w:tcBorders>
                  <w:noWrap w:val="0"/>
                  <w:vAlign w:val="top"/>
                </w:tcPr>
                <w:p w14:paraId="4069967F">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序号</w:t>
                  </w:r>
                </w:p>
              </w:tc>
              <w:tc>
                <w:tcPr>
                  <w:tcW w:w="1425" w:type="dxa"/>
                  <w:tcBorders>
                    <w:tl2br w:val="nil"/>
                    <w:tr2bl w:val="nil"/>
                  </w:tcBorders>
                  <w:noWrap w:val="0"/>
                  <w:vAlign w:val="top"/>
                </w:tcPr>
                <w:p w14:paraId="35EA98A3">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污染物项目</w:t>
                  </w:r>
                </w:p>
              </w:tc>
              <w:tc>
                <w:tcPr>
                  <w:tcW w:w="1395" w:type="dxa"/>
                  <w:tcBorders>
                    <w:tl2br w:val="nil"/>
                    <w:tr2bl w:val="nil"/>
                  </w:tcBorders>
                  <w:noWrap w:val="0"/>
                  <w:vAlign w:val="top"/>
                </w:tcPr>
                <w:p w14:paraId="03359A3C">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玻璃熔窑</w:t>
                  </w:r>
                </w:p>
              </w:tc>
              <w:tc>
                <w:tcPr>
                  <w:tcW w:w="4458" w:type="dxa"/>
                  <w:tcBorders>
                    <w:tl2br w:val="nil"/>
                    <w:tr2bl w:val="nil"/>
                  </w:tcBorders>
                  <w:noWrap w:val="0"/>
                  <w:vAlign w:val="top"/>
                </w:tcPr>
                <w:p w14:paraId="4955D81B">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原料称量、配料、碎玻璃及其他通风生产设施</w:t>
                  </w:r>
                </w:p>
              </w:tc>
            </w:tr>
            <w:tr w14:paraId="6B2DE0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6" w:type="dxa"/>
                  <w:tcBorders>
                    <w:tl2br w:val="nil"/>
                    <w:tr2bl w:val="nil"/>
                  </w:tcBorders>
                  <w:noWrap w:val="0"/>
                  <w:vAlign w:val="top"/>
                </w:tcPr>
                <w:p w14:paraId="6D5CDA80">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w:t>
                  </w:r>
                </w:p>
              </w:tc>
              <w:tc>
                <w:tcPr>
                  <w:tcW w:w="1425" w:type="dxa"/>
                  <w:tcBorders>
                    <w:tl2br w:val="nil"/>
                    <w:tr2bl w:val="nil"/>
                  </w:tcBorders>
                  <w:noWrap w:val="0"/>
                  <w:vAlign w:val="top"/>
                </w:tcPr>
                <w:p w14:paraId="6CDF1BF6">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颗粒物</w:t>
                  </w:r>
                </w:p>
              </w:tc>
              <w:tc>
                <w:tcPr>
                  <w:tcW w:w="1395" w:type="dxa"/>
                  <w:tcBorders>
                    <w:tl2br w:val="nil"/>
                    <w:tr2bl w:val="nil"/>
                  </w:tcBorders>
                  <w:noWrap w:val="0"/>
                  <w:vAlign w:val="top"/>
                </w:tcPr>
                <w:p w14:paraId="01475F6E">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30</w:t>
                  </w:r>
                </w:p>
              </w:tc>
              <w:tc>
                <w:tcPr>
                  <w:tcW w:w="4458" w:type="dxa"/>
                  <w:tcBorders>
                    <w:tl2br w:val="nil"/>
                    <w:tr2bl w:val="nil"/>
                  </w:tcBorders>
                  <w:noWrap w:val="0"/>
                  <w:vAlign w:val="top"/>
                </w:tcPr>
                <w:p w14:paraId="55604F7D">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30</w:t>
                  </w:r>
                </w:p>
              </w:tc>
            </w:tr>
            <w:tr w14:paraId="1446BC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6" w:type="dxa"/>
                  <w:tcBorders>
                    <w:tl2br w:val="nil"/>
                    <w:tr2bl w:val="nil"/>
                  </w:tcBorders>
                  <w:noWrap w:val="0"/>
                  <w:vAlign w:val="top"/>
                </w:tcPr>
                <w:p w14:paraId="208F06E4">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w:t>
                  </w:r>
                </w:p>
              </w:tc>
              <w:tc>
                <w:tcPr>
                  <w:tcW w:w="1425" w:type="dxa"/>
                  <w:tcBorders>
                    <w:tl2br w:val="nil"/>
                    <w:tr2bl w:val="nil"/>
                  </w:tcBorders>
                  <w:noWrap w:val="0"/>
                  <w:vAlign w:val="top"/>
                </w:tcPr>
                <w:p w14:paraId="7784722F">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二氧化硫</w:t>
                  </w:r>
                </w:p>
              </w:tc>
              <w:tc>
                <w:tcPr>
                  <w:tcW w:w="1395" w:type="dxa"/>
                  <w:tcBorders>
                    <w:tl2br w:val="nil"/>
                    <w:tr2bl w:val="nil"/>
                  </w:tcBorders>
                  <w:noWrap w:val="0"/>
                  <w:vAlign w:val="top"/>
                </w:tcPr>
                <w:p w14:paraId="766B57CB">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200</w:t>
                  </w:r>
                </w:p>
              </w:tc>
              <w:tc>
                <w:tcPr>
                  <w:tcW w:w="4458" w:type="dxa"/>
                  <w:tcBorders>
                    <w:tl2br w:val="nil"/>
                    <w:tr2bl w:val="nil"/>
                  </w:tcBorders>
                  <w:noWrap w:val="0"/>
                  <w:vAlign w:val="top"/>
                </w:tcPr>
                <w:p w14:paraId="1C549344">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r>
            <w:tr w14:paraId="164ABF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6" w:type="dxa"/>
                  <w:tcBorders>
                    <w:tl2br w:val="nil"/>
                    <w:tr2bl w:val="nil"/>
                  </w:tcBorders>
                  <w:noWrap w:val="0"/>
                  <w:vAlign w:val="top"/>
                </w:tcPr>
                <w:p w14:paraId="043C829B">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w:t>
                  </w:r>
                </w:p>
              </w:tc>
              <w:tc>
                <w:tcPr>
                  <w:tcW w:w="1425" w:type="dxa"/>
                  <w:tcBorders>
                    <w:tl2br w:val="nil"/>
                    <w:tr2bl w:val="nil"/>
                  </w:tcBorders>
                  <w:noWrap w:val="0"/>
                  <w:vAlign w:val="top"/>
                </w:tcPr>
                <w:p w14:paraId="7C236C70">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氮氧化物</w:t>
                  </w:r>
                </w:p>
              </w:tc>
              <w:tc>
                <w:tcPr>
                  <w:tcW w:w="1395" w:type="dxa"/>
                  <w:tcBorders>
                    <w:tl2br w:val="nil"/>
                    <w:tr2bl w:val="nil"/>
                  </w:tcBorders>
                  <w:noWrap w:val="0"/>
                  <w:vAlign w:val="top"/>
                </w:tcPr>
                <w:p w14:paraId="4C109E0A">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500</w:t>
                  </w:r>
                </w:p>
              </w:tc>
              <w:tc>
                <w:tcPr>
                  <w:tcW w:w="4458" w:type="dxa"/>
                  <w:tcBorders>
                    <w:tl2br w:val="nil"/>
                    <w:tr2bl w:val="nil"/>
                  </w:tcBorders>
                  <w:noWrap w:val="0"/>
                  <w:vAlign w:val="top"/>
                </w:tcPr>
                <w:p w14:paraId="27851B0B">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r>
            <w:tr w14:paraId="21135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6" w:type="dxa"/>
                  <w:tcBorders>
                    <w:tl2br w:val="nil"/>
                    <w:tr2bl w:val="nil"/>
                  </w:tcBorders>
                  <w:noWrap w:val="0"/>
                  <w:vAlign w:val="top"/>
                </w:tcPr>
                <w:p w14:paraId="707E3993">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w:t>
                  </w:r>
                </w:p>
              </w:tc>
              <w:tc>
                <w:tcPr>
                  <w:tcW w:w="1425" w:type="dxa"/>
                  <w:tcBorders>
                    <w:tl2br w:val="nil"/>
                    <w:tr2bl w:val="nil"/>
                  </w:tcBorders>
                  <w:noWrap w:val="0"/>
                  <w:vAlign w:val="top"/>
                </w:tcPr>
                <w:p w14:paraId="2D80C765">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氨</w:t>
                  </w:r>
                </w:p>
              </w:tc>
              <w:tc>
                <w:tcPr>
                  <w:tcW w:w="1395" w:type="dxa"/>
                  <w:tcBorders>
                    <w:tl2br w:val="nil"/>
                    <w:tr2bl w:val="nil"/>
                  </w:tcBorders>
                  <w:noWrap w:val="0"/>
                  <w:vAlign w:val="top"/>
                </w:tcPr>
                <w:p w14:paraId="2BE415A3">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w:t>
                  </w:r>
                </w:p>
              </w:tc>
              <w:tc>
                <w:tcPr>
                  <w:tcW w:w="4458" w:type="dxa"/>
                  <w:tcBorders>
                    <w:tl2br w:val="nil"/>
                    <w:tr2bl w:val="nil"/>
                  </w:tcBorders>
                  <w:noWrap w:val="0"/>
                  <w:vAlign w:val="top"/>
                </w:tcPr>
                <w:p w14:paraId="7374958D">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lang w:val="en-US" w:eastAsia="zh-CN"/>
                    </w:rPr>
                  </w:pPr>
                </w:p>
              </w:tc>
            </w:tr>
          </w:tbl>
          <w:p w14:paraId="309BB809">
            <w:pPr>
              <w:pStyle w:val="6"/>
              <w:spacing w:before="0" w:beforeLines="0" w:line="500" w:lineRule="exact"/>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3-</w:t>
            </w:r>
            <w:r>
              <w:rPr>
                <w:rFonts w:hint="eastAsia" w:ascii="Times New Roman" w:hAnsi="Times New Roman" w:eastAsia="宋体"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lang w:val="en-US" w:eastAsia="zh-CN"/>
              </w:rPr>
              <w:t xml:space="preserve"> 厂区内颗粒物无组织排放限值</w:t>
            </w:r>
          </w:p>
          <w:tbl>
            <w:tblPr>
              <w:tblStyle w:val="24"/>
              <w:tblW w:w="7974" w:type="dxa"/>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41"/>
              <w:gridCol w:w="1380"/>
              <w:gridCol w:w="2400"/>
              <w:gridCol w:w="2853"/>
            </w:tblGrid>
            <w:tr w14:paraId="3492D6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41" w:type="dxa"/>
                  <w:tcBorders>
                    <w:tl2br w:val="nil"/>
                    <w:tr2bl w:val="nil"/>
                  </w:tcBorders>
                  <w:noWrap w:val="0"/>
                  <w:vAlign w:val="center"/>
                </w:tcPr>
                <w:p w14:paraId="3D9A59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污染物项目</w:t>
                  </w:r>
                </w:p>
              </w:tc>
              <w:tc>
                <w:tcPr>
                  <w:tcW w:w="1380" w:type="dxa"/>
                  <w:tcBorders>
                    <w:tl2br w:val="nil"/>
                    <w:tr2bl w:val="nil"/>
                  </w:tcBorders>
                  <w:noWrap w:val="0"/>
                  <w:vAlign w:val="center"/>
                </w:tcPr>
                <w:p w14:paraId="148507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排放限值</w:t>
                  </w:r>
                </w:p>
              </w:tc>
              <w:tc>
                <w:tcPr>
                  <w:tcW w:w="2400" w:type="dxa"/>
                  <w:tcBorders>
                    <w:tl2br w:val="nil"/>
                    <w:tr2bl w:val="nil"/>
                  </w:tcBorders>
                  <w:noWrap w:val="0"/>
                  <w:vAlign w:val="center"/>
                </w:tcPr>
                <w:p w14:paraId="49A49A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限值含义</w:t>
                  </w:r>
                </w:p>
              </w:tc>
              <w:tc>
                <w:tcPr>
                  <w:tcW w:w="2853" w:type="dxa"/>
                  <w:tcBorders>
                    <w:tl2br w:val="nil"/>
                    <w:tr2bl w:val="nil"/>
                  </w:tcBorders>
                  <w:noWrap w:val="0"/>
                  <w:vAlign w:val="center"/>
                </w:tcPr>
                <w:p w14:paraId="597E36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无组织排放监控位置</w:t>
                  </w:r>
                </w:p>
              </w:tc>
            </w:tr>
            <w:tr w14:paraId="1016AE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41" w:type="dxa"/>
                  <w:tcBorders>
                    <w:tl2br w:val="nil"/>
                    <w:tr2bl w:val="nil"/>
                  </w:tcBorders>
                  <w:noWrap w:val="0"/>
                  <w:vAlign w:val="center"/>
                </w:tcPr>
                <w:p w14:paraId="5AFCC8D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颗粒物</w:t>
                  </w:r>
                </w:p>
              </w:tc>
              <w:tc>
                <w:tcPr>
                  <w:tcW w:w="1380" w:type="dxa"/>
                  <w:tcBorders>
                    <w:tl2br w:val="nil"/>
                    <w:tr2bl w:val="nil"/>
                  </w:tcBorders>
                  <w:noWrap w:val="0"/>
                  <w:vAlign w:val="center"/>
                </w:tcPr>
                <w:p w14:paraId="1E1FD8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3</w:t>
                  </w:r>
                </w:p>
              </w:tc>
              <w:tc>
                <w:tcPr>
                  <w:tcW w:w="2400" w:type="dxa"/>
                  <w:tcBorders>
                    <w:tl2br w:val="nil"/>
                    <w:tr2bl w:val="nil"/>
                  </w:tcBorders>
                  <w:noWrap w:val="0"/>
                  <w:vAlign w:val="center"/>
                </w:tcPr>
                <w:p w14:paraId="650EE5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监控点1h平均浓度值</w:t>
                  </w:r>
                </w:p>
              </w:tc>
              <w:tc>
                <w:tcPr>
                  <w:tcW w:w="2853" w:type="dxa"/>
                  <w:tcBorders>
                    <w:tl2br w:val="nil"/>
                    <w:tr2bl w:val="nil"/>
                  </w:tcBorders>
                  <w:noWrap w:val="0"/>
                  <w:vAlign w:val="center"/>
                </w:tcPr>
                <w:p w14:paraId="7546A5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在厂房外设置监控点</w:t>
                  </w:r>
                </w:p>
              </w:tc>
            </w:tr>
          </w:tbl>
          <w:p w14:paraId="1EFA7EDA">
            <w:pPr>
              <w:keepNext w:val="0"/>
              <w:keepLines w:val="0"/>
              <w:suppressLineNumbers w:val="0"/>
              <w:adjustRightInd w:val="0"/>
              <w:snapToGrid w:val="0"/>
              <w:spacing w:before="0" w:beforeAutospacing="0" w:after="0" w:afterAutospacing="0" w:line="460" w:lineRule="exact"/>
              <w:ind w:left="0" w:right="0" w:firstLine="480" w:firstLineChars="200"/>
              <w:rPr>
                <w:rFonts w:hint="default" w:ascii="Times New Roman" w:hAnsi="Times New Roman" w:eastAsia="宋体" w:cs="Times New Roman"/>
                <w:bCs/>
                <w:color w:val="auto"/>
                <w:sz w:val="24"/>
                <w:highlight w:val="none"/>
                <w:lang w:eastAsia="zh-CN"/>
              </w:rPr>
            </w:pPr>
            <w:r>
              <w:rPr>
                <w:rFonts w:hint="default" w:ascii="Times New Roman" w:hAnsi="Times New Roman" w:eastAsia="宋体" w:cs="Times New Roman"/>
                <w:bCs/>
                <w:color w:val="auto"/>
                <w:sz w:val="24"/>
                <w:highlight w:val="none"/>
                <w:lang w:eastAsia="zh-CN"/>
              </w:rPr>
              <w:t>（</w:t>
            </w:r>
            <w:r>
              <w:rPr>
                <w:rFonts w:hint="default" w:ascii="Times New Roman" w:hAnsi="Times New Roman" w:eastAsia="宋体" w:cs="Times New Roman"/>
                <w:bCs/>
                <w:color w:val="auto"/>
                <w:sz w:val="24"/>
                <w:highlight w:val="none"/>
                <w:lang w:val="en-US" w:eastAsia="zh-CN"/>
              </w:rPr>
              <w:t>2</w:t>
            </w:r>
            <w:r>
              <w:rPr>
                <w:rFonts w:hint="default" w:ascii="Times New Roman" w:hAnsi="Times New Roman" w:eastAsia="宋体" w:cs="Times New Roman"/>
                <w:bCs/>
                <w:color w:val="auto"/>
                <w:sz w:val="24"/>
                <w:highlight w:val="none"/>
                <w:lang w:eastAsia="zh-CN"/>
              </w:rPr>
              <w:t>）其他要求</w:t>
            </w:r>
          </w:p>
          <w:p w14:paraId="434633BA">
            <w:pPr>
              <w:keepNext w:val="0"/>
              <w:keepLines w:val="0"/>
              <w:suppressLineNumbers w:val="0"/>
              <w:adjustRightInd w:val="0"/>
              <w:snapToGrid w:val="0"/>
              <w:spacing w:before="0" w:beforeAutospacing="0" w:after="0" w:afterAutospacing="0" w:line="460" w:lineRule="exact"/>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Cs/>
                <w:color w:val="auto"/>
                <w:sz w:val="24"/>
                <w:highlight w:val="none"/>
              </w:rPr>
              <w:t>本项目</w:t>
            </w:r>
            <w:r>
              <w:rPr>
                <w:rFonts w:hint="default" w:ascii="Times New Roman" w:hAnsi="Times New Roman" w:eastAsia="宋体" w:cs="Times New Roman"/>
                <w:bCs/>
                <w:color w:val="auto"/>
                <w:sz w:val="24"/>
                <w:highlight w:val="none"/>
                <w:lang w:eastAsia="zh-CN"/>
              </w:rPr>
              <w:t>玻璃微珠烧制炉</w:t>
            </w:r>
            <w:r>
              <w:rPr>
                <w:rFonts w:hint="default" w:ascii="Times New Roman" w:hAnsi="Times New Roman" w:eastAsia="宋体" w:cs="Times New Roman"/>
                <w:bCs/>
                <w:color w:val="auto"/>
                <w:sz w:val="24"/>
                <w:highlight w:val="none"/>
              </w:rPr>
              <w:t>废气</w:t>
            </w:r>
            <w:r>
              <w:rPr>
                <w:rFonts w:hint="default" w:ascii="Times New Roman" w:hAnsi="Times New Roman" w:eastAsia="宋体" w:cs="Times New Roman"/>
                <w:bCs/>
                <w:color w:val="auto"/>
                <w:sz w:val="24"/>
                <w:highlight w:val="none"/>
                <w:lang w:eastAsia="zh-CN"/>
              </w:rPr>
              <w:t>同时</w:t>
            </w:r>
            <w:r>
              <w:rPr>
                <w:rFonts w:hint="default" w:ascii="Times New Roman" w:hAnsi="Times New Roman" w:eastAsia="宋体" w:cs="Times New Roman"/>
                <w:bCs/>
                <w:color w:val="auto"/>
                <w:sz w:val="24"/>
                <w:highlight w:val="none"/>
              </w:rPr>
              <w:t>参照</w:t>
            </w:r>
            <w:r>
              <w:rPr>
                <w:rFonts w:hint="default" w:ascii="Times New Roman" w:hAnsi="Times New Roman" w:eastAsia="宋体" w:cs="Times New Roman"/>
                <w:bCs/>
                <w:color w:val="auto"/>
                <w:sz w:val="24"/>
                <w:highlight w:val="none"/>
                <w:lang w:eastAsia="zh-CN"/>
              </w:rPr>
              <w:t>执行</w:t>
            </w:r>
            <w:r>
              <w:rPr>
                <w:rFonts w:hint="default"/>
                <w:b w:val="0"/>
                <w:color w:val="auto"/>
                <w:sz w:val="24"/>
                <w:highlight w:val="none"/>
                <w:lang w:eastAsia="zh-CN"/>
              </w:rPr>
              <w:t>《山西省工业炉窑大气污染综合治理实施方案》（晋环大气</w:t>
            </w:r>
            <w:r>
              <w:rPr>
                <w:rFonts w:hint="default"/>
                <w:b w:val="0"/>
                <w:color w:val="auto"/>
                <w:sz w:val="24"/>
                <w:highlight w:val="none"/>
              </w:rPr>
              <w:t>〔</w:t>
            </w:r>
            <w:r>
              <w:rPr>
                <w:rFonts w:hint="default"/>
                <w:b w:val="0"/>
                <w:color w:val="auto"/>
                <w:sz w:val="24"/>
                <w:highlight w:val="none"/>
                <w:lang w:val="en-US" w:eastAsia="zh-CN"/>
              </w:rPr>
              <w:t>2019</w:t>
            </w:r>
            <w:r>
              <w:rPr>
                <w:rFonts w:hint="default"/>
                <w:b w:val="0"/>
                <w:color w:val="auto"/>
                <w:sz w:val="24"/>
                <w:highlight w:val="none"/>
              </w:rPr>
              <w:t>〕</w:t>
            </w:r>
            <w:r>
              <w:rPr>
                <w:rFonts w:hint="default"/>
                <w:b w:val="0"/>
                <w:color w:val="auto"/>
                <w:sz w:val="24"/>
                <w:highlight w:val="none"/>
                <w:lang w:val="en-US" w:eastAsia="zh-CN"/>
              </w:rPr>
              <w:t>164号</w:t>
            </w:r>
            <w:r>
              <w:rPr>
                <w:rFonts w:hint="default"/>
                <w:b w:val="0"/>
                <w:color w:val="auto"/>
                <w:sz w:val="24"/>
                <w:highlight w:val="none"/>
                <w:lang w:eastAsia="zh-CN"/>
              </w:rPr>
              <w:t>）</w:t>
            </w:r>
            <w:r>
              <w:rPr>
                <w:rFonts w:hint="default" w:ascii="Times New Roman" w:hAnsi="Times New Roman" w:eastAsia="宋体" w:cs="Times New Roman"/>
                <w:bCs/>
                <w:color w:val="auto"/>
                <w:sz w:val="24"/>
                <w:highlight w:val="none"/>
              </w:rPr>
              <w:t>的有关规定，标准值详见</w:t>
            </w:r>
            <w:r>
              <w:rPr>
                <w:rFonts w:hint="default" w:ascii="Times New Roman" w:hAnsi="Times New Roman" w:eastAsia="宋体" w:cs="Times New Roman"/>
                <w:color w:val="auto"/>
                <w:sz w:val="24"/>
                <w:highlight w:val="none"/>
              </w:rPr>
              <w:t>下表。</w:t>
            </w:r>
          </w:p>
          <w:p w14:paraId="50858AE0">
            <w:pPr>
              <w:pStyle w:val="6"/>
              <w:spacing w:before="0" w:beforeLines="0" w:line="50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3-</w:t>
            </w:r>
            <w:r>
              <w:rPr>
                <w:rFonts w:hint="eastAsia" w:ascii="Times New Roman" w:hAnsi="Times New Roman" w:eastAsia="宋体"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rPr>
              <w:t xml:space="preserve"> </w:t>
            </w:r>
            <w:r>
              <w:rPr>
                <w:rFonts w:hint="default" w:eastAsia="宋体" w:cs="Times New Roman"/>
                <w:b/>
                <w:color w:val="auto"/>
                <w:highlight w:val="none"/>
              </w:rPr>
              <w:t>《山西省工业炉窑大气污染综合治理实施方案》（晋环大气〔2019〕164号）</w:t>
            </w:r>
          </w:p>
          <w:tbl>
            <w:tblPr>
              <w:tblStyle w:val="23"/>
              <w:tblW w:w="5000"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48"/>
              <w:gridCol w:w="3202"/>
              <w:gridCol w:w="3424"/>
            </w:tblGrid>
            <w:tr w14:paraId="4FF06C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45" w:type="pct"/>
                  <w:noWrap w:val="0"/>
                  <w:vAlign w:val="top"/>
                </w:tcPr>
                <w:p w14:paraId="464BCE7D">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序号</w:t>
                  </w:r>
                </w:p>
              </w:tc>
              <w:tc>
                <w:tcPr>
                  <w:tcW w:w="2007" w:type="pct"/>
                  <w:noWrap w:val="0"/>
                  <w:vAlign w:val="top"/>
                </w:tcPr>
                <w:p w14:paraId="00E6365C">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w:t>
                  </w:r>
                </w:p>
              </w:tc>
              <w:tc>
                <w:tcPr>
                  <w:tcW w:w="2146" w:type="pct"/>
                  <w:noWrap w:val="0"/>
                  <w:vAlign w:val="top"/>
                </w:tcPr>
                <w:p w14:paraId="59C897F8">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最高允许排放浓度（mg/m</w:t>
                  </w:r>
                  <w:r>
                    <w:rPr>
                      <w:rFonts w:hint="default" w:ascii="Times New Roman" w:hAnsi="Times New Roman" w:eastAsia="宋体" w:cs="Times New Roman"/>
                      <w:color w:val="auto"/>
                      <w:szCs w:val="21"/>
                      <w:highlight w:val="none"/>
                      <w:vertAlign w:val="superscript"/>
                    </w:rPr>
                    <w:t>3</w:t>
                  </w:r>
                  <w:r>
                    <w:rPr>
                      <w:rFonts w:hint="default" w:ascii="Times New Roman" w:hAnsi="Times New Roman" w:eastAsia="宋体" w:cs="Times New Roman"/>
                      <w:color w:val="auto"/>
                      <w:szCs w:val="21"/>
                      <w:highlight w:val="none"/>
                    </w:rPr>
                    <w:t>）</w:t>
                  </w:r>
                </w:p>
              </w:tc>
            </w:tr>
            <w:tr w14:paraId="07E285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45" w:type="pct"/>
                  <w:noWrap w:val="0"/>
                  <w:vAlign w:val="top"/>
                </w:tcPr>
                <w:p w14:paraId="0FAD0334">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p>
              </w:tc>
              <w:tc>
                <w:tcPr>
                  <w:tcW w:w="2007" w:type="pct"/>
                  <w:noWrap w:val="0"/>
                  <w:vAlign w:val="top"/>
                </w:tcPr>
                <w:p w14:paraId="6566232A">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颗粒物</w:t>
                  </w:r>
                </w:p>
              </w:tc>
              <w:tc>
                <w:tcPr>
                  <w:tcW w:w="2146" w:type="pct"/>
                  <w:noWrap w:val="0"/>
                  <w:vAlign w:val="top"/>
                </w:tcPr>
                <w:p w14:paraId="4331164C">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30</w:t>
                  </w:r>
                </w:p>
              </w:tc>
            </w:tr>
            <w:tr w14:paraId="7FBFE5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45" w:type="pct"/>
                  <w:noWrap w:val="0"/>
                  <w:vAlign w:val="top"/>
                </w:tcPr>
                <w:p w14:paraId="0A25FD66">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w:t>
                  </w:r>
                </w:p>
              </w:tc>
              <w:tc>
                <w:tcPr>
                  <w:tcW w:w="2007" w:type="pct"/>
                  <w:noWrap w:val="0"/>
                  <w:vAlign w:val="top"/>
                </w:tcPr>
                <w:p w14:paraId="57692149">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二氧化硫</w:t>
                  </w:r>
                </w:p>
              </w:tc>
              <w:tc>
                <w:tcPr>
                  <w:tcW w:w="2146" w:type="pct"/>
                  <w:noWrap w:val="0"/>
                  <w:vAlign w:val="top"/>
                </w:tcPr>
                <w:p w14:paraId="456F4A37">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200</w:t>
                  </w:r>
                </w:p>
              </w:tc>
            </w:tr>
            <w:tr w14:paraId="284391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45" w:type="pct"/>
                  <w:noWrap w:val="0"/>
                  <w:vAlign w:val="top"/>
                </w:tcPr>
                <w:p w14:paraId="4A82A36A">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w:t>
                  </w:r>
                </w:p>
              </w:tc>
              <w:tc>
                <w:tcPr>
                  <w:tcW w:w="2007" w:type="pct"/>
                  <w:noWrap w:val="0"/>
                  <w:vAlign w:val="top"/>
                </w:tcPr>
                <w:p w14:paraId="5948F1FB">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氮氧化物</w:t>
                  </w:r>
                </w:p>
              </w:tc>
              <w:tc>
                <w:tcPr>
                  <w:tcW w:w="2146" w:type="pct"/>
                  <w:noWrap w:val="0"/>
                  <w:vAlign w:val="top"/>
                </w:tcPr>
                <w:p w14:paraId="0919EC69">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300</w:t>
                  </w:r>
                </w:p>
              </w:tc>
            </w:tr>
          </w:tbl>
          <w:p w14:paraId="53FBAB55">
            <w:pPr>
              <w:keepNext w:val="0"/>
              <w:keepLines w:val="0"/>
              <w:suppressLineNumbers w:val="0"/>
              <w:spacing w:before="0" w:beforeAutospacing="0" w:after="0" w:afterAutospacing="0" w:line="500" w:lineRule="exact"/>
              <w:ind w:left="0" w:right="0"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无组织颗粒物执行《大气污染物综合排放标准》（GB 16297-1996）中相关标准限值。具体数值见下表。</w:t>
            </w:r>
          </w:p>
          <w:p w14:paraId="17C7D44F">
            <w:pPr>
              <w:pStyle w:val="6"/>
              <w:spacing w:before="0" w:beforeLines="0" w:line="50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4"/>
                <w:szCs w:val="24"/>
                <w:highlight w:val="none"/>
              </w:rPr>
              <w:t xml:space="preserve">表 </w:t>
            </w:r>
            <w:r>
              <w:rPr>
                <w:rFonts w:hint="default" w:ascii="Times New Roman" w:hAnsi="Times New Roman" w:eastAsia="宋体" w:cs="Times New Roman"/>
                <w:b/>
                <w:bCs/>
                <w:color w:val="auto"/>
                <w:sz w:val="24"/>
                <w:szCs w:val="24"/>
                <w:highlight w:val="none"/>
                <w:lang w:val="en-US" w:eastAsia="zh-CN"/>
              </w:rPr>
              <w:t>3-</w:t>
            </w:r>
            <w:r>
              <w:rPr>
                <w:rFonts w:hint="eastAsia" w:ascii="Times New Roman" w:hAnsi="Times New Roman" w:eastAsia="宋体" w:cs="Times New Roman"/>
                <w:b/>
                <w:bCs/>
                <w:color w:val="auto"/>
                <w:sz w:val="24"/>
                <w:szCs w:val="24"/>
                <w:highlight w:val="none"/>
                <w:lang w:val="en-US" w:eastAsia="zh-CN"/>
              </w:rPr>
              <w:t>9</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 xml:space="preserve">《大气污染物综合排放标准》（GB16297-1996）中表2 </w:t>
            </w:r>
          </w:p>
          <w:tbl>
            <w:tblPr>
              <w:tblStyle w:val="23"/>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602"/>
              <w:gridCol w:w="5369"/>
            </w:tblGrid>
            <w:tr w14:paraId="3162DC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noWrap w:val="0"/>
                  <w:vAlign w:val="center"/>
                </w:tcPr>
                <w:p w14:paraId="6005EE6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污染物</w:t>
                  </w:r>
                </w:p>
              </w:tc>
              <w:tc>
                <w:tcPr>
                  <w:tcW w:w="3367" w:type="pct"/>
                  <w:noWrap w:val="0"/>
                  <w:vAlign w:val="center"/>
                </w:tcPr>
                <w:p w14:paraId="324356B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无组织排放监控浓度限值</w:t>
                  </w:r>
                </w:p>
              </w:tc>
            </w:tr>
            <w:tr w14:paraId="3C17F3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noWrap w:val="0"/>
                  <w:vAlign w:val="center"/>
                </w:tcPr>
                <w:p w14:paraId="13B686C5">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颗粒物</w:t>
                  </w:r>
                </w:p>
              </w:tc>
              <w:tc>
                <w:tcPr>
                  <w:tcW w:w="3367" w:type="pct"/>
                  <w:noWrap w:val="0"/>
                  <w:vAlign w:val="center"/>
                </w:tcPr>
                <w:p w14:paraId="44F7AD67">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周界外最高浓度1.0mg/m</w:t>
                  </w:r>
                  <w:r>
                    <w:rPr>
                      <w:rFonts w:hint="default" w:ascii="Times New Roman" w:hAnsi="Times New Roman" w:eastAsia="宋体" w:cs="Times New Roman"/>
                      <w:color w:val="auto"/>
                      <w:highlight w:val="none"/>
                      <w:vertAlign w:val="superscript"/>
                    </w:rPr>
                    <w:t>3</w:t>
                  </w:r>
                </w:p>
              </w:tc>
            </w:tr>
          </w:tbl>
          <w:p w14:paraId="5959EF44">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kern w:val="0"/>
                <w:sz w:val="24"/>
                <w:highlight w:val="none"/>
              </w:rPr>
            </w:pPr>
            <w:r>
              <w:rPr>
                <w:rFonts w:hint="eastAsia" w:cs="Times New Roman"/>
                <w:b/>
                <w:bCs/>
                <w:color w:val="auto"/>
                <w:kern w:val="0"/>
                <w:sz w:val="24"/>
                <w:highlight w:val="none"/>
                <w:lang w:eastAsia="zh-CN"/>
              </w:rPr>
              <w:t>2.</w:t>
            </w:r>
            <w:r>
              <w:rPr>
                <w:rFonts w:hint="default" w:ascii="Times New Roman" w:hAnsi="Times New Roman" w:eastAsia="宋体" w:cs="Times New Roman"/>
                <w:b/>
                <w:bCs/>
                <w:color w:val="auto"/>
                <w:kern w:val="0"/>
                <w:sz w:val="24"/>
                <w:highlight w:val="none"/>
              </w:rPr>
              <w:t>噪声</w:t>
            </w:r>
          </w:p>
          <w:p w14:paraId="253D3A25">
            <w:pPr>
              <w:keepNext w:val="0"/>
              <w:keepLines w:val="0"/>
              <w:suppressLineNumbers w:val="0"/>
              <w:adjustRightInd w:val="0"/>
              <w:spacing w:before="0" w:beforeAutospacing="0" w:after="0" w:afterAutospacing="0" w:line="360" w:lineRule="auto"/>
              <w:ind w:left="0" w:righ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w:t>
            </w:r>
            <w:r>
              <w:rPr>
                <w:rFonts w:hint="eastAsia" w:ascii="Times New Roman" w:hAnsi="Times New Roman" w:cs="宋体"/>
                <w:color w:val="auto"/>
                <w:kern w:val="0"/>
                <w:sz w:val="24"/>
                <w:highlight w:val="none"/>
              </w:rPr>
              <w:t>1</w:t>
            </w:r>
            <w:r>
              <w:rPr>
                <w:rFonts w:hint="eastAsia" w:ascii="宋体" w:hAnsi="宋体" w:cs="宋体"/>
                <w:color w:val="auto"/>
                <w:kern w:val="0"/>
                <w:sz w:val="24"/>
                <w:highlight w:val="none"/>
              </w:rPr>
              <w:t>）施工期：执行《建筑施工噪声排放标准》（</w:t>
            </w:r>
            <w:r>
              <w:rPr>
                <w:rFonts w:hint="eastAsia" w:ascii="Times New Roman" w:hAnsi="Times New Roman" w:cs="宋体"/>
                <w:color w:val="auto"/>
                <w:kern w:val="0"/>
                <w:sz w:val="24"/>
                <w:highlight w:val="none"/>
              </w:rPr>
              <w:t>GB12523</w:t>
            </w:r>
            <w:r>
              <w:rPr>
                <w:rFonts w:hint="eastAsia" w:ascii="宋体" w:hAnsi="宋体" w:cs="宋体"/>
                <w:color w:val="auto"/>
                <w:kern w:val="0"/>
                <w:sz w:val="24"/>
                <w:highlight w:val="none"/>
              </w:rPr>
              <w:t>-</w:t>
            </w:r>
            <w:r>
              <w:rPr>
                <w:rFonts w:hint="eastAsia" w:ascii="Times New Roman" w:hAnsi="Times New Roman" w:cs="宋体"/>
                <w:color w:val="auto"/>
                <w:kern w:val="0"/>
                <w:sz w:val="24"/>
                <w:highlight w:val="none"/>
                <w:lang w:eastAsia="zh-CN"/>
              </w:rPr>
              <w:t>2</w:t>
            </w:r>
            <w:r>
              <w:rPr>
                <w:rFonts w:hint="eastAsia" w:ascii="Times New Roman" w:hAnsi="Times New Roman" w:cs="宋体"/>
                <w:color w:val="auto"/>
                <w:kern w:val="0"/>
                <w:sz w:val="24"/>
                <w:highlight w:val="none"/>
                <w:lang w:val="en-US" w:eastAsia="zh-CN"/>
              </w:rPr>
              <w:t>025</w:t>
            </w:r>
            <w:r>
              <w:rPr>
                <w:rFonts w:hint="eastAsia" w:ascii="宋体" w:hAnsi="宋体" w:cs="宋体"/>
                <w:color w:val="auto"/>
                <w:kern w:val="0"/>
                <w:sz w:val="24"/>
                <w:highlight w:val="none"/>
              </w:rPr>
              <w:t>），具体见下表。</w:t>
            </w:r>
          </w:p>
          <w:p w14:paraId="36AE3881">
            <w:pPr>
              <w:keepNext w:val="0"/>
              <w:keepLines w:val="0"/>
              <w:suppressLineNumbers w:val="0"/>
              <w:adjustRightInd w:val="0"/>
              <w:snapToGrid w:val="0"/>
              <w:spacing w:before="0" w:beforeAutospacing="0" w:after="0" w:afterAutospacing="0" w:line="360" w:lineRule="auto"/>
              <w:ind w:left="0" w:right="0" w:firstLine="482" w:firstLineChars="200"/>
              <w:jc w:val="center"/>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表3-</w:t>
            </w:r>
            <w:r>
              <w:rPr>
                <w:rFonts w:hint="eastAsia" w:ascii="Times New Roman" w:hAnsi="Times New Roman" w:eastAsia="宋体" w:cs="Times New Roman"/>
                <w:b/>
                <w:bCs/>
                <w:color w:val="auto"/>
                <w:kern w:val="0"/>
                <w:sz w:val="24"/>
                <w:szCs w:val="24"/>
                <w:highlight w:val="none"/>
                <w:lang w:val="en-US" w:eastAsia="zh-CN"/>
              </w:rPr>
              <w:t>10</w:t>
            </w:r>
            <w:r>
              <w:rPr>
                <w:rFonts w:hint="default" w:ascii="Times New Roman" w:hAnsi="Times New Roman" w:eastAsia="宋体" w:cs="Times New Roman"/>
                <w:b/>
                <w:bCs/>
                <w:color w:val="auto"/>
                <w:kern w:val="0"/>
                <w:sz w:val="24"/>
                <w:szCs w:val="24"/>
                <w:highlight w:val="none"/>
              </w:rPr>
              <w:t>建筑施工噪声排放标准限值单位：dB（A）</w:t>
            </w:r>
          </w:p>
          <w:tbl>
            <w:tblPr>
              <w:tblStyle w:val="2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3278"/>
              <w:gridCol w:w="3796"/>
            </w:tblGrid>
            <w:tr w14:paraId="057F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575" w:type="pct"/>
                  <w:noWrap w:val="0"/>
                  <w:vAlign w:val="center"/>
                </w:tcPr>
                <w:p w14:paraId="5FFC6C30">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 w:val="21"/>
                      <w:szCs w:val="21"/>
                      <w:highlight w:val="none"/>
                    </w:rPr>
                  </w:pPr>
                  <w:r>
                    <w:rPr>
                      <w:rFonts w:hint="eastAsia" w:ascii="宋体" w:hAnsi="宋体" w:cs="宋体"/>
                      <w:color w:val="auto"/>
                      <w:kern w:val="0"/>
                      <w:sz w:val="21"/>
                      <w:szCs w:val="21"/>
                      <w:highlight w:val="none"/>
                    </w:rPr>
                    <w:t>序号</w:t>
                  </w:r>
                </w:p>
              </w:tc>
              <w:tc>
                <w:tcPr>
                  <w:tcW w:w="2050" w:type="pct"/>
                  <w:noWrap w:val="0"/>
                  <w:vAlign w:val="center"/>
                </w:tcPr>
                <w:p w14:paraId="69D1F226">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 w:val="21"/>
                      <w:szCs w:val="21"/>
                      <w:highlight w:val="none"/>
                    </w:rPr>
                  </w:pPr>
                  <w:r>
                    <w:rPr>
                      <w:rFonts w:hint="eastAsia" w:ascii="宋体" w:hAnsi="宋体" w:cs="宋体"/>
                      <w:color w:val="auto"/>
                      <w:kern w:val="0"/>
                      <w:sz w:val="21"/>
                      <w:szCs w:val="21"/>
                      <w:highlight w:val="none"/>
                    </w:rPr>
                    <w:t>昼间</w:t>
                  </w:r>
                </w:p>
              </w:tc>
              <w:tc>
                <w:tcPr>
                  <w:tcW w:w="2374" w:type="pct"/>
                  <w:noWrap w:val="0"/>
                  <w:vAlign w:val="center"/>
                </w:tcPr>
                <w:p w14:paraId="55B7CD5B">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 w:val="21"/>
                      <w:szCs w:val="21"/>
                      <w:highlight w:val="none"/>
                    </w:rPr>
                  </w:pPr>
                  <w:r>
                    <w:rPr>
                      <w:rFonts w:hint="eastAsia" w:ascii="宋体" w:hAnsi="宋体" w:cs="宋体"/>
                      <w:color w:val="auto"/>
                      <w:kern w:val="0"/>
                      <w:sz w:val="21"/>
                      <w:szCs w:val="21"/>
                      <w:highlight w:val="none"/>
                    </w:rPr>
                    <w:t>夜间</w:t>
                  </w:r>
                </w:p>
              </w:tc>
            </w:tr>
            <w:tr w14:paraId="451D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575" w:type="pct"/>
                  <w:noWrap w:val="0"/>
                  <w:vAlign w:val="center"/>
                </w:tcPr>
                <w:p w14:paraId="0228D4C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宋体"/>
                      <w:color w:val="auto"/>
                      <w:kern w:val="0"/>
                      <w:sz w:val="21"/>
                      <w:szCs w:val="21"/>
                      <w:highlight w:val="none"/>
                    </w:rPr>
                  </w:pPr>
                  <w:r>
                    <w:rPr>
                      <w:rFonts w:hint="eastAsia" w:ascii="Times New Roman" w:hAnsi="Times New Roman" w:cs="宋体"/>
                      <w:color w:val="auto"/>
                      <w:kern w:val="0"/>
                      <w:sz w:val="21"/>
                      <w:szCs w:val="21"/>
                      <w:highlight w:val="none"/>
                    </w:rPr>
                    <w:t>1</w:t>
                  </w:r>
                </w:p>
              </w:tc>
              <w:tc>
                <w:tcPr>
                  <w:tcW w:w="2050" w:type="pct"/>
                  <w:noWrap w:val="0"/>
                  <w:vAlign w:val="center"/>
                </w:tcPr>
                <w:p w14:paraId="59C66BDA">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 w:val="21"/>
                      <w:szCs w:val="21"/>
                      <w:highlight w:val="none"/>
                    </w:rPr>
                  </w:pPr>
                  <w:r>
                    <w:rPr>
                      <w:rFonts w:hint="eastAsia" w:ascii="Times New Roman" w:hAnsi="Times New Roman" w:cs="宋体"/>
                      <w:color w:val="auto"/>
                      <w:kern w:val="0"/>
                      <w:sz w:val="21"/>
                      <w:szCs w:val="21"/>
                      <w:highlight w:val="none"/>
                    </w:rPr>
                    <w:t>70</w:t>
                  </w:r>
                </w:p>
              </w:tc>
              <w:tc>
                <w:tcPr>
                  <w:tcW w:w="2374" w:type="pct"/>
                  <w:noWrap w:val="0"/>
                  <w:vAlign w:val="center"/>
                </w:tcPr>
                <w:p w14:paraId="29B45CCD">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 w:val="21"/>
                      <w:szCs w:val="21"/>
                      <w:highlight w:val="none"/>
                    </w:rPr>
                  </w:pPr>
                  <w:r>
                    <w:rPr>
                      <w:rFonts w:hint="eastAsia" w:ascii="Times New Roman" w:hAnsi="Times New Roman" w:cs="宋体"/>
                      <w:color w:val="auto"/>
                      <w:kern w:val="0"/>
                      <w:sz w:val="21"/>
                      <w:szCs w:val="21"/>
                      <w:highlight w:val="none"/>
                    </w:rPr>
                    <w:t>55</w:t>
                  </w:r>
                </w:p>
              </w:tc>
            </w:tr>
          </w:tbl>
          <w:p w14:paraId="01561746">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w:t>
            </w:r>
            <w:r>
              <w:rPr>
                <w:rFonts w:hint="eastAsia" w:ascii="Times New Roman" w:hAnsi="Times New Roman" w:cs="宋体"/>
                <w:color w:val="auto"/>
                <w:kern w:val="0"/>
                <w:sz w:val="24"/>
                <w:highlight w:val="none"/>
              </w:rPr>
              <w:t>2</w:t>
            </w:r>
            <w:r>
              <w:rPr>
                <w:rFonts w:hint="eastAsia" w:ascii="宋体" w:hAnsi="宋体" w:cs="宋体"/>
                <w:color w:val="auto"/>
                <w:kern w:val="0"/>
                <w:sz w:val="24"/>
                <w:highlight w:val="none"/>
              </w:rPr>
              <w:t>）运营期：</w:t>
            </w:r>
            <w:r>
              <w:rPr>
                <w:rFonts w:hint="eastAsia" w:ascii="宋体" w:hAnsi="宋体" w:cs="宋体"/>
                <w:color w:val="auto"/>
                <w:kern w:val="0"/>
                <w:sz w:val="24"/>
                <w:highlight w:val="none"/>
                <w:lang w:val="en-US" w:eastAsia="zh-CN"/>
              </w:rPr>
              <w:t>厂界</w:t>
            </w:r>
            <w:r>
              <w:rPr>
                <w:rFonts w:hint="eastAsia" w:ascii="宋体" w:hAnsi="宋体" w:cs="宋体"/>
                <w:color w:val="auto"/>
                <w:kern w:val="0"/>
                <w:sz w:val="24"/>
                <w:highlight w:val="none"/>
              </w:rPr>
              <w:t>执行《工业企业厂界环境噪声排放标准》（</w:t>
            </w:r>
            <w:r>
              <w:rPr>
                <w:rFonts w:hint="eastAsia" w:ascii="Times New Roman" w:hAnsi="Times New Roman" w:cs="宋体"/>
                <w:color w:val="auto"/>
                <w:kern w:val="0"/>
                <w:sz w:val="24"/>
                <w:highlight w:val="none"/>
              </w:rPr>
              <w:t>GB12348</w:t>
            </w:r>
            <w:r>
              <w:rPr>
                <w:rFonts w:hint="eastAsia" w:ascii="宋体" w:hAnsi="宋体" w:cs="宋体"/>
                <w:color w:val="auto"/>
                <w:kern w:val="0"/>
                <w:sz w:val="24"/>
                <w:highlight w:val="none"/>
              </w:rPr>
              <w:t>-</w:t>
            </w:r>
            <w:r>
              <w:rPr>
                <w:rFonts w:hint="eastAsia" w:ascii="Times New Roman" w:hAnsi="Times New Roman" w:cs="宋体"/>
                <w:color w:val="auto"/>
                <w:kern w:val="0"/>
                <w:sz w:val="24"/>
                <w:highlight w:val="none"/>
              </w:rPr>
              <w:t>2008</w:t>
            </w:r>
            <w:r>
              <w:rPr>
                <w:rFonts w:hint="eastAsia" w:ascii="宋体" w:hAnsi="宋体" w:cs="宋体"/>
                <w:color w:val="auto"/>
                <w:kern w:val="0"/>
                <w:sz w:val="24"/>
                <w:highlight w:val="none"/>
              </w:rPr>
              <w:t>）中</w:t>
            </w:r>
            <w:r>
              <w:rPr>
                <w:rFonts w:hint="eastAsia" w:ascii="Times New Roman" w:hAnsi="Times New Roman" w:cs="宋体"/>
                <w:color w:val="auto"/>
                <w:kern w:val="0"/>
                <w:sz w:val="24"/>
                <w:highlight w:val="none"/>
              </w:rPr>
              <w:t>2</w:t>
            </w:r>
            <w:r>
              <w:rPr>
                <w:rFonts w:hint="eastAsia" w:ascii="宋体" w:hAnsi="宋体" w:cs="宋体"/>
                <w:color w:val="auto"/>
                <w:kern w:val="0"/>
                <w:sz w:val="24"/>
                <w:highlight w:val="none"/>
              </w:rPr>
              <w:t>类标准限值。具体见下表。</w:t>
            </w:r>
          </w:p>
          <w:p w14:paraId="42B41792">
            <w:pPr>
              <w:keepNext w:val="0"/>
              <w:keepLines w:val="0"/>
              <w:suppressLineNumbers w:val="0"/>
              <w:adjustRightInd w:val="0"/>
              <w:snapToGrid w:val="0"/>
              <w:spacing w:before="0" w:beforeAutospacing="0" w:after="0" w:afterAutospacing="0" w:line="360" w:lineRule="auto"/>
              <w:ind w:left="0" w:right="0" w:firstLine="482" w:firstLineChars="200"/>
              <w:jc w:val="center"/>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表3-</w:t>
            </w:r>
            <w:r>
              <w:rPr>
                <w:rFonts w:hint="eastAsia" w:ascii="Times New Roman" w:hAnsi="Times New Roman" w:eastAsia="宋体" w:cs="Times New Roman"/>
                <w:b/>
                <w:bCs/>
                <w:color w:val="auto"/>
                <w:kern w:val="0"/>
                <w:sz w:val="24"/>
                <w:szCs w:val="24"/>
                <w:highlight w:val="none"/>
                <w:lang w:val="en-US" w:eastAsia="zh-CN"/>
              </w:rPr>
              <w:t>11</w:t>
            </w:r>
            <w:r>
              <w:rPr>
                <w:rFonts w:hint="default" w:ascii="Times New Roman" w:hAnsi="Times New Roman" w:eastAsia="宋体" w:cs="Times New Roman"/>
                <w:b/>
                <w:bCs/>
                <w:color w:val="auto"/>
                <w:kern w:val="0"/>
                <w:sz w:val="24"/>
                <w:szCs w:val="24"/>
                <w:highlight w:val="none"/>
              </w:rPr>
              <w:t>工业企业厂界环境噪声排放标准限值单位：dB（A）</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6"/>
              <w:gridCol w:w="1997"/>
              <w:gridCol w:w="1999"/>
              <w:gridCol w:w="1999"/>
            </w:tblGrid>
            <w:tr w14:paraId="6CADA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249" w:type="pct"/>
                  <w:noWrap w:val="0"/>
                  <w:vAlign w:val="center"/>
                </w:tcPr>
                <w:p w14:paraId="3E455000">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 w:val="21"/>
                      <w:szCs w:val="21"/>
                      <w:highlight w:val="none"/>
                    </w:rPr>
                  </w:pPr>
                  <w:r>
                    <w:rPr>
                      <w:rFonts w:hint="eastAsia" w:ascii="宋体" w:hAnsi="宋体" w:cs="宋体"/>
                      <w:color w:val="auto"/>
                      <w:kern w:val="0"/>
                      <w:sz w:val="21"/>
                      <w:szCs w:val="21"/>
                      <w:highlight w:val="none"/>
                    </w:rPr>
                    <w:t>类别</w:t>
                  </w:r>
                </w:p>
              </w:tc>
              <w:tc>
                <w:tcPr>
                  <w:tcW w:w="1249" w:type="pct"/>
                  <w:noWrap w:val="0"/>
                  <w:vAlign w:val="center"/>
                </w:tcPr>
                <w:p w14:paraId="5B8D32BB">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 w:val="21"/>
                      <w:szCs w:val="21"/>
                      <w:highlight w:val="none"/>
                    </w:rPr>
                  </w:pPr>
                  <w:r>
                    <w:rPr>
                      <w:rFonts w:hint="eastAsia" w:ascii="宋体" w:hAnsi="宋体" w:cs="宋体"/>
                      <w:color w:val="auto"/>
                      <w:kern w:val="0"/>
                      <w:sz w:val="21"/>
                      <w:szCs w:val="21"/>
                      <w:highlight w:val="none"/>
                    </w:rPr>
                    <w:t>厂界</w:t>
                  </w:r>
                </w:p>
              </w:tc>
              <w:tc>
                <w:tcPr>
                  <w:tcW w:w="1250" w:type="pct"/>
                  <w:noWrap w:val="0"/>
                  <w:vAlign w:val="center"/>
                </w:tcPr>
                <w:p w14:paraId="36A72529">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 w:val="21"/>
                      <w:szCs w:val="21"/>
                      <w:highlight w:val="none"/>
                    </w:rPr>
                  </w:pPr>
                  <w:r>
                    <w:rPr>
                      <w:rFonts w:hint="eastAsia" w:ascii="宋体" w:hAnsi="宋体" w:cs="宋体"/>
                      <w:color w:val="auto"/>
                      <w:kern w:val="0"/>
                      <w:sz w:val="21"/>
                      <w:szCs w:val="21"/>
                      <w:highlight w:val="none"/>
                    </w:rPr>
                    <w:t>昼间</w:t>
                  </w:r>
                </w:p>
              </w:tc>
              <w:tc>
                <w:tcPr>
                  <w:tcW w:w="1250" w:type="pct"/>
                  <w:noWrap w:val="0"/>
                  <w:vAlign w:val="center"/>
                </w:tcPr>
                <w:p w14:paraId="6C9AF7C0">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 w:val="21"/>
                      <w:szCs w:val="21"/>
                      <w:highlight w:val="none"/>
                    </w:rPr>
                  </w:pPr>
                  <w:r>
                    <w:rPr>
                      <w:rFonts w:hint="eastAsia" w:ascii="宋体" w:hAnsi="宋体" w:cs="宋体"/>
                      <w:color w:val="auto"/>
                      <w:kern w:val="0"/>
                      <w:sz w:val="21"/>
                      <w:szCs w:val="21"/>
                      <w:highlight w:val="none"/>
                    </w:rPr>
                    <w:t>夜间</w:t>
                  </w:r>
                </w:p>
              </w:tc>
            </w:tr>
            <w:tr w14:paraId="0D5F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249" w:type="pct"/>
                  <w:noWrap w:val="0"/>
                  <w:vAlign w:val="center"/>
                </w:tcPr>
                <w:p w14:paraId="4FDBF38E">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 w:val="21"/>
                      <w:szCs w:val="21"/>
                      <w:highlight w:val="none"/>
                    </w:rPr>
                  </w:pPr>
                  <w:r>
                    <w:rPr>
                      <w:rFonts w:hint="eastAsia" w:ascii="Times New Roman" w:hAnsi="Times New Roman" w:cs="宋体"/>
                      <w:color w:val="auto"/>
                      <w:kern w:val="0"/>
                      <w:sz w:val="21"/>
                      <w:szCs w:val="21"/>
                      <w:highlight w:val="none"/>
                    </w:rPr>
                    <w:t>2</w:t>
                  </w:r>
                  <w:r>
                    <w:rPr>
                      <w:rFonts w:hint="eastAsia" w:ascii="宋体" w:hAnsi="宋体" w:cs="宋体"/>
                      <w:color w:val="auto"/>
                      <w:kern w:val="0"/>
                      <w:sz w:val="21"/>
                      <w:szCs w:val="21"/>
                      <w:highlight w:val="none"/>
                    </w:rPr>
                    <w:t>类</w:t>
                  </w:r>
                </w:p>
              </w:tc>
              <w:tc>
                <w:tcPr>
                  <w:tcW w:w="1249" w:type="pct"/>
                  <w:noWrap w:val="0"/>
                  <w:vAlign w:val="center"/>
                </w:tcPr>
                <w:p w14:paraId="47DBAF49">
                  <w:pPr>
                    <w:keepNext w:val="0"/>
                    <w:keepLines w:val="0"/>
                    <w:suppressLineNumbers w:val="0"/>
                    <w:adjustRightInd w:val="0"/>
                    <w:snapToGrid w:val="0"/>
                    <w:spacing w:before="0" w:beforeAutospacing="0" w:after="0" w:afterAutospacing="0"/>
                    <w:ind w:left="0" w:right="0"/>
                    <w:jc w:val="center"/>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厂界</w:t>
                  </w:r>
                </w:p>
              </w:tc>
              <w:tc>
                <w:tcPr>
                  <w:tcW w:w="1250" w:type="pct"/>
                  <w:noWrap w:val="0"/>
                  <w:vAlign w:val="center"/>
                </w:tcPr>
                <w:p w14:paraId="22A0FB87">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 w:val="21"/>
                      <w:szCs w:val="21"/>
                      <w:highlight w:val="none"/>
                    </w:rPr>
                  </w:pPr>
                  <w:r>
                    <w:rPr>
                      <w:rFonts w:hint="eastAsia" w:ascii="Times New Roman" w:hAnsi="Times New Roman" w:cs="宋体"/>
                      <w:color w:val="auto"/>
                      <w:kern w:val="0"/>
                      <w:sz w:val="21"/>
                      <w:szCs w:val="21"/>
                      <w:highlight w:val="none"/>
                    </w:rPr>
                    <w:t>60</w:t>
                  </w:r>
                </w:p>
              </w:tc>
              <w:tc>
                <w:tcPr>
                  <w:tcW w:w="1250" w:type="pct"/>
                  <w:noWrap w:val="0"/>
                  <w:vAlign w:val="center"/>
                </w:tcPr>
                <w:p w14:paraId="4B7F7B26">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 w:val="21"/>
                      <w:szCs w:val="21"/>
                      <w:highlight w:val="none"/>
                    </w:rPr>
                  </w:pPr>
                  <w:r>
                    <w:rPr>
                      <w:rFonts w:hint="eastAsia" w:ascii="Times New Roman" w:hAnsi="Times New Roman" w:cs="宋体"/>
                      <w:color w:val="auto"/>
                      <w:kern w:val="0"/>
                      <w:sz w:val="21"/>
                      <w:szCs w:val="21"/>
                      <w:highlight w:val="none"/>
                    </w:rPr>
                    <w:t>50</w:t>
                  </w:r>
                </w:p>
              </w:tc>
            </w:tr>
          </w:tbl>
          <w:p w14:paraId="31B674CC">
            <w:pPr>
              <w:keepNext w:val="0"/>
              <w:keepLines w:val="0"/>
              <w:suppressLineNumbers w:val="0"/>
              <w:adjustRightInd w:val="0"/>
              <w:snapToGrid w:val="0"/>
              <w:spacing w:before="0" w:beforeAutospacing="0" w:after="0" w:afterAutospacing="0" w:line="360" w:lineRule="auto"/>
              <w:ind w:left="0" w:right="0" w:firstLine="482" w:firstLineChars="200"/>
              <w:rPr>
                <w:rFonts w:hint="eastAsia" w:ascii="宋体" w:hAnsi="宋体" w:cs="宋体"/>
                <w:b/>
                <w:bCs/>
                <w:color w:val="auto"/>
                <w:kern w:val="0"/>
                <w:sz w:val="24"/>
                <w:highlight w:val="none"/>
              </w:rPr>
            </w:pPr>
            <w:r>
              <w:rPr>
                <w:rFonts w:hint="eastAsia" w:cs="宋体"/>
                <w:b/>
                <w:bCs/>
                <w:color w:val="auto"/>
                <w:kern w:val="0"/>
                <w:sz w:val="24"/>
                <w:highlight w:val="none"/>
                <w:lang w:eastAsia="zh-CN"/>
              </w:rPr>
              <w:t>3.</w:t>
            </w:r>
            <w:r>
              <w:rPr>
                <w:rFonts w:hint="eastAsia" w:ascii="宋体" w:hAnsi="宋体" w:cs="宋体"/>
                <w:b/>
                <w:bCs/>
                <w:color w:val="auto"/>
                <w:kern w:val="0"/>
                <w:sz w:val="24"/>
                <w:highlight w:val="none"/>
              </w:rPr>
              <w:t>固体废物</w:t>
            </w:r>
          </w:p>
          <w:p w14:paraId="42D12714">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r>
              <w:rPr>
                <w:rFonts w:hint="eastAsia" w:ascii="宋体" w:hAnsi="宋体" w:cs="宋体"/>
                <w:color w:val="auto"/>
                <w:kern w:val="0"/>
                <w:sz w:val="24"/>
                <w:highlight w:val="none"/>
              </w:rPr>
              <w:t>一般固体废物执行《一般工业固体废物贮存和填埋污染控制标准》（</w:t>
            </w:r>
            <w:r>
              <w:rPr>
                <w:rFonts w:hint="eastAsia" w:ascii="Times New Roman" w:hAnsi="Times New Roman" w:cs="宋体"/>
                <w:color w:val="auto"/>
                <w:kern w:val="0"/>
                <w:sz w:val="24"/>
                <w:highlight w:val="none"/>
              </w:rPr>
              <w:t>GB18599</w:t>
            </w:r>
            <w:r>
              <w:rPr>
                <w:rFonts w:hint="eastAsia" w:ascii="宋体" w:hAnsi="宋体" w:cs="宋体"/>
                <w:color w:val="auto"/>
                <w:kern w:val="0"/>
                <w:sz w:val="24"/>
                <w:highlight w:val="none"/>
              </w:rPr>
              <w:t>-</w:t>
            </w:r>
            <w:r>
              <w:rPr>
                <w:rFonts w:hint="eastAsia" w:ascii="Times New Roman" w:hAnsi="Times New Roman" w:cs="宋体"/>
                <w:color w:val="auto"/>
                <w:kern w:val="0"/>
                <w:sz w:val="24"/>
                <w:highlight w:val="none"/>
              </w:rPr>
              <w:t>2020</w:t>
            </w:r>
            <w:r>
              <w:rPr>
                <w:rFonts w:hint="eastAsia" w:ascii="宋体" w:hAnsi="宋体" w:cs="宋体"/>
                <w:color w:val="auto"/>
                <w:kern w:val="0"/>
                <w:sz w:val="24"/>
                <w:highlight w:val="none"/>
              </w:rPr>
              <w:t>）中相关标准限值要求</w:t>
            </w:r>
            <w:r>
              <w:rPr>
                <w:rFonts w:hint="eastAsia" w:ascii="宋体" w:hAnsi="宋体" w:cs="宋体"/>
                <w:color w:val="auto"/>
                <w:kern w:val="0"/>
                <w:sz w:val="24"/>
                <w:highlight w:val="none"/>
                <w:lang w:eastAsia="zh-CN"/>
              </w:rPr>
              <w:t>。</w:t>
            </w:r>
            <w:r>
              <w:rPr>
                <w:rFonts w:hint="default" w:ascii="Times New Roman" w:hAnsi="Times New Roman" w:eastAsia="宋体" w:cs="Times New Roman"/>
                <w:color w:val="auto"/>
                <w:sz w:val="24"/>
                <w:szCs w:val="24"/>
                <w:highlight w:val="none"/>
              </w:rPr>
              <w:t>采用库房、包装工具（罐、桶、包装袋等）贮存，其贮存过程满足相应防渗漏、防雨淋、防扬尘等环境保护要求</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危险废物</w:t>
            </w:r>
            <w:r>
              <w:rPr>
                <w:rFonts w:hint="eastAsia" w:ascii="Times New Roman" w:hAnsi="Times New Roman" w:eastAsia="宋体" w:cs="Times New Roman"/>
                <w:color w:val="auto"/>
                <w:sz w:val="24"/>
                <w:szCs w:val="24"/>
                <w:highlight w:val="none"/>
                <w:lang w:val="en-US" w:eastAsia="zh-CN"/>
              </w:rPr>
              <w:t>暂存</w:t>
            </w:r>
            <w:r>
              <w:rPr>
                <w:rFonts w:hint="default" w:ascii="Times New Roman" w:hAnsi="Times New Roman" w:eastAsia="宋体" w:cs="Times New Roman"/>
                <w:color w:val="auto"/>
                <w:sz w:val="24"/>
                <w:szCs w:val="24"/>
                <w:highlight w:val="none"/>
              </w:rPr>
              <w:t>执行《危险废物贮存污染控制标准》（GB18597-2023）。</w:t>
            </w:r>
          </w:p>
          <w:p w14:paraId="5F397009">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p>
          <w:p w14:paraId="5BF6AFE1">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p>
          <w:p w14:paraId="19BFD9A1">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p>
          <w:p w14:paraId="1679C044">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p>
          <w:p w14:paraId="1FF24872">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p>
          <w:p w14:paraId="3C236EA0">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p>
          <w:p w14:paraId="22CE871E">
            <w:pPr>
              <w:pStyle w:val="9"/>
              <w:keepNext w:val="0"/>
              <w:keepLines w:val="0"/>
              <w:suppressLineNumbers w:val="0"/>
              <w:spacing w:before="0" w:beforeAutospacing="0" w:afterAutospacing="0"/>
              <w:ind w:right="0"/>
              <w:rPr>
                <w:rFonts w:hint="default" w:ascii="Times New Roman" w:hAnsi="Times New Roman" w:eastAsia="宋体" w:cs="Times New Roman"/>
                <w:color w:val="auto"/>
                <w:sz w:val="24"/>
                <w:szCs w:val="24"/>
                <w:highlight w:val="none"/>
              </w:rPr>
            </w:pPr>
          </w:p>
          <w:p w14:paraId="40F28704">
            <w:pPr>
              <w:pStyle w:val="40"/>
              <w:keepNext w:val="0"/>
              <w:keepLines w:val="0"/>
              <w:suppressLineNumbers w:val="0"/>
              <w:ind w:left="0"/>
              <w:rPr>
                <w:rFonts w:hint="default" w:ascii="Times New Roman" w:hAnsi="Times New Roman" w:eastAsia="宋体" w:cs="Times New Roman"/>
                <w:color w:val="auto"/>
                <w:sz w:val="24"/>
                <w:szCs w:val="24"/>
                <w:highlight w:val="none"/>
              </w:rPr>
            </w:pPr>
          </w:p>
          <w:p w14:paraId="32F4B9AE">
            <w:pPr>
              <w:pStyle w:val="41"/>
              <w:keepNext w:val="0"/>
              <w:keepLines w:val="0"/>
              <w:suppressLineNumbers w:val="0"/>
              <w:spacing w:beforeAutospacing="0" w:afterAutospacing="0"/>
              <w:ind w:left="0" w:right="0"/>
              <w:rPr>
                <w:rFonts w:hint="default" w:ascii="Times New Roman" w:hAnsi="Times New Roman" w:eastAsia="宋体" w:cs="Times New Roman"/>
                <w:color w:val="auto"/>
                <w:sz w:val="24"/>
                <w:szCs w:val="24"/>
                <w:highlight w:val="none"/>
              </w:rPr>
            </w:pPr>
          </w:p>
          <w:p w14:paraId="446713BD">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highlight w:val="none"/>
              </w:rPr>
            </w:pPr>
          </w:p>
          <w:p w14:paraId="4239FB5C">
            <w:pPr>
              <w:pStyle w:val="9"/>
              <w:keepNext w:val="0"/>
              <w:keepLines w:val="0"/>
              <w:suppressLineNumbers w:val="0"/>
              <w:spacing w:before="0" w:beforeAutospacing="0" w:afterAutospacing="0"/>
              <w:ind w:right="0"/>
              <w:rPr>
                <w:rFonts w:hint="default" w:ascii="Times New Roman" w:hAnsi="Times New Roman" w:eastAsia="宋体" w:cs="Times New Roman"/>
                <w:color w:val="auto"/>
                <w:sz w:val="24"/>
                <w:szCs w:val="24"/>
                <w:highlight w:val="none"/>
              </w:rPr>
            </w:pPr>
          </w:p>
          <w:p w14:paraId="4F2313FA">
            <w:pPr>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r>
      <w:tr w14:paraId="292321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95" w:hRule="atLeast"/>
          <w:jc w:val="center"/>
        </w:trPr>
        <w:tc>
          <w:tcPr>
            <w:tcW w:w="800" w:type="dxa"/>
            <w:noWrap w:val="0"/>
            <w:vAlign w:val="center"/>
          </w:tcPr>
          <w:p w14:paraId="31FAC1A3">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总量</w:t>
            </w:r>
          </w:p>
          <w:p w14:paraId="34EFFB67">
            <w:pPr>
              <w:keepNext w:val="0"/>
              <w:keepLines w:val="0"/>
              <w:suppressLineNumbers w:val="0"/>
              <w:adjustRightInd w:val="0"/>
              <w:snapToGrid w:val="0"/>
              <w:spacing w:before="0" w:beforeAutospacing="0" w:after="0" w:afterAutospacing="0"/>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控制</w:t>
            </w:r>
          </w:p>
          <w:p w14:paraId="732E99B0">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指标</w:t>
            </w:r>
          </w:p>
        </w:tc>
        <w:tc>
          <w:tcPr>
            <w:tcW w:w="8190" w:type="dxa"/>
            <w:noWrap w:val="0"/>
            <w:vAlign w:val="center"/>
          </w:tcPr>
          <w:p w14:paraId="13D5F258">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cs="宋体"/>
                <w:color w:val="auto"/>
                <w:sz w:val="24"/>
                <w:highlight w:val="none"/>
              </w:rPr>
            </w:pPr>
            <w:r>
              <w:rPr>
                <w:rFonts w:hint="eastAsia" w:ascii="宋体" w:hAnsi="宋体" w:cs="宋体"/>
                <w:color w:val="auto"/>
                <w:kern w:val="0"/>
                <w:sz w:val="24"/>
                <w:highlight w:val="none"/>
              </w:rPr>
              <w:t>根据山西省生态环境厅关于印发《建设项目主要污染物排放总量指标核定办法》的通知（晋环规</w:t>
            </w:r>
            <w:r>
              <w:rPr>
                <w:rFonts w:hint="default" w:ascii="宋体" w:hAnsi="宋体" w:cs="宋体"/>
                <w:color w:val="auto"/>
                <w:sz w:val="24"/>
                <w:highlight w:val="none"/>
              </w:rPr>
              <w:t>〔</w:t>
            </w:r>
            <w:r>
              <w:rPr>
                <w:rFonts w:hint="default" w:ascii="Times New Roman" w:hAnsi="Times New Roman" w:cs="宋体"/>
                <w:color w:val="auto"/>
                <w:sz w:val="24"/>
                <w:highlight w:val="none"/>
              </w:rPr>
              <w:t>2023</w:t>
            </w:r>
            <w:r>
              <w:rPr>
                <w:rFonts w:hint="default" w:ascii="宋体" w:hAnsi="宋体" w:cs="宋体"/>
                <w:color w:val="auto"/>
                <w:sz w:val="24"/>
                <w:highlight w:val="none"/>
              </w:rPr>
              <w:t>〕</w:t>
            </w:r>
            <w:r>
              <w:rPr>
                <w:rFonts w:hint="default" w:ascii="Times New Roman" w:hAnsi="Times New Roman" w:cs="宋体"/>
                <w:color w:val="auto"/>
                <w:sz w:val="24"/>
                <w:highlight w:val="none"/>
              </w:rPr>
              <w:t>1</w:t>
            </w:r>
            <w:r>
              <w:rPr>
                <w:rFonts w:hint="default" w:ascii="宋体" w:hAnsi="宋体" w:cs="宋体"/>
                <w:color w:val="auto"/>
                <w:sz w:val="24"/>
                <w:highlight w:val="none"/>
              </w:rPr>
              <w:t>号</w:t>
            </w:r>
            <w:r>
              <w:rPr>
                <w:rFonts w:hint="eastAsia" w:ascii="宋体" w:hAnsi="宋体" w:cs="宋体"/>
                <w:color w:val="auto"/>
                <w:kern w:val="0"/>
                <w:sz w:val="24"/>
                <w:highlight w:val="none"/>
              </w:rPr>
              <w:t>）第三条，</w:t>
            </w:r>
            <w:r>
              <w:rPr>
                <w:rFonts w:hint="default" w:ascii="宋体" w:hAnsi="宋体" w:cs="宋体"/>
                <w:color w:val="auto"/>
                <w:sz w:val="24"/>
                <w:highlight w:val="none"/>
              </w:rPr>
              <w:t>本办法适用范围为纳入固定污染源排污许可分类管理名录行业范围的建设项目新增主要污染物排放总量指标的审核与管理</w:t>
            </w:r>
            <w:r>
              <w:rPr>
                <w:rFonts w:hint="eastAsia" w:ascii="宋体" w:hAnsi="宋体" w:cs="宋体"/>
                <w:color w:val="auto"/>
                <w:sz w:val="24"/>
                <w:highlight w:val="none"/>
              </w:rPr>
              <w:t>。</w:t>
            </w:r>
          </w:p>
          <w:p w14:paraId="625EE0FA">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yellow"/>
                <w:lang w:val="en-US" w:eastAsia="zh-CN"/>
              </w:rPr>
            </w:pPr>
            <w:r>
              <w:rPr>
                <w:rFonts w:hint="eastAsia" w:ascii="宋体" w:hAnsi="宋体" w:cs="宋体"/>
                <w:color w:val="auto"/>
                <w:sz w:val="24"/>
                <w:highlight w:val="none"/>
                <w:lang w:val="en-US" w:eastAsia="zh-CN"/>
              </w:rPr>
              <w:t>2026年9月15日，阳泉市生态环境局盂县分局下发了《关于阳泉玻化微珠科技有限公司低浓度瓦斯玻璃微珠项目污染物排放总量控制指标的核定意见》（阳环盂函〔2026〕53号），批复的污染物总量为颗粒物：1.895t/a，二氧化硫0.057t/a，氮氧化物2.65t/a。</w:t>
            </w:r>
          </w:p>
          <w:p w14:paraId="30F3DFB1">
            <w:pPr>
              <w:keepNext w:val="0"/>
              <w:keepLines w:val="0"/>
              <w:suppressLineNumbers w:val="0"/>
              <w:adjustRightInd w:val="0"/>
              <w:snapToGrid w:val="0"/>
              <w:spacing w:before="0" w:beforeAutospacing="0" w:after="0" w:afterAutospacing="0" w:line="360" w:lineRule="auto"/>
              <w:ind w:left="0" w:right="0" w:firstLine="0" w:firstLineChars="0"/>
              <w:jc w:val="both"/>
              <w:rPr>
                <w:rFonts w:hint="eastAsia" w:ascii="宋体" w:hAnsi="宋体" w:cs="宋体"/>
                <w:color w:val="auto"/>
                <w:sz w:val="24"/>
                <w:highlight w:val="none"/>
                <w:lang w:val="en-US" w:eastAsia="zh-CN"/>
              </w:rPr>
            </w:pPr>
          </w:p>
          <w:p w14:paraId="2A005A18">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cs="宋体"/>
                <w:color w:val="auto"/>
                <w:sz w:val="24"/>
                <w:highlight w:val="none"/>
                <w:lang w:val="en-US" w:eastAsia="zh-CN"/>
              </w:rPr>
            </w:pPr>
          </w:p>
          <w:p w14:paraId="29BBDD7C">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cs="宋体"/>
                <w:color w:val="auto"/>
                <w:sz w:val="24"/>
                <w:highlight w:val="none"/>
                <w:lang w:val="en-US" w:eastAsia="zh-CN"/>
              </w:rPr>
            </w:pPr>
          </w:p>
          <w:p w14:paraId="3032F015">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cs="宋体"/>
                <w:color w:val="auto"/>
                <w:sz w:val="24"/>
                <w:highlight w:val="none"/>
                <w:lang w:val="en-US" w:eastAsia="zh-CN"/>
              </w:rPr>
            </w:pPr>
          </w:p>
          <w:p w14:paraId="14EE39DF">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cs="宋体"/>
                <w:color w:val="auto"/>
                <w:sz w:val="24"/>
                <w:highlight w:val="none"/>
                <w:lang w:val="en-US" w:eastAsia="zh-CN"/>
              </w:rPr>
            </w:pPr>
          </w:p>
          <w:p w14:paraId="6FFE8986">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cs="宋体"/>
                <w:color w:val="auto"/>
                <w:sz w:val="24"/>
                <w:highlight w:val="none"/>
                <w:lang w:val="en-US" w:eastAsia="zh-CN"/>
              </w:rPr>
            </w:pPr>
          </w:p>
          <w:p w14:paraId="00575D1A">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cs="宋体"/>
                <w:color w:val="auto"/>
                <w:sz w:val="24"/>
                <w:highlight w:val="none"/>
                <w:lang w:val="en-US" w:eastAsia="zh-CN"/>
              </w:rPr>
            </w:pPr>
          </w:p>
          <w:p w14:paraId="2B68E6FD">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cs="宋体"/>
                <w:color w:val="auto"/>
                <w:sz w:val="24"/>
                <w:highlight w:val="none"/>
                <w:lang w:val="en-US" w:eastAsia="zh-CN"/>
              </w:rPr>
            </w:pPr>
          </w:p>
          <w:p w14:paraId="3D9B9173">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cs="宋体"/>
                <w:color w:val="auto"/>
                <w:sz w:val="24"/>
                <w:highlight w:val="none"/>
                <w:lang w:val="en-US" w:eastAsia="zh-CN"/>
              </w:rPr>
            </w:pPr>
          </w:p>
          <w:p w14:paraId="5D1473E1">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cs="宋体"/>
                <w:color w:val="auto"/>
                <w:sz w:val="24"/>
                <w:highlight w:val="none"/>
                <w:lang w:val="en-US" w:eastAsia="zh-CN"/>
              </w:rPr>
            </w:pPr>
          </w:p>
          <w:p w14:paraId="26139BB6">
            <w:pPr>
              <w:keepNext w:val="0"/>
              <w:keepLines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cs="宋体"/>
                <w:color w:val="auto"/>
                <w:sz w:val="24"/>
                <w:highlight w:val="none"/>
                <w:lang w:val="en-US" w:eastAsia="zh-CN"/>
              </w:rPr>
            </w:pPr>
          </w:p>
          <w:p w14:paraId="75D0E849">
            <w:pPr>
              <w:keepNext w:val="0"/>
              <w:keepLines w:val="0"/>
              <w:suppressLineNumbers w:val="0"/>
              <w:adjustRightInd w:val="0"/>
              <w:snapToGrid w:val="0"/>
              <w:spacing w:before="0" w:beforeAutospacing="0" w:after="0" w:afterAutospacing="0" w:line="360" w:lineRule="auto"/>
              <w:ind w:left="0" w:right="0" w:firstLine="0" w:firstLineChars="0"/>
              <w:jc w:val="both"/>
              <w:rPr>
                <w:rFonts w:hint="default" w:ascii="宋体" w:hAnsi="宋体" w:cs="宋体"/>
                <w:color w:val="auto"/>
                <w:sz w:val="24"/>
                <w:highlight w:val="none"/>
                <w:lang w:val="en-US" w:eastAsia="zh-CN"/>
              </w:rPr>
            </w:pPr>
          </w:p>
        </w:tc>
      </w:tr>
    </w:tbl>
    <w:p w14:paraId="1BE65A1A">
      <w:pPr>
        <w:pStyle w:val="20"/>
        <w:ind w:firstLine="420"/>
        <w:jc w:val="center"/>
        <w:outlineLvl w:val="0"/>
        <w:rPr>
          <w:rFonts w:ascii="黑体" w:hAnsi="黑体" w:eastAsia="黑体"/>
          <w:snapToGrid w:val="0"/>
          <w:color w:val="auto"/>
          <w:sz w:val="30"/>
          <w:szCs w:val="30"/>
          <w:highlight w:val="none"/>
        </w:rPr>
      </w:pPr>
      <w:r>
        <w:rPr>
          <w:rFonts w:ascii="黑体" w:hAnsi="黑体" w:eastAsia="黑体"/>
          <w:snapToGrid w:val="0"/>
          <w:color w:val="auto"/>
          <w:sz w:val="36"/>
          <w:szCs w:val="36"/>
          <w:highlight w:val="none"/>
        </w:rPr>
        <w:br w:type="page"/>
      </w:r>
      <w:r>
        <w:rPr>
          <w:rFonts w:hint="eastAsia" w:ascii="黑体" w:hAnsi="黑体" w:eastAsia="黑体"/>
          <w:snapToGrid w:val="0"/>
          <w:color w:val="auto"/>
          <w:sz w:val="30"/>
          <w:szCs w:val="30"/>
          <w:highlight w:val="none"/>
        </w:rPr>
        <w:t>四、主要环境影响和保护措施</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50"/>
      </w:tblGrid>
      <w:tr w14:paraId="78E164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0" w:hRule="atLeast"/>
          <w:jc w:val="center"/>
        </w:trPr>
        <w:tc>
          <w:tcPr>
            <w:tcW w:w="746" w:type="dxa"/>
            <w:noWrap w:val="0"/>
            <w:tcMar>
              <w:left w:w="28" w:type="dxa"/>
              <w:right w:w="28" w:type="dxa"/>
            </w:tcMar>
            <w:vAlign w:val="center"/>
          </w:tcPr>
          <w:p w14:paraId="59226A56">
            <w:pPr>
              <w:pStyle w:val="20"/>
              <w:keepNext w:val="0"/>
              <w:keepLines w:val="0"/>
              <w:suppressLineNumbers w:val="0"/>
              <w:adjustRightInd w:val="0"/>
              <w:snapToGrid w:val="0"/>
              <w:spacing w:before="0" w:beforeAutospacing="0" w:after="0" w:afterAutospacing="0"/>
              <w:ind w:left="0" w:right="0"/>
              <w:jc w:val="center"/>
              <w:rPr>
                <w:rFonts w:hint="eastAsia" w:cs="宋体"/>
                <w:color w:val="auto"/>
                <w:kern w:val="2"/>
                <w:sz w:val="21"/>
                <w:szCs w:val="21"/>
                <w:highlight w:val="none"/>
              </w:rPr>
            </w:pPr>
            <w:r>
              <w:rPr>
                <w:rFonts w:hint="eastAsia" w:cs="宋体"/>
                <w:color w:val="auto"/>
                <w:kern w:val="2"/>
                <w:sz w:val="21"/>
                <w:szCs w:val="21"/>
                <w:highlight w:val="none"/>
              </w:rPr>
              <w:t>施工</w:t>
            </w:r>
          </w:p>
          <w:p w14:paraId="72110390">
            <w:pPr>
              <w:pStyle w:val="20"/>
              <w:keepNext w:val="0"/>
              <w:keepLines w:val="0"/>
              <w:suppressLineNumbers w:val="0"/>
              <w:adjustRightInd w:val="0"/>
              <w:snapToGrid w:val="0"/>
              <w:spacing w:before="0" w:beforeAutospacing="0" w:after="0" w:afterAutospacing="0"/>
              <w:ind w:left="0" w:right="0"/>
              <w:jc w:val="center"/>
              <w:rPr>
                <w:rFonts w:hint="eastAsia" w:cs="宋体"/>
                <w:color w:val="auto"/>
                <w:kern w:val="2"/>
                <w:sz w:val="21"/>
                <w:szCs w:val="21"/>
                <w:highlight w:val="none"/>
              </w:rPr>
            </w:pPr>
            <w:r>
              <w:rPr>
                <w:rFonts w:hint="eastAsia" w:cs="宋体"/>
                <w:color w:val="auto"/>
                <w:kern w:val="2"/>
                <w:sz w:val="21"/>
                <w:szCs w:val="21"/>
                <w:highlight w:val="none"/>
              </w:rPr>
              <w:t>期环</w:t>
            </w:r>
          </w:p>
          <w:p w14:paraId="5A2A8D33">
            <w:pPr>
              <w:pStyle w:val="20"/>
              <w:keepNext w:val="0"/>
              <w:keepLines w:val="0"/>
              <w:suppressLineNumbers w:val="0"/>
              <w:adjustRightInd w:val="0"/>
              <w:snapToGrid w:val="0"/>
              <w:spacing w:before="0" w:beforeAutospacing="0" w:after="0" w:afterAutospacing="0"/>
              <w:ind w:left="0" w:right="0"/>
              <w:jc w:val="center"/>
              <w:rPr>
                <w:rFonts w:hint="eastAsia" w:cs="宋体"/>
                <w:color w:val="auto"/>
                <w:kern w:val="2"/>
                <w:sz w:val="21"/>
                <w:szCs w:val="21"/>
                <w:highlight w:val="none"/>
              </w:rPr>
            </w:pPr>
            <w:r>
              <w:rPr>
                <w:rFonts w:hint="eastAsia" w:cs="宋体"/>
                <w:color w:val="auto"/>
                <w:kern w:val="2"/>
                <w:sz w:val="21"/>
                <w:szCs w:val="21"/>
                <w:highlight w:val="none"/>
              </w:rPr>
              <w:t>境保</w:t>
            </w:r>
          </w:p>
          <w:p w14:paraId="6752DD05">
            <w:pPr>
              <w:pStyle w:val="20"/>
              <w:keepNext w:val="0"/>
              <w:keepLines w:val="0"/>
              <w:suppressLineNumbers w:val="0"/>
              <w:adjustRightInd w:val="0"/>
              <w:snapToGrid w:val="0"/>
              <w:spacing w:before="0" w:beforeAutospacing="0" w:after="0" w:afterAutospacing="0"/>
              <w:ind w:left="0" w:right="0"/>
              <w:jc w:val="center"/>
              <w:rPr>
                <w:rFonts w:hint="eastAsia" w:cs="宋体"/>
                <w:color w:val="auto"/>
                <w:kern w:val="2"/>
                <w:sz w:val="21"/>
                <w:szCs w:val="21"/>
                <w:highlight w:val="none"/>
              </w:rPr>
            </w:pPr>
            <w:r>
              <w:rPr>
                <w:rFonts w:hint="eastAsia" w:cs="宋体"/>
                <w:color w:val="auto"/>
                <w:kern w:val="2"/>
                <w:sz w:val="21"/>
                <w:szCs w:val="21"/>
                <w:highlight w:val="none"/>
              </w:rPr>
              <w:t>护措</w:t>
            </w:r>
          </w:p>
          <w:p w14:paraId="4C85D04A">
            <w:pPr>
              <w:pStyle w:val="20"/>
              <w:keepNext w:val="0"/>
              <w:keepLines w:val="0"/>
              <w:suppressLineNumbers w:val="0"/>
              <w:adjustRightInd w:val="0"/>
              <w:snapToGrid w:val="0"/>
              <w:spacing w:before="0" w:beforeAutospacing="0" w:after="0" w:afterAutospacing="0"/>
              <w:ind w:left="0" w:right="0"/>
              <w:jc w:val="center"/>
              <w:rPr>
                <w:rFonts w:hint="eastAsia" w:cs="宋体"/>
                <w:bCs w:val="0"/>
                <w:color w:val="auto"/>
                <w:kern w:val="2"/>
                <w:sz w:val="21"/>
                <w:szCs w:val="21"/>
                <w:highlight w:val="none"/>
              </w:rPr>
            </w:pPr>
            <w:r>
              <w:rPr>
                <w:rFonts w:hint="eastAsia" w:cs="宋体"/>
                <w:color w:val="auto"/>
                <w:kern w:val="2"/>
                <w:sz w:val="21"/>
                <w:szCs w:val="21"/>
                <w:highlight w:val="none"/>
              </w:rPr>
              <w:t>施</w:t>
            </w:r>
          </w:p>
        </w:tc>
        <w:tc>
          <w:tcPr>
            <w:tcW w:w="8150" w:type="dxa"/>
            <w:noWrap w:val="0"/>
            <w:vAlign w:val="center"/>
          </w:tcPr>
          <w:p w14:paraId="297ECA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施工期环境保护措施：</w:t>
            </w:r>
          </w:p>
          <w:p w14:paraId="66CA20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本项目施工期为生产车间、原料库、成品库的建设及生产设备环保设施的安装及配电间的拆除，</w:t>
            </w:r>
            <w:r>
              <w:rPr>
                <w:rFonts w:hint="default" w:ascii="Times New Roman" w:hAnsi="Times New Roman" w:cs="Times New Roman"/>
                <w:color w:val="auto"/>
                <w:kern w:val="0"/>
                <w:sz w:val="24"/>
                <w:highlight w:val="none"/>
                <w:lang w:bidi="ar"/>
              </w:rPr>
              <w:t>施工期产生的污染物主要为施工扬尘、施工机械废气、施工废水、施工噪声以及施工固废</w:t>
            </w:r>
            <w:r>
              <w:rPr>
                <w:rFonts w:hint="eastAsia" w:ascii="Times New Roman" w:hAnsi="Times New Roman" w:cs="Times New Roman"/>
                <w:color w:val="auto"/>
                <w:kern w:val="0"/>
                <w:sz w:val="24"/>
                <w:highlight w:val="none"/>
                <w:lang w:eastAsia="zh-CN" w:bidi="ar"/>
              </w:rPr>
              <w:t>等</w:t>
            </w:r>
            <w:r>
              <w:rPr>
                <w:rFonts w:hint="default" w:ascii="Times New Roman" w:hAnsi="Times New Roman" w:cs="Times New Roman"/>
                <w:color w:val="auto"/>
                <w:kern w:val="0"/>
                <w:sz w:val="24"/>
                <w:highlight w:val="none"/>
                <w:lang w:bidi="ar"/>
              </w:rPr>
              <w:t>。</w:t>
            </w:r>
          </w:p>
          <w:p w14:paraId="180A9A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（1）废气</w:t>
            </w:r>
          </w:p>
          <w:p w14:paraId="3FBAE9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环评要求施工期严格按照</w:t>
            </w:r>
            <w:r>
              <w:rPr>
                <w:rFonts w:hint="default" w:ascii="宋体" w:hAnsi="宋体" w:eastAsia="宋体" w:cs="宋体"/>
                <w:i w:val="0"/>
                <w:iCs w:val="0"/>
                <w:caps w:val="0"/>
                <w:color w:val="auto"/>
                <w:spacing w:val="0"/>
                <w:sz w:val="24"/>
                <w:szCs w:val="21"/>
                <w:highlight w:val="none"/>
                <w:shd w:val="clear" w:color="auto" w:fill="auto"/>
              </w:rPr>
              <w:t>山西省落实《空气质量持续改善行动计划》实施方案</w:t>
            </w:r>
            <w:r>
              <w:rPr>
                <w:rFonts w:hint="default" w:ascii="宋体" w:hAnsi="宋体" w:eastAsia="宋体" w:cs="宋体"/>
                <w:i w:val="0"/>
                <w:iCs w:val="0"/>
                <w:caps w:val="0"/>
                <w:color w:val="auto"/>
                <w:spacing w:val="0"/>
                <w:sz w:val="24"/>
                <w:szCs w:val="21"/>
                <w:highlight w:val="none"/>
                <w:shd w:val="clear" w:color="auto" w:fill="auto"/>
                <w:lang w:eastAsia="zh-CN"/>
              </w:rPr>
              <w:t>、</w:t>
            </w:r>
            <w:r>
              <w:rPr>
                <w:rFonts w:hint="eastAsia" w:ascii="宋体" w:hAnsi="宋体" w:eastAsia="宋体" w:cs="宋体"/>
                <w:i w:val="0"/>
                <w:iCs w:val="0"/>
                <w:caps w:val="0"/>
                <w:color w:val="auto"/>
                <w:spacing w:val="0"/>
                <w:sz w:val="24"/>
                <w:szCs w:val="21"/>
                <w:highlight w:val="none"/>
                <w:shd w:val="clear" w:color="auto" w:fill="auto"/>
                <w:lang w:eastAsia="zh-CN"/>
              </w:rPr>
              <w:t>《</w:t>
            </w:r>
            <w:r>
              <w:rPr>
                <w:rFonts w:hint="default" w:ascii="宋体" w:hAnsi="宋体" w:eastAsia="宋体" w:cs="宋体"/>
                <w:color w:val="auto"/>
                <w:sz w:val="24"/>
                <w:szCs w:val="24"/>
                <w:highlight w:val="none"/>
              </w:rPr>
              <w:t>阳泉市空气质量再提升暨退“后十”2023年行动计划</w:t>
            </w:r>
            <w:r>
              <w:rPr>
                <w:rFonts w:hint="eastAsia" w:ascii="宋体" w:hAnsi="宋体" w:eastAsia="宋体" w:cs="宋体"/>
                <w:i w:val="0"/>
                <w:iCs w:val="0"/>
                <w:caps w:val="0"/>
                <w:color w:val="auto"/>
                <w:spacing w:val="0"/>
                <w:sz w:val="24"/>
                <w:szCs w:val="21"/>
                <w:highlight w:val="none"/>
                <w:shd w:val="clear" w:color="auto" w:fill="auto"/>
                <w:lang w:eastAsia="zh-CN"/>
              </w:rPr>
              <w:t>》</w:t>
            </w:r>
            <w:r>
              <w:rPr>
                <w:rFonts w:hint="default" w:ascii="宋体" w:hAnsi="宋体" w:eastAsia="宋体" w:cs="宋体"/>
                <w:color w:val="auto"/>
                <w:sz w:val="24"/>
                <w:highlight w:val="none"/>
                <w:lang w:val="en-US" w:eastAsia="zh-CN"/>
              </w:rPr>
              <w:t>等</w:t>
            </w:r>
            <w:r>
              <w:rPr>
                <w:rFonts w:hint="eastAsia" w:ascii="Times New Roman" w:hAnsi="Times New Roman" w:cs="Times New Roman"/>
                <w:color w:val="auto"/>
                <w:sz w:val="24"/>
                <w:highlight w:val="none"/>
                <w:lang w:val="en-US" w:eastAsia="zh-CN"/>
              </w:rPr>
              <w:t>文件</w:t>
            </w:r>
            <w:r>
              <w:rPr>
                <w:rFonts w:hint="default" w:ascii="Times New Roman" w:hAnsi="Times New Roman" w:cs="Times New Roman"/>
                <w:color w:val="auto"/>
                <w:sz w:val="24"/>
                <w:highlight w:val="none"/>
              </w:rPr>
              <w:t>的</w:t>
            </w:r>
            <w:r>
              <w:rPr>
                <w:rFonts w:hint="eastAsia" w:ascii="Times New Roman" w:hAnsi="Times New Roman" w:cs="Times New Roman"/>
                <w:color w:val="auto"/>
                <w:sz w:val="24"/>
                <w:highlight w:val="none"/>
                <w:lang w:val="en-US" w:eastAsia="zh-CN"/>
              </w:rPr>
              <w:t>相关</w:t>
            </w:r>
            <w:r>
              <w:rPr>
                <w:rFonts w:hint="default" w:ascii="Times New Roman" w:hAnsi="Times New Roman" w:cs="Times New Roman"/>
                <w:color w:val="auto"/>
                <w:sz w:val="24"/>
                <w:highlight w:val="none"/>
              </w:rPr>
              <w:t>要求，加强施工扬尘管控，建设单位应当在施工工地公示扬尘污染防治措施、负责人、扬尘监督管理主管部门等信息，确保做到工地周边围挡、物料堆放覆盖、土方开挖湿法作业、路面硬化、出入车辆清洗、渣土车辆密闭运输“六个百分之百”。结合本项目施工实际情况要求采取如下措施：</w:t>
            </w:r>
          </w:p>
          <w:p w14:paraId="50AFD9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1</w:t>
            </w:r>
            <w:r>
              <w:rPr>
                <w:rFonts w:hint="eastAsia" w:ascii="Times New Roman" w:hAnsi="Times New Roman" w:cs="Times New Roman"/>
                <w:color w:val="auto"/>
                <w:sz w:val="24"/>
                <w:highlight w:val="none"/>
                <w:lang w:eastAsia="zh-CN"/>
              </w:rPr>
              <w:t>）</w:t>
            </w:r>
            <w:r>
              <w:rPr>
                <w:rFonts w:hint="default" w:ascii="宋体" w:hAnsi="宋体" w:cs="Times New Roman"/>
                <w:color w:val="auto"/>
                <w:sz w:val="24"/>
                <w:highlight w:val="none"/>
              </w:rPr>
              <w:t>施工围挡。施工</w:t>
            </w:r>
            <w:r>
              <w:rPr>
                <w:rFonts w:hint="eastAsia" w:ascii="宋体" w:hAnsi="宋体" w:cs="Times New Roman"/>
                <w:color w:val="auto"/>
                <w:sz w:val="24"/>
                <w:highlight w:val="none"/>
                <w:lang w:eastAsia="zh-CN"/>
              </w:rPr>
              <w:t>场地</w:t>
            </w:r>
            <w:r>
              <w:rPr>
                <w:rFonts w:hint="default" w:ascii="宋体" w:hAnsi="宋体" w:cs="Times New Roman"/>
                <w:color w:val="auto"/>
                <w:sz w:val="24"/>
                <w:highlight w:val="none"/>
              </w:rPr>
              <w:t>必须设置封闭式硬质围挡，高度不得低于</w:t>
            </w:r>
            <w:r>
              <w:rPr>
                <w:rFonts w:hint="default" w:ascii="Times New Roman" w:hAnsi="Times New Roman" w:cs="Times New Roman"/>
                <w:color w:val="auto"/>
                <w:sz w:val="24"/>
                <w:highlight w:val="none"/>
              </w:rPr>
              <w:t>2.0</w:t>
            </w:r>
            <w:r>
              <w:rPr>
                <w:rFonts w:hint="default" w:ascii="宋体" w:hAnsi="宋体" w:cs="Times New Roman"/>
                <w:color w:val="auto"/>
                <w:sz w:val="24"/>
                <w:highlight w:val="none"/>
              </w:rPr>
              <w:t>米，必须坚固稳定、整洁美观、基础牢固，无歪斜、破损；并设置高压雾化喷淋设施；外脚手架应使用密目式安全网封闭并保持整洁，提倡使用满足功能要求的新型防护材料。</w:t>
            </w:r>
          </w:p>
          <w:p w14:paraId="104411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2</w:t>
            </w:r>
            <w:r>
              <w:rPr>
                <w:rFonts w:hint="eastAsia" w:ascii="Times New Roman" w:hAnsi="Times New Roman" w:cs="Times New Roman"/>
                <w:color w:val="auto"/>
                <w:sz w:val="24"/>
                <w:highlight w:val="none"/>
                <w:lang w:eastAsia="zh-CN"/>
              </w:rPr>
              <w:t>）</w:t>
            </w:r>
            <w:r>
              <w:rPr>
                <w:rFonts w:hint="default" w:ascii="宋体" w:hAnsi="宋体" w:cs="Times New Roman"/>
                <w:color w:val="auto"/>
                <w:sz w:val="24"/>
                <w:highlight w:val="none"/>
              </w:rPr>
              <w:t>车辆冲洗。建筑工地出入口必须设置车辆冲洗设施，保证喷淋高度和水源压力，满足冲洗要求，不得污泥横流。各种工程车辆和机械设备特别是渣土车辆车轮及车身必须冲洗，冲洗干净方可上路，严禁带泥上路，对工程进出口两侧各</w:t>
            </w:r>
            <w:r>
              <w:rPr>
                <w:rFonts w:hint="default" w:ascii="Times New Roman" w:hAnsi="Times New Roman" w:cs="Times New Roman"/>
                <w:color w:val="auto"/>
                <w:sz w:val="24"/>
                <w:highlight w:val="none"/>
              </w:rPr>
              <w:t>100</w:t>
            </w:r>
            <w:r>
              <w:rPr>
                <w:rFonts w:hint="default" w:ascii="宋体" w:hAnsi="宋体" w:cs="Times New Roman"/>
                <w:color w:val="auto"/>
                <w:sz w:val="24"/>
                <w:highlight w:val="none"/>
              </w:rPr>
              <w:t>米路面保持清洁，专人进行冲洗保洁和洒水降尘，确保</w:t>
            </w:r>
            <w:r>
              <w:rPr>
                <w:rFonts w:hint="default" w:ascii="Times New Roman" w:hAnsi="Times New Roman" w:cs="Times New Roman"/>
                <w:color w:val="auto"/>
                <w:sz w:val="24"/>
                <w:highlight w:val="none"/>
              </w:rPr>
              <w:t>“</w:t>
            </w:r>
            <w:r>
              <w:rPr>
                <w:rFonts w:hint="default" w:ascii="宋体" w:hAnsi="宋体" w:cs="Times New Roman"/>
                <w:color w:val="auto"/>
                <w:sz w:val="24"/>
                <w:highlight w:val="none"/>
              </w:rPr>
              <w:t>扬尘不出院、路面不见土、车辆不带泥、周边不起尘</w:t>
            </w:r>
            <w:r>
              <w:rPr>
                <w:rFonts w:hint="default" w:ascii="Times New Roman" w:hAnsi="Times New Roman" w:cs="Times New Roman"/>
                <w:color w:val="auto"/>
                <w:sz w:val="24"/>
                <w:highlight w:val="none"/>
              </w:rPr>
              <w:t>”</w:t>
            </w:r>
            <w:r>
              <w:rPr>
                <w:rFonts w:hint="default" w:ascii="宋体" w:hAnsi="宋体" w:cs="Times New Roman"/>
                <w:color w:val="auto"/>
                <w:sz w:val="24"/>
                <w:highlight w:val="none"/>
              </w:rPr>
              <w:t>。</w:t>
            </w:r>
          </w:p>
          <w:p w14:paraId="176509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3</w:t>
            </w:r>
            <w:r>
              <w:rPr>
                <w:rFonts w:hint="eastAsia" w:ascii="Times New Roman" w:hAnsi="Times New Roman" w:cs="Times New Roman"/>
                <w:color w:val="auto"/>
                <w:sz w:val="24"/>
                <w:highlight w:val="none"/>
                <w:lang w:eastAsia="zh-CN"/>
              </w:rPr>
              <w:t>）</w:t>
            </w:r>
            <w:r>
              <w:rPr>
                <w:rFonts w:hint="default" w:ascii="宋体" w:hAnsi="宋体" w:cs="Times New Roman"/>
                <w:color w:val="auto"/>
                <w:sz w:val="24"/>
                <w:highlight w:val="none"/>
              </w:rPr>
              <w:t>车辆运输。运输物料车辆须采用新能源或满足国六标准</w:t>
            </w:r>
            <w:r>
              <w:rPr>
                <w:rFonts w:hint="eastAsia" w:ascii="宋体" w:hAnsi="宋体" w:cs="Times New Roman"/>
                <w:color w:val="auto"/>
                <w:sz w:val="24"/>
                <w:highlight w:val="none"/>
                <w:lang w:val="en-US" w:eastAsia="zh-CN"/>
              </w:rPr>
              <w:t>的</w:t>
            </w:r>
            <w:r>
              <w:rPr>
                <w:rFonts w:hint="default" w:ascii="宋体" w:hAnsi="宋体" w:cs="Times New Roman"/>
                <w:color w:val="auto"/>
                <w:sz w:val="24"/>
                <w:highlight w:val="none"/>
              </w:rPr>
              <w:t>运输车辆</w:t>
            </w:r>
            <w:r>
              <w:rPr>
                <w:rFonts w:hint="eastAsia" w:ascii="宋体" w:hAnsi="宋体" w:cs="Times New Roman"/>
                <w:color w:val="auto"/>
                <w:sz w:val="24"/>
                <w:highlight w:val="none"/>
                <w:lang w:val="en-US" w:eastAsia="zh-CN"/>
              </w:rPr>
              <w:t>且</w:t>
            </w:r>
            <w:r>
              <w:rPr>
                <w:rFonts w:hint="default" w:ascii="宋体" w:hAnsi="宋体" w:cs="Times New Roman"/>
                <w:color w:val="auto"/>
                <w:sz w:val="24"/>
                <w:highlight w:val="none"/>
              </w:rPr>
              <w:t>全部密闭，要做到运输车辆</w:t>
            </w:r>
            <w:r>
              <w:rPr>
                <w:rFonts w:hint="default" w:ascii="Times New Roman" w:hAnsi="Times New Roman" w:cs="Times New Roman"/>
                <w:color w:val="auto"/>
                <w:sz w:val="24"/>
                <w:highlight w:val="none"/>
              </w:rPr>
              <w:t>“</w:t>
            </w:r>
            <w:r>
              <w:rPr>
                <w:rFonts w:hint="default" w:ascii="宋体" w:hAnsi="宋体" w:cs="Times New Roman"/>
                <w:color w:val="auto"/>
                <w:sz w:val="24"/>
                <w:highlight w:val="none"/>
              </w:rPr>
              <w:t>三不进两不出</w:t>
            </w:r>
            <w:r>
              <w:rPr>
                <w:rFonts w:hint="default" w:ascii="Times New Roman" w:hAnsi="Times New Roman" w:cs="Times New Roman"/>
                <w:color w:val="auto"/>
                <w:sz w:val="24"/>
                <w:highlight w:val="none"/>
              </w:rPr>
              <w:t>”</w:t>
            </w:r>
            <w:r>
              <w:rPr>
                <w:rFonts w:hint="default" w:ascii="宋体" w:hAnsi="宋体" w:cs="Times New Roman"/>
                <w:color w:val="auto"/>
                <w:sz w:val="24"/>
                <w:highlight w:val="none"/>
              </w:rPr>
              <w:t>（不达标禁止进入、无准运证禁止进入、密闭装置损坏禁止进入；车厢未密闭禁止驶出、车身不洁禁止驶出）。</w:t>
            </w:r>
          </w:p>
          <w:p w14:paraId="37BC98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4</w:t>
            </w:r>
            <w:r>
              <w:rPr>
                <w:rFonts w:hint="eastAsia" w:ascii="Times New Roman" w:hAnsi="Times New Roman" w:cs="Times New Roman"/>
                <w:color w:val="auto"/>
                <w:sz w:val="24"/>
                <w:highlight w:val="none"/>
                <w:lang w:eastAsia="zh-CN"/>
              </w:rPr>
              <w:t>）</w:t>
            </w:r>
            <w:r>
              <w:rPr>
                <w:rFonts w:hint="default" w:ascii="宋体" w:hAnsi="宋体" w:cs="Times New Roman"/>
                <w:color w:val="auto"/>
                <w:sz w:val="24"/>
                <w:highlight w:val="none"/>
              </w:rPr>
              <w:t>垃圾清运。施工现场建筑垃圾、生活垃圾要分类、集中堆放，日产日清；装饰、安装阶段宜采用成品、半成品实施装配式作业，减少因石材、砌体、混凝土等材料切割加工造成的扬尘污染。</w:t>
            </w:r>
            <w:r>
              <w:rPr>
                <w:rFonts w:hint="eastAsia" w:ascii="宋体" w:hAnsi="宋体" w:cs="Times New Roman"/>
                <w:color w:val="auto"/>
                <w:sz w:val="24"/>
                <w:highlight w:val="none"/>
                <w:lang w:val="en-US" w:eastAsia="zh-CN"/>
              </w:rPr>
              <w:t>应</w:t>
            </w:r>
            <w:r>
              <w:rPr>
                <w:rFonts w:hint="default" w:ascii="宋体" w:hAnsi="宋体" w:cs="Times New Roman"/>
                <w:color w:val="auto"/>
                <w:sz w:val="24"/>
                <w:highlight w:val="none"/>
              </w:rPr>
              <w:t>采取有效降尘抑尘措施，严禁露天切割作业。</w:t>
            </w:r>
          </w:p>
          <w:p w14:paraId="1ECAE2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8</w:t>
            </w:r>
            <w:r>
              <w:rPr>
                <w:rFonts w:hint="eastAsia" w:ascii="Times New Roman" w:hAnsi="Times New Roman" w:cs="Times New Roman"/>
                <w:color w:val="auto"/>
                <w:sz w:val="24"/>
                <w:szCs w:val="24"/>
                <w:highlight w:val="none"/>
                <w:lang w:eastAsia="zh-CN"/>
              </w:rPr>
              <w:t>）</w:t>
            </w:r>
            <w:r>
              <w:rPr>
                <w:rFonts w:hint="default" w:ascii="宋体" w:hAnsi="宋体" w:cs="Times New Roman"/>
                <w:color w:val="auto"/>
                <w:sz w:val="24"/>
                <w:szCs w:val="24"/>
                <w:highlight w:val="none"/>
              </w:rPr>
              <w:t>现场公示。建筑工地现场必须制定扬尘污染防治方案落实责任人；施工现场门口必须按</w:t>
            </w:r>
            <w:r>
              <w:rPr>
                <w:rFonts w:hint="default" w:ascii="Times New Roman" w:hAnsi="Times New Roman" w:cs="Times New Roman"/>
                <w:color w:val="auto"/>
                <w:sz w:val="24"/>
                <w:szCs w:val="24"/>
                <w:highlight w:val="none"/>
              </w:rPr>
              <w:t>要求设置扬尘防治管理公示牌。要将扬尘防治措施的各项要求纳入工人教育培训、岗前交底及工作奖惩，提高一线作业人员扬尘防治自觉性。</w:t>
            </w:r>
          </w:p>
          <w:p w14:paraId="4A2645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9</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机械设备。建设单位不得租赁、购买、使用排放不合格的、未在环境部门登记备案的非道路移动机械设备，并切实加强日常管理，采取有效措施，防止、减少非道路移动机械排气污染。</w:t>
            </w:r>
          </w:p>
          <w:p w14:paraId="696AEB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（2）废水</w:t>
            </w:r>
          </w:p>
          <w:p w14:paraId="0BD851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施工期间产生的废水主要是施工人员的生活</w:t>
            </w:r>
            <w:r>
              <w:rPr>
                <w:rFonts w:hint="eastAsia" w:ascii="Times New Roman" w:hAnsi="Times New Roman" w:cs="Times New Roman"/>
                <w:color w:val="auto"/>
                <w:sz w:val="24"/>
                <w:szCs w:val="24"/>
                <w:highlight w:val="none"/>
                <w:lang w:val="en-US" w:eastAsia="zh-CN"/>
              </w:rPr>
              <w:t>污水</w:t>
            </w:r>
            <w:r>
              <w:rPr>
                <w:rFonts w:hint="eastAsia" w:ascii="Times New Roman" w:hAnsi="Times New Roman" w:cs="Times New Roman"/>
                <w:color w:val="auto"/>
                <w:sz w:val="24"/>
                <w:szCs w:val="24"/>
                <w:highlight w:val="none"/>
              </w:rPr>
              <w:t>以及车辆的冲洗废水。产生的废水经沉淀池沉淀后，进行洒水抑尘，实现废水零排放。</w:t>
            </w:r>
          </w:p>
          <w:p w14:paraId="2F83F2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（3）噪声</w:t>
            </w:r>
          </w:p>
          <w:p w14:paraId="66CD5B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1）合理安排施工时间：制订施工计划时，应尽可能避免大量高噪声设备同时施工。2）降低设备声级：设备选型上尽量采用低噪声设备；对动力机械设备进行定期的维修、养护，维修不良的设备常因构动部件的振动而增加其工作时声级；闲置不用的设备应立即关闭。3）降低人为噪音：按规定操作机械设备，遵守作业规定，减少碰撞</w:t>
            </w:r>
            <w:r>
              <w:rPr>
                <w:rFonts w:hint="eastAsia" w:ascii="Times New Roman" w:hAnsi="Times New Roman" w:cs="Times New Roman"/>
                <w:color w:val="auto"/>
                <w:sz w:val="24"/>
                <w:szCs w:val="24"/>
                <w:highlight w:val="none"/>
                <w:lang w:val="en-US" w:eastAsia="zh-CN"/>
              </w:rPr>
              <w:t>噪声</w:t>
            </w:r>
            <w:r>
              <w:rPr>
                <w:rFonts w:hint="eastAsia" w:ascii="Times New Roman" w:hAnsi="Times New Roman" w:cs="Times New Roman"/>
                <w:color w:val="auto"/>
                <w:sz w:val="24"/>
                <w:szCs w:val="24"/>
                <w:highlight w:val="none"/>
              </w:rPr>
              <w:t>；尽量少用哨子、电铃、笛等指挥作业。4）运输要采用车况良好的车辆，并应注意定期维修、养护。</w:t>
            </w:r>
          </w:p>
          <w:p w14:paraId="5FF171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（4）固体废物</w:t>
            </w:r>
          </w:p>
          <w:p w14:paraId="7ED266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eastAsia="宋体" w:cs="Times New Roman"/>
                <w:color w:val="auto"/>
                <w:sz w:val="24"/>
                <w:szCs w:val="24"/>
                <w:highlight w:val="none"/>
              </w:rPr>
              <w:t>施工期</w:t>
            </w:r>
            <w:r>
              <w:rPr>
                <w:rFonts w:hint="eastAsia" w:ascii="Times New Roman" w:hAnsi="Times New Roman" w:eastAsia="宋体" w:cs="Times New Roman"/>
                <w:color w:val="auto"/>
                <w:sz w:val="24"/>
                <w:szCs w:val="24"/>
                <w:highlight w:val="none"/>
                <w:lang w:val="en-US" w:eastAsia="zh-CN"/>
              </w:rPr>
              <w:t>产生的</w:t>
            </w:r>
            <w:r>
              <w:rPr>
                <w:rFonts w:hint="eastAsia" w:ascii="Times New Roman" w:hAnsi="Times New Roman" w:eastAsia="宋体" w:cs="Times New Roman"/>
                <w:color w:val="auto"/>
                <w:sz w:val="24"/>
                <w:szCs w:val="24"/>
                <w:highlight w:val="none"/>
              </w:rPr>
              <w:t>建筑垃圾</w:t>
            </w:r>
            <w:r>
              <w:rPr>
                <w:rFonts w:hint="default" w:ascii="宋体" w:hAnsi="宋体" w:eastAsia="宋体" w:cs="宋体"/>
                <w:color w:val="auto"/>
                <w:sz w:val="24"/>
                <w:szCs w:val="24"/>
                <w:highlight w:val="none"/>
              </w:rPr>
              <w:t>由建设单位集中收集并规范处置</w:t>
            </w:r>
            <w:r>
              <w:rPr>
                <w:rFonts w:hint="eastAsia" w:ascii="Times New Roman" w:hAnsi="Times New Roman" w:eastAsia="宋体" w:cs="Times New Roman"/>
                <w:color w:val="auto"/>
                <w:sz w:val="24"/>
                <w:szCs w:val="24"/>
                <w:highlight w:val="none"/>
              </w:rPr>
              <w:t>，同时避免运输物</w:t>
            </w:r>
            <w:r>
              <w:rPr>
                <w:rFonts w:hint="default" w:ascii="Times New Roman" w:hAnsi="Times New Roman" w:cs="Times New Roman"/>
                <w:color w:val="auto"/>
                <w:sz w:val="24"/>
                <w:szCs w:val="24"/>
                <w:highlight w:val="none"/>
              </w:rPr>
              <w:t>质的遗撒外漏；施工人员生活垃圾经垃圾桶收集后运至当地环卫部门指定地点处置。</w:t>
            </w:r>
          </w:p>
          <w:p w14:paraId="50198E9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eastAsia" w:ascii="宋体" w:hAnsi="宋体" w:cs="宋体"/>
                <w:bCs/>
                <w:color w:val="auto"/>
                <w:spacing w:val="-10"/>
                <w:sz w:val="24"/>
                <w:szCs w:val="24"/>
                <w:highlight w:val="none"/>
                <w:lang w:val="en-US" w:eastAsia="zh-CN"/>
              </w:rPr>
            </w:pPr>
            <w:r>
              <w:rPr>
                <w:rFonts w:hint="eastAsia" w:ascii="宋体" w:hAnsi="宋体" w:cs="宋体"/>
                <w:bCs/>
                <w:color w:val="auto"/>
                <w:spacing w:val="-10"/>
                <w:sz w:val="24"/>
                <w:szCs w:val="24"/>
                <w:highlight w:val="none"/>
                <w:lang w:val="en-US" w:eastAsia="zh-CN"/>
              </w:rPr>
              <w:t>（5）生态环境</w:t>
            </w:r>
          </w:p>
          <w:p w14:paraId="6123DB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本工程施工期间基础工程开挖、填土方作业及物料堆放将带来水土流失等影响。</w:t>
            </w:r>
            <w:r>
              <w:rPr>
                <w:rFonts w:hint="default" w:ascii="Times New Roman" w:hAnsi="Times New Roman" w:eastAsia="宋体" w:cs="Times New Roman"/>
                <w:color w:val="auto"/>
                <w:sz w:val="24"/>
                <w:szCs w:val="24"/>
                <w:highlight w:val="none"/>
                <w:lang w:val="en-US" w:eastAsia="zh-CN"/>
              </w:rPr>
              <w:t>在施工过程中采取以下措施：</w:t>
            </w:r>
          </w:p>
          <w:p w14:paraId="59B1B258">
            <w:pPr>
              <w:keepNext w:val="0"/>
              <w:keepLines w:val="0"/>
              <w:pageBreakBefore w:val="0"/>
              <w:widowControl w:val="0"/>
              <w:numPr>
                <w:ilvl w:val="0"/>
                <w:numId w:val="5"/>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要对建筑材料</w:t>
            </w:r>
            <w:r>
              <w:rPr>
                <w:rFonts w:hint="eastAsia" w:cs="Times New Roman"/>
                <w:color w:val="auto"/>
                <w:sz w:val="24"/>
                <w:szCs w:val="24"/>
                <w:highlight w:val="none"/>
                <w:lang w:val="en-US" w:eastAsia="zh-CN"/>
              </w:rPr>
              <w:t>设置</w:t>
            </w:r>
            <w:r>
              <w:rPr>
                <w:rFonts w:hint="default" w:ascii="Times New Roman" w:hAnsi="Times New Roman" w:eastAsia="宋体" w:cs="Times New Roman"/>
                <w:color w:val="auto"/>
                <w:sz w:val="24"/>
                <w:szCs w:val="24"/>
                <w:highlight w:val="none"/>
                <w:lang w:val="en-US" w:eastAsia="zh-CN"/>
              </w:rPr>
              <w:t>专门的堆棚或设置围挡。B、施工期应尽量避开雨天，并及时夯实地面，对暂不开发处进行绿化，减少水土流失。C、施工结束后对施工场地及时平整，及时按设计要求硬化路面或进行绿化。</w:t>
            </w:r>
          </w:p>
          <w:p w14:paraId="69BB83C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宋体" w:hAnsi="宋体" w:cs="宋体"/>
                <w:bCs w:val="0"/>
                <w:color w:val="auto"/>
                <w:spacing w:val="-10"/>
                <w:szCs w:val="21"/>
                <w:highlight w:val="none"/>
              </w:rPr>
            </w:pPr>
            <w:r>
              <w:rPr>
                <w:rFonts w:hint="eastAsia" w:ascii="Times New Roman" w:hAnsi="Times New Roman" w:eastAsia="宋体" w:cs="Times New Roman"/>
                <w:color w:val="auto"/>
                <w:sz w:val="24"/>
                <w:szCs w:val="24"/>
                <w:highlight w:val="none"/>
                <w:lang w:val="en-US" w:eastAsia="zh-CN"/>
              </w:rPr>
              <w:t>采取以上方案后对周边生态环境影响范围和程度有限，随着施工结束，其生态影响将随之消失。</w:t>
            </w:r>
          </w:p>
        </w:tc>
      </w:tr>
      <w:tr w14:paraId="41EC2E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64" w:hRule="atLeast"/>
          <w:jc w:val="center"/>
        </w:trPr>
        <w:tc>
          <w:tcPr>
            <w:tcW w:w="746" w:type="dxa"/>
            <w:noWrap w:val="0"/>
            <w:tcMar>
              <w:left w:w="28" w:type="dxa"/>
              <w:right w:w="28" w:type="dxa"/>
            </w:tcMar>
            <w:vAlign w:val="center"/>
          </w:tcPr>
          <w:p w14:paraId="625C063B">
            <w:pPr>
              <w:keepNext w:val="0"/>
              <w:keepLines w:val="0"/>
              <w:suppressLineNumbers w:val="0"/>
              <w:adjustRightInd w:val="0"/>
              <w:snapToGrid w:val="0"/>
              <w:spacing w:before="0" w:beforeAutospacing="0" w:after="0" w:afterAutospacing="0"/>
              <w:ind w:left="0" w:right="0"/>
              <w:jc w:val="center"/>
              <w:rPr>
                <w:rFonts w:hint="eastAsia" w:ascii="宋体" w:hAnsi="宋体" w:cs="宋体"/>
                <w:bCs w:val="0"/>
                <w:color w:val="auto"/>
                <w:szCs w:val="21"/>
                <w:highlight w:val="none"/>
              </w:rPr>
            </w:pPr>
            <w:r>
              <w:rPr>
                <w:rFonts w:hint="eastAsia" w:ascii="宋体" w:hAnsi="宋体" w:cs="宋体"/>
                <w:bCs w:val="0"/>
                <w:color w:val="auto"/>
                <w:szCs w:val="21"/>
                <w:highlight w:val="none"/>
              </w:rPr>
              <w:t>运营</w:t>
            </w:r>
          </w:p>
          <w:p w14:paraId="5E61D59C">
            <w:pPr>
              <w:keepNext w:val="0"/>
              <w:keepLines w:val="0"/>
              <w:suppressLineNumbers w:val="0"/>
              <w:adjustRightInd w:val="0"/>
              <w:snapToGrid w:val="0"/>
              <w:spacing w:before="0" w:beforeAutospacing="0" w:after="0" w:afterAutospacing="0"/>
              <w:ind w:left="0" w:right="0"/>
              <w:jc w:val="center"/>
              <w:rPr>
                <w:rFonts w:hint="eastAsia" w:ascii="宋体" w:hAnsi="宋体" w:cs="宋体"/>
                <w:bCs w:val="0"/>
                <w:color w:val="auto"/>
                <w:szCs w:val="21"/>
                <w:highlight w:val="none"/>
              </w:rPr>
            </w:pPr>
            <w:r>
              <w:rPr>
                <w:rFonts w:hint="eastAsia" w:ascii="宋体" w:hAnsi="宋体" w:cs="宋体"/>
                <w:bCs w:val="0"/>
                <w:color w:val="auto"/>
                <w:szCs w:val="21"/>
                <w:highlight w:val="none"/>
              </w:rPr>
              <w:t>期环</w:t>
            </w:r>
          </w:p>
          <w:p w14:paraId="2F802BA8">
            <w:pPr>
              <w:keepNext w:val="0"/>
              <w:keepLines w:val="0"/>
              <w:suppressLineNumbers w:val="0"/>
              <w:adjustRightInd w:val="0"/>
              <w:snapToGrid w:val="0"/>
              <w:spacing w:before="0" w:beforeAutospacing="0" w:after="0" w:afterAutospacing="0"/>
              <w:ind w:left="0" w:right="0"/>
              <w:jc w:val="center"/>
              <w:rPr>
                <w:rFonts w:hint="eastAsia" w:ascii="宋体" w:hAnsi="宋体" w:cs="宋体"/>
                <w:bCs w:val="0"/>
                <w:color w:val="auto"/>
                <w:szCs w:val="21"/>
                <w:highlight w:val="none"/>
              </w:rPr>
            </w:pPr>
            <w:r>
              <w:rPr>
                <w:rFonts w:hint="eastAsia" w:ascii="宋体" w:hAnsi="宋体" w:cs="宋体"/>
                <w:bCs w:val="0"/>
                <w:color w:val="auto"/>
                <w:szCs w:val="21"/>
                <w:highlight w:val="none"/>
              </w:rPr>
              <w:t>境影</w:t>
            </w:r>
          </w:p>
          <w:p w14:paraId="440A48EC">
            <w:pPr>
              <w:keepNext w:val="0"/>
              <w:keepLines w:val="0"/>
              <w:suppressLineNumbers w:val="0"/>
              <w:adjustRightInd w:val="0"/>
              <w:snapToGrid w:val="0"/>
              <w:spacing w:before="0" w:beforeAutospacing="0" w:after="0" w:afterAutospacing="0"/>
              <w:ind w:left="0" w:right="0"/>
              <w:jc w:val="center"/>
              <w:rPr>
                <w:rFonts w:hint="eastAsia" w:ascii="宋体" w:hAnsi="宋体" w:cs="宋体"/>
                <w:bCs w:val="0"/>
                <w:color w:val="auto"/>
                <w:szCs w:val="21"/>
                <w:highlight w:val="none"/>
              </w:rPr>
            </w:pPr>
            <w:r>
              <w:rPr>
                <w:rFonts w:hint="eastAsia" w:ascii="宋体" w:hAnsi="宋体" w:cs="宋体"/>
                <w:bCs w:val="0"/>
                <w:color w:val="auto"/>
                <w:szCs w:val="21"/>
                <w:highlight w:val="none"/>
              </w:rPr>
              <w:t>响和</w:t>
            </w:r>
          </w:p>
          <w:p w14:paraId="59F0E605">
            <w:pPr>
              <w:keepNext w:val="0"/>
              <w:keepLines w:val="0"/>
              <w:suppressLineNumbers w:val="0"/>
              <w:adjustRightInd w:val="0"/>
              <w:snapToGrid w:val="0"/>
              <w:spacing w:before="0" w:beforeAutospacing="0" w:after="0" w:afterAutospacing="0"/>
              <w:ind w:left="0" w:right="0"/>
              <w:jc w:val="center"/>
              <w:rPr>
                <w:rFonts w:hint="eastAsia" w:ascii="宋体" w:hAnsi="宋体" w:cs="宋体"/>
                <w:bCs w:val="0"/>
                <w:color w:val="auto"/>
                <w:szCs w:val="21"/>
                <w:highlight w:val="none"/>
              </w:rPr>
            </w:pPr>
            <w:r>
              <w:rPr>
                <w:rFonts w:hint="eastAsia" w:ascii="宋体" w:hAnsi="宋体" w:cs="宋体"/>
                <w:bCs w:val="0"/>
                <w:color w:val="auto"/>
                <w:szCs w:val="21"/>
                <w:highlight w:val="none"/>
              </w:rPr>
              <w:t>保护</w:t>
            </w:r>
          </w:p>
          <w:p w14:paraId="0D5B963A">
            <w:pPr>
              <w:keepNext w:val="0"/>
              <w:keepLines w:val="0"/>
              <w:suppressLineNumbers w:val="0"/>
              <w:adjustRightInd w:val="0"/>
              <w:snapToGrid w:val="0"/>
              <w:spacing w:before="0" w:beforeAutospacing="0" w:after="0" w:afterAutospacing="0"/>
              <w:ind w:left="0" w:right="0"/>
              <w:jc w:val="center"/>
              <w:rPr>
                <w:rFonts w:hint="default" w:ascii="宋体" w:hAnsi="宋体" w:cs="宋体"/>
                <w:bCs w:val="0"/>
                <w:color w:val="auto"/>
                <w:szCs w:val="21"/>
                <w:highlight w:val="none"/>
              </w:rPr>
            </w:pPr>
            <w:r>
              <w:rPr>
                <w:rFonts w:hint="eastAsia" w:ascii="宋体" w:hAnsi="宋体" w:cs="宋体"/>
                <w:bCs w:val="0"/>
                <w:color w:val="auto"/>
                <w:szCs w:val="21"/>
                <w:highlight w:val="none"/>
              </w:rPr>
              <w:t>措施</w:t>
            </w:r>
          </w:p>
        </w:tc>
        <w:tc>
          <w:tcPr>
            <w:tcW w:w="8150" w:type="dxa"/>
            <w:noWrap w:val="0"/>
            <w:vAlign w:val="center"/>
          </w:tcPr>
          <w:p w14:paraId="151AF332">
            <w:pPr>
              <w:keepNext w:val="0"/>
              <w:keepLines w:val="0"/>
              <w:suppressLineNumbers w:val="0"/>
              <w:adjustRightInd w:val="0"/>
              <w:snapToGrid w:val="0"/>
              <w:spacing w:before="0" w:beforeAutospacing="0" w:after="0" w:afterAutospacing="0" w:line="360" w:lineRule="auto"/>
              <w:ind w:left="0" w:right="0" w:firstLine="442" w:firstLineChars="200"/>
              <w:rPr>
                <w:rFonts w:hint="eastAsia" w:ascii="宋体" w:hAnsi="宋体" w:cs="宋体"/>
                <w:b/>
                <w:color w:val="auto"/>
                <w:spacing w:val="-10"/>
                <w:sz w:val="24"/>
                <w:highlight w:val="none"/>
              </w:rPr>
            </w:pPr>
            <w:r>
              <w:rPr>
                <w:rFonts w:hint="eastAsia" w:cs="宋体"/>
                <w:b/>
                <w:color w:val="auto"/>
                <w:spacing w:val="-10"/>
                <w:sz w:val="24"/>
                <w:highlight w:val="none"/>
                <w:lang w:eastAsia="zh-CN"/>
              </w:rPr>
              <w:t>1.</w:t>
            </w:r>
            <w:r>
              <w:rPr>
                <w:rFonts w:hint="eastAsia" w:ascii="宋体" w:hAnsi="宋体" w:cs="宋体"/>
                <w:b/>
                <w:color w:val="auto"/>
                <w:spacing w:val="-10"/>
                <w:sz w:val="24"/>
                <w:highlight w:val="none"/>
              </w:rPr>
              <w:t>废气</w:t>
            </w:r>
          </w:p>
          <w:p w14:paraId="29E5071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hAnsi="Times New Roman" w:cs="Times New Roman"/>
                <w:color w:val="auto"/>
                <w:sz w:val="24"/>
                <w:highlight w:val="none"/>
              </w:rPr>
            </w:pPr>
            <w:r>
              <w:rPr>
                <w:rFonts w:hint="eastAsia" w:hAnsi="Times New Roman" w:cs="Times New Roman"/>
                <w:color w:val="auto"/>
                <w:sz w:val="24"/>
                <w:highlight w:val="none"/>
              </w:rPr>
              <w:t>产排污环节，本项目大气污染源排放情况见下表</w:t>
            </w:r>
            <w:r>
              <w:rPr>
                <w:rFonts w:hint="eastAsia" w:ascii="Times New Roman" w:hAnsi="Times New Roman" w:cs="Times New Roman"/>
                <w:color w:val="auto"/>
                <w:sz w:val="24"/>
                <w:highlight w:val="none"/>
              </w:rPr>
              <w:t>4</w:t>
            </w:r>
            <w:r>
              <w:rPr>
                <w:rFonts w:hint="eastAsia" w:hAnsi="Times New Roman" w:cs="Times New Roman"/>
                <w:color w:val="auto"/>
                <w:sz w:val="24"/>
                <w:highlight w:val="none"/>
              </w:rPr>
              <w:t>-</w:t>
            </w:r>
            <w:r>
              <w:rPr>
                <w:rFonts w:hint="eastAsia" w:ascii="Times New Roman" w:hAnsi="Times New Roman" w:cs="Times New Roman"/>
                <w:color w:val="auto"/>
                <w:sz w:val="24"/>
                <w:highlight w:val="none"/>
              </w:rPr>
              <w:t>1</w:t>
            </w:r>
            <w:r>
              <w:rPr>
                <w:rFonts w:hint="eastAsia" w:hAnsi="Times New Roman" w:cs="Times New Roman"/>
                <w:color w:val="auto"/>
                <w:sz w:val="24"/>
                <w:highlight w:val="none"/>
              </w:rPr>
              <w:t>。</w:t>
            </w:r>
          </w:p>
          <w:p w14:paraId="20017381">
            <w:pPr>
              <w:keepNext w:val="0"/>
              <w:keepLines w:val="0"/>
              <w:suppressLineNumbers w:val="0"/>
              <w:spacing w:before="0" w:beforeAutospacing="0" w:after="0" w:afterAutospacing="0"/>
              <w:ind w:left="0" w:right="0"/>
              <w:jc w:val="center"/>
              <w:rPr>
                <w:rFonts w:hint="eastAsia"/>
                <w:color w:val="auto"/>
              </w:rPr>
            </w:pPr>
            <w:r>
              <w:rPr>
                <w:rFonts w:hint="default" w:ascii="Times New Roman" w:hAnsi="Times New Roman" w:eastAsia="宋体" w:cs="Times New Roman"/>
                <w:b/>
                <w:bCs/>
                <w:color w:val="auto"/>
                <w:sz w:val="24"/>
                <w:szCs w:val="24"/>
                <w:highlight w:val="none"/>
              </w:rPr>
              <w:t>表4-1本项目大气污染源排放情况一览表</w:t>
            </w:r>
          </w:p>
          <w:tbl>
            <w:tblPr>
              <w:tblStyle w:val="23"/>
              <w:tblpPr w:leftFromText="180" w:rightFromText="180" w:vertAnchor="text" w:horzAnchor="page" w:tblpX="104" w:tblpY="292"/>
              <w:tblOverlap w:val="never"/>
              <w:tblW w:w="4989"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13"/>
              <w:gridCol w:w="1049"/>
              <w:gridCol w:w="677"/>
              <w:gridCol w:w="748"/>
              <w:gridCol w:w="587"/>
              <w:gridCol w:w="800"/>
              <w:gridCol w:w="1298"/>
              <w:gridCol w:w="899"/>
              <w:gridCol w:w="2"/>
            </w:tblGrid>
            <w:tr w14:paraId="6051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 w:type="pct"/>
                <w:trHeight w:val="510" w:hRule="atLeast"/>
              </w:trPr>
              <w:tc>
                <w:tcPr>
                  <w:tcW w:w="1167" w:type="pct"/>
                  <w:gridSpan w:val="2"/>
                  <w:noWrap w:val="0"/>
                  <w:vAlign w:val="center"/>
                </w:tcPr>
                <w:p w14:paraId="1BB773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污染源名称</w:t>
                  </w:r>
                </w:p>
              </w:tc>
              <w:tc>
                <w:tcPr>
                  <w:tcW w:w="663" w:type="pct"/>
                  <w:noWrap w:val="0"/>
                  <w:vAlign w:val="center"/>
                </w:tcPr>
                <w:p w14:paraId="331CAE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运输扬尘</w:t>
                  </w:r>
                </w:p>
              </w:tc>
              <w:tc>
                <w:tcPr>
                  <w:tcW w:w="1778" w:type="pct"/>
                  <w:gridSpan w:val="4"/>
                  <w:noWrap w:val="0"/>
                  <w:vAlign w:val="center"/>
                </w:tcPr>
                <w:p w14:paraId="4D6439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Cs w:val="21"/>
                      <w:highlight w:val="none"/>
                      <w:lang w:val="en-US" w:eastAsia="zh-CN"/>
                    </w:rPr>
                    <w:t>玻璃微珠烧制废气</w:t>
                  </w:r>
                </w:p>
              </w:tc>
              <w:tc>
                <w:tcPr>
                  <w:tcW w:w="820" w:type="pct"/>
                  <w:noWrap w:val="0"/>
                  <w:vAlign w:val="center"/>
                </w:tcPr>
                <w:p w14:paraId="0E233D8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Cs w:val="21"/>
                      <w:highlight w:val="none"/>
                      <w:lang w:val="en-US" w:eastAsia="zh-CN"/>
                    </w:rPr>
                    <w:t>投料、筛分产生的粉尘</w:t>
                  </w:r>
                </w:p>
              </w:tc>
              <w:tc>
                <w:tcPr>
                  <w:tcW w:w="568" w:type="pct"/>
                  <w:noWrap w:val="0"/>
                  <w:vAlign w:val="center"/>
                </w:tcPr>
                <w:p w14:paraId="2E5548BC">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未捕集粉尘</w:t>
                  </w:r>
                </w:p>
              </w:tc>
            </w:tr>
            <w:tr w14:paraId="3DD8C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67" w:type="pct"/>
                  <w:gridSpan w:val="2"/>
                  <w:noWrap w:val="0"/>
                  <w:vAlign w:val="center"/>
                </w:tcPr>
                <w:p w14:paraId="032BA93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污染物种类</w:t>
                  </w:r>
                </w:p>
              </w:tc>
              <w:tc>
                <w:tcPr>
                  <w:tcW w:w="663" w:type="pct"/>
                  <w:noWrap w:val="0"/>
                  <w:vAlign w:val="center"/>
                </w:tcPr>
                <w:p w14:paraId="229A50D3">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1"/>
                      <w:szCs w:val="21"/>
                      <w:highlight w:val="none"/>
                    </w:rPr>
                    <w:t>颗粒物</w:t>
                  </w:r>
                </w:p>
              </w:tc>
              <w:tc>
                <w:tcPr>
                  <w:tcW w:w="428" w:type="pct"/>
                  <w:noWrap w:val="0"/>
                  <w:vAlign w:val="center"/>
                </w:tcPr>
                <w:p w14:paraId="4DD49874">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颗粒物</w:t>
                  </w:r>
                </w:p>
              </w:tc>
              <w:tc>
                <w:tcPr>
                  <w:tcW w:w="472" w:type="pct"/>
                  <w:tcBorders>
                    <w:right w:val="single" w:color="000000" w:sz="4" w:space="0"/>
                  </w:tcBorders>
                  <w:noWrap w:val="0"/>
                  <w:vAlign w:val="center"/>
                </w:tcPr>
                <w:p w14:paraId="5B7AC56B">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氮氧化物</w:t>
                  </w:r>
                </w:p>
              </w:tc>
              <w:tc>
                <w:tcPr>
                  <w:tcW w:w="371" w:type="pct"/>
                  <w:tcBorders>
                    <w:left w:val="single" w:color="000000" w:sz="4" w:space="0"/>
                  </w:tcBorders>
                  <w:noWrap w:val="0"/>
                  <w:vAlign w:val="center"/>
                </w:tcPr>
                <w:p w14:paraId="7A7AF47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氨</w:t>
                  </w:r>
                </w:p>
              </w:tc>
              <w:tc>
                <w:tcPr>
                  <w:tcW w:w="505" w:type="pct"/>
                  <w:tcBorders>
                    <w:left w:val="single" w:color="auto" w:sz="4" w:space="0"/>
                  </w:tcBorders>
                  <w:noWrap w:val="0"/>
                  <w:vAlign w:val="center"/>
                </w:tcPr>
                <w:p w14:paraId="477CFE91">
                  <w:pPr>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二氧化硫</w:t>
                  </w:r>
                </w:p>
              </w:tc>
              <w:tc>
                <w:tcPr>
                  <w:tcW w:w="820" w:type="pct"/>
                  <w:noWrap w:val="0"/>
                  <w:vAlign w:val="center"/>
                </w:tcPr>
                <w:p w14:paraId="7E7BE7B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颗粒物</w:t>
                  </w:r>
                </w:p>
              </w:tc>
              <w:tc>
                <w:tcPr>
                  <w:tcW w:w="569" w:type="pct"/>
                  <w:gridSpan w:val="2"/>
                  <w:noWrap w:val="0"/>
                  <w:vAlign w:val="center"/>
                </w:tcPr>
                <w:p w14:paraId="0F66901A">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颗粒物</w:t>
                  </w:r>
                </w:p>
              </w:tc>
            </w:tr>
            <w:tr w14:paraId="6ADD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10" w:hRule="atLeast"/>
              </w:trPr>
              <w:tc>
                <w:tcPr>
                  <w:tcW w:w="1167" w:type="pct"/>
                  <w:gridSpan w:val="2"/>
                  <w:noWrap w:val="0"/>
                  <w:vAlign w:val="center"/>
                </w:tcPr>
                <w:p w14:paraId="43FD4758">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排放形式</w:t>
                  </w:r>
                </w:p>
              </w:tc>
              <w:tc>
                <w:tcPr>
                  <w:tcW w:w="663" w:type="pct"/>
                  <w:noWrap w:val="0"/>
                  <w:vAlign w:val="center"/>
                </w:tcPr>
                <w:p w14:paraId="7C21F74A">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无组织</w:t>
                  </w:r>
                </w:p>
              </w:tc>
              <w:tc>
                <w:tcPr>
                  <w:tcW w:w="1778" w:type="pct"/>
                  <w:gridSpan w:val="4"/>
                  <w:noWrap w:val="0"/>
                  <w:vAlign w:val="center"/>
                </w:tcPr>
                <w:p w14:paraId="4D3CAF50">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有组织</w:t>
                  </w:r>
                </w:p>
              </w:tc>
              <w:tc>
                <w:tcPr>
                  <w:tcW w:w="820" w:type="pct"/>
                  <w:noWrap w:val="0"/>
                  <w:vAlign w:val="center"/>
                </w:tcPr>
                <w:p w14:paraId="1161ECB0">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有组织</w:t>
                  </w:r>
                </w:p>
              </w:tc>
              <w:tc>
                <w:tcPr>
                  <w:tcW w:w="568" w:type="pct"/>
                  <w:noWrap w:val="0"/>
                  <w:vAlign w:val="center"/>
                </w:tcPr>
                <w:p w14:paraId="37C75E3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无组织</w:t>
                  </w:r>
                </w:p>
              </w:tc>
            </w:tr>
            <w:tr w14:paraId="0B10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23" w:hRule="atLeast"/>
              </w:trPr>
              <w:tc>
                <w:tcPr>
                  <w:tcW w:w="1167" w:type="pct"/>
                  <w:gridSpan w:val="2"/>
                  <w:noWrap w:val="0"/>
                  <w:vAlign w:val="center"/>
                </w:tcPr>
                <w:p w14:paraId="1E714B4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废气量（Nm</w:t>
                  </w:r>
                  <w:r>
                    <w:rPr>
                      <w:rFonts w:hint="eastAsia" w:ascii="Times New Roman" w:hAnsi="Times New Roman" w:cs="Times New Roman"/>
                      <w:color w:val="auto"/>
                      <w:sz w:val="21"/>
                      <w:szCs w:val="21"/>
                      <w:highlight w:val="none"/>
                      <w:vertAlign w:val="superscript"/>
                      <w:lang w:val="en-US" w:eastAsia="zh-CN"/>
                    </w:rPr>
                    <w:t>3</w:t>
                  </w:r>
                  <w:r>
                    <w:rPr>
                      <w:rFonts w:hint="eastAsia" w:ascii="Times New Roman" w:hAnsi="Times New Roman" w:cs="Times New Roman"/>
                      <w:color w:val="auto"/>
                      <w:sz w:val="21"/>
                      <w:szCs w:val="21"/>
                      <w:highlight w:val="none"/>
                      <w:lang w:val="en-US" w:eastAsia="zh-CN"/>
                    </w:rPr>
                    <w:t>/h）</w:t>
                  </w:r>
                </w:p>
              </w:tc>
              <w:tc>
                <w:tcPr>
                  <w:tcW w:w="663" w:type="pct"/>
                  <w:noWrap w:val="0"/>
                  <w:vAlign w:val="center"/>
                </w:tcPr>
                <w:p w14:paraId="15B51871">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778" w:type="pct"/>
                  <w:gridSpan w:val="4"/>
                  <w:noWrap w:val="0"/>
                  <w:vAlign w:val="center"/>
                </w:tcPr>
                <w:p w14:paraId="7FE74DCC">
                  <w:pPr>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13822.416</w:t>
                  </w:r>
                </w:p>
              </w:tc>
              <w:tc>
                <w:tcPr>
                  <w:tcW w:w="820" w:type="pct"/>
                  <w:noWrap w:val="0"/>
                  <w:vAlign w:val="center"/>
                </w:tcPr>
                <w:p w14:paraId="4DF9550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eastAsia="zh-CN"/>
                    </w:rPr>
                    <w:t>58000</w:t>
                  </w:r>
                </w:p>
              </w:tc>
              <w:tc>
                <w:tcPr>
                  <w:tcW w:w="568" w:type="pct"/>
                  <w:noWrap w:val="0"/>
                  <w:vAlign w:val="center"/>
                </w:tcPr>
                <w:p w14:paraId="1244951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132C7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00" w:type="pct"/>
                  <w:vMerge w:val="restart"/>
                  <w:noWrap w:val="0"/>
                  <w:vAlign w:val="center"/>
                </w:tcPr>
                <w:p w14:paraId="5E9658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污染物</w:t>
                  </w:r>
                </w:p>
                <w:p w14:paraId="1C1A95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产生情况</w:t>
                  </w:r>
                </w:p>
              </w:tc>
              <w:tc>
                <w:tcPr>
                  <w:tcW w:w="767" w:type="pct"/>
                  <w:noWrap w:val="0"/>
                  <w:vAlign w:val="center"/>
                </w:tcPr>
                <w:p w14:paraId="2A1E1E1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浓度（</w:t>
                  </w:r>
                  <w:r>
                    <w:rPr>
                      <w:rFonts w:hint="eastAsia" w:ascii="Times New Roman" w:hAnsi="Times New Roman" w:cs="Times New Roman"/>
                      <w:color w:val="auto"/>
                      <w:sz w:val="21"/>
                      <w:szCs w:val="21"/>
                      <w:highlight w:val="none"/>
                    </w:rPr>
                    <w:t>mg/m</w:t>
                  </w:r>
                  <w:r>
                    <w:rPr>
                      <w:rFonts w:hint="eastAsia" w:ascii="Times New Roman" w:hAnsi="Times New Roman" w:cs="Times New Roman"/>
                      <w:color w:val="auto"/>
                      <w:sz w:val="21"/>
                      <w:szCs w:val="21"/>
                      <w:highlight w:val="none"/>
                      <w:vertAlign w:val="superscript"/>
                    </w:rPr>
                    <w:t>3</w:t>
                  </w:r>
                  <w:r>
                    <w:rPr>
                      <w:rFonts w:hint="eastAsia" w:ascii="Times New Roman" w:hAnsi="Times New Roman" w:cs="Times New Roman"/>
                      <w:color w:val="auto"/>
                      <w:sz w:val="21"/>
                      <w:szCs w:val="21"/>
                      <w:highlight w:val="none"/>
                      <w:lang w:val="en-US" w:eastAsia="zh-CN"/>
                    </w:rPr>
                    <w:t>）</w:t>
                  </w:r>
                </w:p>
              </w:tc>
              <w:tc>
                <w:tcPr>
                  <w:tcW w:w="663" w:type="pct"/>
                  <w:noWrap w:val="0"/>
                  <w:vAlign w:val="center"/>
                </w:tcPr>
                <w:p w14:paraId="508E69B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428" w:type="pct"/>
                  <w:noWrap w:val="0"/>
                  <w:vAlign w:val="center"/>
                </w:tcPr>
                <w:p w14:paraId="6B294AA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1576</w:t>
                  </w:r>
                </w:p>
              </w:tc>
              <w:tc>
                <w:tcPr>
                  <w:tcW w:w="472" w:type="pct"/>
                  <w:tcBorders>
                    <w:right w:val="single" w:color="000000" w:sz="4" w:space="0"/>
                  </w:tcBorders>
                  <w:noWrap w:val="0"/>
                  <w:vAlign w:val="center"/>
                </w:tcPr>
                <w:p w14:paraId="2B347BA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363.1</w:t>
                  </w:r>
                </w:p>
              </w:tc>
              <w:tc>
                <w:tcPr>
                  <w:tcW w:w="371" w:type="pct"/>
                  <w:tcBorders>
                    <w:left w:val="single" w:color="000000" w:sz="4" w:space="0"/>
                  </w:tcBorders>
                  <w:noWrap w:val="0"/>
                  <w:vAlign w:val="center"/>
                </w:tcPr>
                <w:p w14:paraId="533C1E2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c>
                <w:tcPr>
                  <w:tcW w:w="505" w:type="pct"/>
                  <w:tcBorders>
                    <w:left w:val="single" w:color="auto" w:sz="4" w:space="0"/>
                  </w:tcBorders>
                  <w:noWrap w:val="0"/>
                  <w:vAlign w:val="center"/>
                </w:tcPr>
                <w:p w14:paraId="312A1472">
                  <w:pPr>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1.5</w:t>
                  </w:r>
                </w:p>
              </w:tc>
              <w:tc>
                <w:tcPr>
                  <w:tcW w:w="820" w:type="pct"/>
                  <w:noWrap w:val="0"/>
                  <w:vAlign w:val="center"/>
                </w:tcPr>
                <w:p w14:paraId="6D25DE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884.48</w:t>
                  </w:r>
                </w:p>
              </w:tc>
              <w:tc>
                <w:tcPr>
                  <w:tcW w:w="569" w:type="pct"/>
                  <w:gridSpan w:val="2"/>
                  <w:noWrap w:val="0"/>
                  <w:vAlign w:val="center"/>
                </w:tcPr>
                <w:p w14:paraId="3273D6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6AA6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00" w:type="pct"/>
                  <w:vMerge w:val="continue"/>
                  <w:noWrap w:val="0"/>
                  <w:vAlign w:val="center"/>
                </w:tcPr>
                <w:p w14:paraId="193E7AF9">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p>
              </w:tc>
              <w:tc>
                <w:tcPr>
                  <w:tcW w:w="767" w:type="pct"/>
                  <w:noWrap w:val="0"/>
                  <w:vAlign w:val="center"/>
                </w:tcPr>
                <w:p w14:paraId="0FB7D83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产生速率（kg</w:t>
                  </w:r>
                  <w:r>
                    <w:rPr>
                      <w:rFonts w:hint="eastAsia"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h）</w:t>
                  </w:r>
                </w:p>
              </w:tc>
              <w:tc>
                <w:tcPr>
                  <w:tcW w:w="663" w:type="pct"/>
                  <w:noWrap w:val="0"/>
                  <w:vAlign w:val="center"/>
                </w:tcPr>
                <w:p w14:paraId="41414A3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428" w:type="pct"/>
                  <w:noWrap w:val="0"/>
                  <w:vAlign w:val="center"/>
                </w:tcPr>
                <w:p w14:paraId="3F538E6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21.78</w:t>
                  </w:r>
                </w:p>
              </w:tc>
              <w:tc>
                <w:tcPr>
                  <w:tcW w:w="472" w:type="pct"/>
                  <w:tcBorders>
                    <w:right w:val="single" w:color="000000" w:sz="4" w:space="0"/>
                  </w:tcBorders>
                  <w:noWrap w:val="0"/>
                  <w:vAlign w:val="center"/>
                </w:tcPr>
                <w:p w14:paraId="5279FCF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5.01</w:t>
                  </w:r>
                </w:p>
              </w:tc>
              <w:tc>
                <w:tcPr>
                  <w:tcW w:w="371" w:type="pct"/>
                  <w:tcBorders>
                    <w:left w:val="single" w:color="000000" w:sz="4" w:space="0"/>
                  </w:tcBorders>
                  <w:noWrap w:val="0"/>
                  <w:vAlign w:val="center"/>
                </w:tcPr>
                <w:p w14:paraId="0E191B2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0.11</w:t>
                  </w:r>
                </w:p>
              </w:tc>
              <w:tc>
                <w:tcPr>
                  <w:tcW w:w="505" w:type="pct"/>
                  <w:tcBorders>
                    <w:left w:val="single" w:color="auto" w:sz="4" w:space="0"/>
                  </w:tcBorders>
                  <w:noWrap w:val="0"/>
                  <w:vAlign w:val="center"/>
                </w:tcPr>
                <w:p w14:paraId="5574F1E9">
                  <w:pPr>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0.022</w:t>
                  </w:r>
                </w:p>
              </w:tc>
              <w:tc>
                <w:tcPr>
                  <w:tcW w:w="820" w:type="pct"/>
                  <w:noWrap w:val="0"/>
                  <w:vAlign w:val="center"/>
                </w:tcPr>
                <w:p w14:paraId="6A23F4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color w:val="auto"/>
                      <w:sz w:val="21"/>
                      <w:szCs w:val="21"/>
                      <w:highlight w:val="none"/>
                      <w:lang w:val="en-US" w:eastAsia="zh-CN"/>
                    </w:rPr>
                    <w:t>51.3</w:t>
                  </w:r>
                </w:p>
              </w:tc>
              <w:tc>
                <w:tcPr>
                  <w:tcW w:w="569" w:type="pct"/>
                  <w:gridSpan w:val="2"/>
                  <w:noWrap w:val="0"/>
                  <w:vAlign w:val="center"/>
                </w:tcPr>
                <w:p w14:paraId="6489DB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5.4</w:t>
                  </w:r>
                </w:p>
              </w:tc>
            </w:tr>
            <w:tr w14:paraId="732D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10" w:hRule="atLeast"/>
              </w:trPr>
              <w:tc>
                <w:tcPr>
                  <w:tcW w:w="400" w:type="pct"/>
                  <w:vMerge w:val="continue"/>
                  <w:noWrap w:val="0"/>
                  <w:vAlign w:val="center"/>
                </w:tcPr>
                <w:p w14:paraId="00A95627">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p>
              </w:tc>
              <w:tc>
                <w:tcPr>
                  <w:tcW w:w="767" w:type="pct"/>
                  <w:noWrap w:val="0"/>
                  <w:vAlign w:val="center"/>
                </w:tcPr>
                <w:p w14:paraId="35C38C4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核算方法</w:t>
                  </w:r>
                </w:p>
              </w:tc>
              <w:tc>
                <w:tcPr>
                  <w:tcW w:w="663" w:type="pct"/>
                  <w:noWrap w:val="0"/>
                  <w:vAlign w:val="center"/>
                </w:tcPr>
                <w:p w14:paraId="048D603B">
                  <w:pPr>
                    <w:keepNext w:val="0"/>
                    <w:keepLines w:val="0"/>
                    <w:suppressLineNumbers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经验系数</w:t>
                  </w:r>
                </w:p>
              </w:tc>
              <w:tc>
                <w:tcPr>
                  <w:tcW w:w="1778" w:type="pct"/>
                  <w:gridSpan w:val="4"/>
                  <w:noWrap w:val="0"/>
                  <w:vAlign w:val="center"/>
                </w:tcPr>
                <w:p w14:paraId="5AC618A0">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经验系数</w:t>
                  </w:r>
                </w:p>
              </w:tc>
              <w:tc>
                <w:tcPr>
                  <w:tcW w:w="820" w:type="pct"/>
                  <w:noWrap w:val="0"/>
                  <w:vAlign w:val="center"/>
                </w:tcPr>
                <w:p w14:paraId="12BCB0A8">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经验系数</w:t>
                  </w:r>
                </w:p>
              </w:tc>
              <w:tc>
                <w:tcPr>
                  <w:tcW w:w="568" w:type="pct"/>
                  <w:noWrap w:val="0"/>
                  <w:vAlign w:val="center"/>
                </w:tcPr>
                <w:p w14:paraId="3FC579B6">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经验系数</w:t>
                  </w:r>
                </w:p>
              </w:tc>
            </w:tr>
            <w:tr w14:paraId="2211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10" w:hRule="atLeast"/>
              </w:trPr>
              <w:tc>
                <w:tcPr>
                  <w:tcW w:w="400" w:type="pct"/>
                  <w:vMerge w:val="restart"/>
                  <w:noWrap w:val="0"/>
                  <w:vAlign w:val="center"/>
                </w:tcPr>
                <w:p w14:paraId="40F8556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污染防治措施</w:t>
                  </w:r>
                </w:p>
              </w:tc>
              <w:tc>
                <w:tcPr>
                  <w:tcW w:w="767" w:type="pct"/>
                  <w:noWrap w:val="0"/>
                  <w:vAlign w:val="center"/>
                </w:tcPr>
                <w:p w14:paraId="05014E8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治理设施</w:t>
                  </w:r>
                </w:p>
              </w:tc>
              <w:tc>
                <w:tcPr>
                  <w:tcW w:w="663" w:type="pct"/>
                  <w:noWrap w:val="0"/>
                  <w:vAlign w:val="center"/>
                </w:tcPr>
                <w:p w14:paraId="33851EF4">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
                    </w:rPr>
                    <w:t>加盖篷布，定期清扫洒水</w:t>
                  </w:r>
                </w:p>
              </w:tc>
              <w:tc>
                <w:tcPr>
                  <w:tcW w:w="1778" w:type="pct"/>
                  <w:gridSpan w:val="4"/>
                  <w:noWrap w:val="0"/>
                  <w:vAlign w:val="center"/>
                </w:tcPr>
                <w:p w14:paraId="5D62A4C5">
                  <w:pPr>
                    <w:keepNext w:val="0"/>
                    <w:keepLines w:val="0"/>
                    <w:suppressLineNumbers w:val="0"/>
                    <w:spacing w:before="0" w:beforeAutospacing="0" w:after="0" w:afterAutospacing="0"/>
                    <w:ind w:left="0" w:right="0"/>
                    <w:jc w:val="center"/>
                    <w:rPr>
                      <w:rFonts w:hint="eastAsia" w:cs="Times New Roman"/>
                      <w:color w:val="auto"/>
                      <w:kern w:val="2"/>
                      <w:sz w:val="21"/>
                      <w:szCs w:val="21"/>
                      <w:highlight w:val="none"/>
                      <w:lang w:val="en-US" w:eastAsia="zh-CN" w:bidi="ar"/>
                    </w:rPr>
                  </w:pPr>
                  <w:r>
                    <w:rPr>
                      <w:rFonts w:hint="eastAsia" w:cs="Times New Roman"/>
                      <w:color w:val="auto"/>
                      <w:kern w:val="2"/>
                      <w:sz w:val="21"/>
                      <w:szCs w:val="21"/>
                      <w:highlight w:val="none"/>
                      <w:lang w:val="en-US" w:eastAsia="zh-CN" w:bidi="ar"/>
                    </w:rPr>
                    <w:t>SCR脱硝+</w:t>
                  </w:r>
                  <w:r>
                    <w:rPr>
                      <w:rFonts w:hint="eastAsia" w:ascii="Times New Roman" w:hAnsi="Times New Roman" w:eastAsia="宋体" w:cs="Times New Roman"/>
                      <w:color w:val="auto"/>
                      <w:kern w:val="2"/>
                      <w:sz w:val="21"/>
                      <w:szCs w:val="21"/>
                      <w:highlight w:val="none"/>
                      <w:lang w:val="en-US" w:eastAsia="zh-CN" w:bidi="ar"/>
                    </w:rPr>
                    <w:t>布袋除尘器</w:t>
                  </w:r>
                </w:p>
              </w:tc>
              <w:tc>
                <w:tcPr>
                  <w:tcW w:w="820" w:type="pct"/>
                  <w:noWrap w:val="0"/>
                  <w:vAlign w:val="center"/>
                </w:tcPr>
                <w:p w14:paraId="369F594C">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rPr>
                    <w:t>布袋除尘器</w:t>
                  </w:r>
                </w:p>
              </w:tc>
              <w:tc>
                <w:tcPr>
                  <w:tcW w:w="568" w:type="pct"/>
                  <w:noWrap w:val="0"/>
                  <w:vAlign w:val="center"/>
                </w:tcPr>
                <w:p w14:paraId="244B4B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厂房封闭</w:t>
                  </w:r>
                </w:p>
              </w:tc>
            </w:tr>
            <w:tr w14:paraId="5E78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10" w:hRule="atLeast"/>
              </w:trPr>
              <w:tc>
                <w:tcPr>
                  <w:tcW w:w="400" w:type="pct"/>
                  <w:vMerge w:val="continue"/>
                  <w:noWrap w:val="0"/>
                  <w:vAlign w:val="center"/>
                </w:tcPr>
                <w:p w14:paraId="3EF6690D">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p>
              </w:tc>
              <w:tc>
                <w:tcPr>
                  <w:tcW w:w="767" w:type="pct"/>
                  <w:noWrap w:val="0"/>
                  <w:vAlign w:val="center"/>
                </w:tcPr>
                <w:p w14:paraId="25AE8C4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处理效率（%）</w:t>
                  </w:r>
                </w:p>
              </w:tc>
              <w:tc>
                <w:tcPr>
                  <w:tcW w:w="663" w:type="pct"/>
                  <w:noWrap w:val="0"/>
                  <w:vAlign w:val="center"/>
                </w:tcPr>
                <w:p w14:paraId="3A4E0B21">
                  <w:pPr>
                    <w:keepNext w:val="0"/>
                    <w:keepLines w:val="0"/>
                    <w:suppressLineNumbers w:val="0"/>
                    <w:spacing w:before="0" w:beforeAutospacing="0" w:after="0" w:afterAutospacing="0"/>
                    <w:ind w:left="0" w:right="0"/>
                    <w:jc w:val="center"/>
                    <w:rPr>
                      <w:rFonts w:hint="eastAsia"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70%</w:t>
                  </w:r>
                </w:p>
              </w:tc>
              <w:tc>
                <w:tcPr>
                  <w:tcW w:w="428" w:type="pct"/>
                  <w:noWrap w:val="0"/>
                  <w:vAlign w:val="center"/>
                </w:tcPr>
                <w:p w14:paraId="4845B7D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99.</w:t>
                  </w:r>
                  <w:r>
                    <w:rPr>
                      <w:rFonts w:hint="eastAsia" w:cs="Times New Roman"/>
                      <w:color w:val="auto"/>
                      <w:sz w:val="21"/>
                      <w:szCs w:val="21"/>
                      <w:highlight w:val="none"/>
                      <w:lang w:val="en-US" w:eastAsia="zh-CN"/>
                    </w:rPr>
                    <w:t>4</w:t>
                  </w:r>
                  <w:r>
                    <w:rPr>
                      <w:rFonts w:hint="eastAsia" w:ascii="Times New Roman" w:hAnsi="Times New Roman" w:cs="Times New Roman"/>
                      <w:color w:val="auto"/>
                      <w:sz w:val="21"/>
                      <w:szCs w:val="21"/>
                      <w:highlight w:val="none"/>
                      <w:lang w:val="en-US" w:eastAsia="zh-CN"/>
                    </w:rPr>
                    <w:t>%</w:t>
                  </w:r>
                </w:p>
              </w:tc>
              <w:tc>
                <w:tcPr>
                  <w:tcW w:w="472" w:type="pct"/>
                  <w:tcBorders>
                    <w:right w:val="single" w:color="000000" w:sz="4" w:space="0"/>
                  </w:tcBorders>
                  <w:noWrap w:val="0"/>
                  <w:vAlign w:val="center"/>
                </w:tcPr>
                <w:p w14:paraId="70490B1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80</w:t>
                  </w:r>
                </w:p>
              </w:tc>
              <w:tc>
                <w:tcPr>
                  <w:tcW w:w="371" w:type="pct"/>
                  <w:tcBorders>
                    <w:left w:val="single" w:color="000000" w:sz="4" w:space="0"/>
                  </w:tcBorders>
                  <w:noWrap w:val="0"/>
                  <w:vAlign w:val="center"/>
                </w:tcPr>
                <w:p w14:paraId="50EAF22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505" w:type="pct"/>
                  <w:tcBorders>
                    <w:left w:val="single" w:color="auto" w:sz="4" w:space="0"/>
                  </w:tcBorders>
                  <w:noWrap w:val="0"/>
                  <w:vAlign w:val="center"/>
                </w:tcPr>
                <w:p w14:paraId="09FFBDD2">
                  <w:pPr>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20" w:type="pct"/>
                  <w:noWrap w:val="0"/>
                  <w:vAlign w:val="center"/>
                </w:tcPr>
                <w:p w14:paraId="104733D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98.8%</w:t>
                  </w:r>
                </w:p>
              </w:tc>
              <w:tc>
                <w:tcPr>
                  <w:tcW w:w="568" w:type="pct"/>
                  <w:noWrap w:val="0"/>
                  <w:vAlign w:val="center"/>
                </w:tcPr>
                <w:p w14:paraId="0CA8BA2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99%</w:t>
                  </w:r>
                </w:p>
              </w:tc>
            </w:tr>
            <w:tr w14:paraId="744A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10" w:hRule="atLeast"/>
              </w:trPr>
              <w:tc>
                <w:tcPr>
                  <w:tcW w:w="400" w:type="pct"/>
                  <w:vMerge w:val="restart"/>
                  <w:noWrap w:val="0"/>
                  <w:vAlign w:val="center"/>
                </w:tcPr>
                <w:p w14:paraId="7B5CAB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污染物</w:t>
                  </w:r>
                </w:p>
                <w:p w14:paraId="1AF7F8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排放情况</w:t>
                  </w:r>
                </w:p>
              </w:tc>
              <w:tc>
                <w:tcPr>
                  <w:tcW w:w="767" w:type="pct"/>
                  <w:noWrap w:val="0"/>
                  <w:vAlign w:val="center"/>
                </w:tcPr>
                <w:p w14:paraId="5EA707A5">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浓度（</w:t>
                  </w:r>
                  <w:r>
                    <w:rPr>
                      <w:rFonts w:hint="eastAsia" w:ascii="Times New Roman" w:hAnsi="Times New Roman" w:cs="Times New Roman"/>
                      <w:color w:val="auto"/>
                      <w:sz w:val="21"/>
                      <w:szCs w:val="21"/>
                      <w:highlight w:val="none"/>
                    </w:rPr>
                    <w:t>mg/m</w:t>
                  </w:r>
                  <w:r>
                    <w:rPr>
                      <w:rFonts w:hint="eastAsia" w:ascii="Times New Roman" w:hAnsi="Times New Roman" w:cs="Times New Roman"/>
                      <w:color w:val="auto"/>
                      <w:sz w:val="21"/>
                      <w:szCs w:val="21"/>
                      <w:highlight w:val="none"/>
                      <w:vertAlign w:val="superscript"/>
                    </w:rPr>
                    <w:t>3</w:t>
                  </w:r>
                  <w:r>
                    <w:rPr>
                      <w:rFonts w:hint="eastAsia" w:ascii="Times New Roman" w:hAnsi="Times New Roman" w:cs="Times New Roman"/>
                      <w:color w:val="auto"/>
                      <w:sz w:val="21"/>
                      <w:szCs w:val="21"/>
                      <w:highlight w:val="none"/>
                      <w:lang w:val="en-US" w:eastAsia="zh-CN"/>
                    </w:rPr>
                    <w:t>）</w:t>
                  </w:r>
                </w:p>
              </w:tc>
              <w:tc>
                <w:tcPr>
                  <w:tcW w:w="663" w:type="pct"/>
                  <w:noWrap w:val="0"/>
                  <w:vAlign w:val="center"/>
                </w:tcPr>
                <w:p w14:paraId="195D0FA6">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428" w:type="pct"/>
                  <w:noWrap w:val="0"/>
                  <w:vAlign w:val="center"/>
                </w:tcPr>
                <w:p w14:paraId="0C37C0D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10</w:t>
                  </w:r>
                </w:p>
              </w:tc>
              <w:tc>
                <w:tcPr>
                  <w:tcW w:w="472" w:type="pct"/>
                  <w:tcBorders>
                    <w:right w:val="single" w:color="000000" w:sz="4" w:space="0"/>
                  </w:tcBorders>
                  <w:noWrap w:val="0"/>
                  <w:vAlign w:val="center"/>
                </w:tcPr>
                <w:p w14:paraId="6E6F550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72.62</w:t>
                  </w:r>
                </w:p>
              </w:tc>
              <w:tc>
                <w:tcPr>
                  <w:tcW w:w="371" w:type="pct"/>
                  <w:tcBorders>
                    <w:left w:val="single" w:color="000000" w:sz="4" w:space="0"/>
                  </w:tcBorders>
                  <w:noWrap w:val="0"/>
                  <w:vAlign w:val="center"/>
                </w:tcPr>
                <w:p w14:paraId="46A57BE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c>
                <w:tcPr>
                  <w:tcW w:w="505" w:type="pct"/>
                  <w:tcBorders>
                    <w:left w:val="single" w:color="auto" w:sz="4" w:space="0"/>
                  </w:tcBorders>
                  <w:noWrap w:val="0"/>
                  <w:vAlign w:val="center"/>
                </w:tcPr>
                <w:p w14:paraId="51051D9B">
                  <w:pPr>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1.5</w:t>
                  </w:r>
                </w:p>
              </w:tc>
              <w:tc>
                <w:tcPr>
                  <w:tcW w:w="820" w:type="pct"/>
                  <w:noWrap w:val="0"/>
                  <w:vAlign w:val="center"/>
                </w:tcPr>
                <w:p w14:paraId="1CFADAF8">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10</w:t>
                  </w:r>
                </w:p>
              </w:tc>
              <w:tc>
                <w:tcPr>
                  <w:tcW w:w="568" w:type="pct"/>
                  <w:noWrap w:val="0"/>
                  <w:vAlign w:val="center"/>
                </w:tcPr>
                <w:p w14:paraId="7F27FB2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256C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46" w:hRule="atLeast"/>
              </w:trPr>
              <w:tc>
                <w:tcPr>
                  <w:tcW w:w="400" w:type="pct"/>
                  <w:vMerge w:val="continue"/>
                  <w:noWrap w:val="0"/>
                  <w:vAlign w:val="center"/>
                </w:tcPr>
                <w:p w14:paraId="44449872">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p>
              </w:tc>
              <w:tc>
                <w:tcPr>
                  <w:tcW w:w="767" w:type="pct"/>
                  <w:noWrap w:val="0"/>
                  <w:vAlign w:val="center"/>
                </w:tcPr>
                <w:p w14:paraId="2C744986">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排放速率（kg</w:t>
                  </w:r>
                  <w:r>
                    <w:rPr>
                      <w:rFonts w:hint="eastAsia"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h）</w:t>
                  </w:r>
                </w:p>
              </w:tc>
              <w:tc>
                <w:tcPr>
                  <w:tcW w:w="663" w:type="pct"/>
                  <w:noWrap w:val="0"/>
                  <w:vAlign w:val="center"/>
                </w:tcPr>
                <w:p w14:paraId="5DAC77B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0.026</w:t>
                  </w:r>
                </w:p>
              </w:tc>
              <w:tc>
                <w:tcPr>
                  <w:tcW w:w="428" w:type="pct"/>
                  <w:noWrap w:val="0"/>
                  <w:vAlign w:val="center"/>
                </w:tcPr>
                <w:p w14:paraId="2C4C227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0.138</w:t>
                  </w:r>
                </w:p>
              </w:tc>
              <w:tc>
                <w:tcPr>
                  <w:tcW w:w="472" w:type="pct"/>
                  <w:tcBorders>
                    <w:right w:val="single" w:color="000000" w:sz="4" w:space="0"/>
                  </w:tcBorders>
                  <w:noWrap w:val="0"/>
                  <w:vAlign w:val="center"/>
                </w:tcPr>
                <w:p w14:paraId="5B5B610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c>
                <w:tcPr>
                  <w:tcW w:w="371" w:type="pct"/>
                  <w:tcBorders>
                    <w:left w:val="single" w:color="000000" w:sz="4" w:space="0"/>
                  </w:tcBorders>
                  <w:noWrap w:val="0"/>
                  <w:vAlign w:val="center"/>
                </w:tcPr>
                <w:p w14:paraId="178E03C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0.11</w:t>
                  </w:r>
                </w:p>
              </w:tc>
              <w:tc>
                <w:tcPr>
                  <w:tcW w:w="505" w:type="pct"/>
                  <w:tcBorders>
                    <w:left w:val="single" w:color="auto" w:sz="4" w:space="0"/>
                  </w:tcBorders>
                  <w:noWrap w:val="0"/>
                  <w:vAlign w:val="center"/>
                </w:tcPr>
                <w:p w14:paraId="2F47D5B1">
                  <w:pPr>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0.022</w:t>
                  </w:r>
                </w:p>
              </w:tc>
              <w:tc>
                <w:tcPr>
                  <w:tcW w:w="820" w:type="pct"/>
                  <w:noWrap w:val="0"/>
                  <w:vAlign w:val="center"/>
                </w:tcPr>
                <w:p w14:paraId="6127A31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0.58</w:t>
                  </w:r>
                </w:p>
              </w:tc>
              <w:tc>
                <w:tcPr>
                  <w:tcW w:w="568" w:type="pct"/>
                  <w:noWrap w:val="0"/>
                  <w:vAlign w:val="center"/>
                </w:tcPr>
                <w:p w14:paraId="4AE26CC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0.0</w:t>
                  </w:r>
                  <w:r>
                    <w:rPr>
                      <w:rFonts w:hint="eastAsia" w:cs="Times New Roman"/>
                      <w:color w:val="auto"/>
                      <w:sz w:val="21"/>
                      <w:szCs w:val="21"/>
                      <w:highlight w:val="none"/>
                      <w:lang w:val="en-US" w:eastAsia="zh-CN"/>
                    </w:rPr>
                    <w:t>27</w:t>
                  </w:r>
                </w:p>
              </w:tc>
            </w:tr>
            <w:tr w14:paraId="2889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10" w:hRule="atLeast"/>
              </w:trPr>
              <w:tc>
                <w:tcPr>
                  <w:tcW w:w="400" w:type="pct"/>
                  <w:vMerge w:val="continue"/>
                  <w:noWrap w:val="0"/>
                  <w:vAlign w:val="center"/>
                </w:tcPr>
                <w:p w14:paraId="097E8982">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p>
              </w:tc>
              <w:tc>
                <w:tcPr>
                  <w:tcW w:w="767" w:type="pct"/>
                  <w:noWrap w:val="0"/>
                  <w:vAlign w:val="center"/>
                </w:tcPr>
                <w:p w14:paraId="7524A614">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核算方法</w:t>
                  </w:r>
                </w:p>
              </w:tc>
              <w:tc>
                <w:tcPr>
                  <w:tcW w:w="663" w:type="pct"/>
                  <w:noWrap w:val="0"/>
                  <w:vAlign w:val="center"/>
                </w:tcPr>
                <w:p w14:paraId="445D603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物料衡算</w:t>
                  </w:r>
                </w:p>
              </w:tc>
              <w:tc>
                <w:tcPr>
                  <w:tcW w:w="1778" w:type="pct"/>
                  <w:gridSpan w:val="4"/>
                  <w:noWrap w:val="0"/>
                  <w:vAlign w:val="center"/>
                </w:tcPr>
                <w:p w14:paraId="3B51053F">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物料衡算</w:t>
                  </w:r>
                </w:p>
              </w:tc>
              <w:tc>
                <w:tcPr>
                  <w:tcW w:w="820" w:type="pct"/>
                  <w:noWrap w:val="0"/>
                  <w:vAlign w:val="center"/>
                </w:tcPr>
                <w:p w14:paraId="38EECAD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同行业类比</w:t>
                  </w:r>
                </w:p>
              </w:tc>
              <w:tc>
                <w:tcPr>
                  <w:tcW w:w="568" w:type="pct"/>
                  <w:noWrap w:val="0"/>
                  <w:vAlign w:val="center"/>
                </w:tcPr>
                <w:p w14:paraId="738446B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物料衡算</w:t>
                  </w:r>
                </w:p>
              </w:tc>
            </w:tr>
            <w:tr w14:paraId="42F8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10" w:hRule="atLeast"/>
              </w:trPr>
              <w:tc>
                <w:tcPr>
                  <w:tcW w:w="1167" w:type="pct"/>
                  <w:gridSpan w:val="2"/>
                  <w:noWrap w:val="0"/>
                  <w:vAlign w:val="center"/>
                </w:tcPr>
                <w:p w14:paraId="720B0B7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年运行时间（h/a）</w:t>
                  </w:r>
                </w:p>
              </w:tc>
              <w:tc>
                <w:tcPr>
                  <w:tcW w:w="3830" w:type="pct"/>
                  <w:gridSpan w:val="7"/>
                  <w:noWrap w:val="0"/>
                  <w:vAlign w:val="center"/>
                </w:tcPr>
                <w:p w14:paraId="442065AB">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2640</w:t>
                  </w:r>
                </w:p>
              </w:tc>
            </w:tr>
            <w:tr w14:paraId="190A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10" w:hRule="atLeast"/>
              </w:trPr>
              <w:tc>
                <w:tcPr>
                  <w:tcW w:w="1167" w:type="pct"/>
                  <w:gridSpan w:val="2"/>
                  <w:noWrap w:val="0"/>
                  <w:vAlign w:val="center"/>
                </w:tcPr>
                <w:p w14:paraId="7ED7FAF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年排放量（t/a）</w:t>
                  </w:r>
                </w:p>
              </w:tc>
              <w:tc>
                <w:tcPr>
                  <w:tcW w:w="663" w:type="pct"/>
                  <w:noWrap w:val="0"/>
                  <w:vAlign w:val="center"/>
                </w:tcPr>
                <w:p w14:paraId="4998BE2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w:t>
                  </w:r>
                  <w:r>
                    <w:rPr>
                      <w:rFonts w:hint="eastAsia" w:cs="Times New Roman"/>
                      <w:color w:val="auto"/>
                      <w:sz w:val="21"/>
                      <w:szCs w:val="21"/>
                      <w:highlight w:val="none"/>
                      <w:lang w:val="en-US" w:eastAsia="zh-CN"/>
                    </w:rPr>
                    <w:t>069</w:t>
                  </w:r>
                </w:p>
              </w:tc>
              <w:tc>
                <w:tcPr>
                  <w:tcW w:w="428" w:type="pct"/>
                  <w:noWrap w:val="0"/>
                  <w:vAlign w:val="center"/>
                </w:tcPr>
                <w:p w14:paraId="40FDB06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0.365</w:t>
                  </w:r>
                </w:p>
              </w:tc>
              <w:tc>
                <w:tcPr>
                  <w:tcW w:w="472" w:type="pct"/>
                  <w:tcBorders>
                    <w:right w:val="single" w:color="000000" w:sz="4" w:space="0"/>
                  </w:tcBorders>
                  <w:noWrap w:val="0"/>
                  <w:vAlign w:val="center"/>
                </w:tcPr>
                <w:p w14:paraId="622E541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2.65</w:t>
                  </w:r>
                </w:p>
              </w:tc>
              <w:tc>
                <w:tcPr>
                  <w:tcW w:w="371" w:type="pct"/>
                  <w:tcBorders>
                    <w:left w:val="single" w:color="000000" w:sz="4" w:space="0"/>
                  </w:tcBorders>
                  <w:noWrap w:val="0"/>
                  <w:vAlign w:val="center"/>
                </w:tcPr>
                <w:p w14:paraId="11AC9B6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0.292</w:t>
                  </w:r>
                </w:p>
              </w:tc>
              <w:tc>
                <w:tcPr>
                  <w:tcW w:w="505" w:type="pct"/>
                  <w:tcBorders>
                    <w:left w:val="single" w:color="auto" w:sz="4" w:space="0"/>
                  </w:tcBorders>
                  <w:noWrap w:val="0"/>
                  <w:vAlign w:val="center"/>
                </w:tcPr>
                <w:p w14:paraId="4B945A0E">
                  <w:pPr>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0.057</w:t>
                  </w:r>
                </w:p>
              </w:tc>
              <w:tc>
                <w:tcPr>
                  <w:tcW w:w="820" w:type="pct"/>
                  <w:noWrap w:val="0"/>
                  <w:vAlign w:val="center"/>
                </w:tcPr>
                <w:p w14:paraId="32DF7052">
                  <w:pPr>
                    <w:keepNext w:val="0"/>
                    <w:keepLines w:val="0"/>
                    <w:suppressLineNumbers w:val="0"/>
                    <w:spacing w:before="0" w:beforeAutospacing="0" w:after="0" w:afterAutospacing="0"/>
                    <w:ind w:left="0" w:right="0"/>
                    <w:jc w:val="center"/>
                    <w:rPr>
                      <w:rFonts w:hint="default" w:ascii="Times New Roman" w:hAnsi="Times New Roman" w:cs="Times New Roman"/>
                      <w:b/>
                      <w:bCs w:val="0"/>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1.53</w:t>
                  </w:r>
                </w:p>
              </w:tc>
              <w:tc>
                <w:tcPr>
                  <w:tcW w:w="568" w:type="pct"/>
                  <w:noWrap w:val="0"/>
                  <w:vAlign w:val="center"/>
                </w:tcPr>
                <w:p w14:paraId="0774DF83">
                  <w:pPr>
                    <w:keepNext w:val="0"/>
                    <w:keepLines w:val="0"/>
                    <w:suppressLineNumbers w:val="0"/>
                    <w:spacing w:before="0" w:beforeAutospacing="0" w:after="0" w:afterAutospacing="0"/>
                    <w:ind w:left="0" w:right="0"/>
                    <w:jc w:val="center"/>
                    <w:rPr>
                      <w:rFonts w:hint="default" w:ascii="Times New Roman" w:hAnsi="Times New Roman"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0.07128</w:t>
                  </w:r>
                </w:p>
              </w:tc>
            </w:tr>
            <w:tr w14:paraId="6D39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10" w:hRule="atLeast"/>
              </w:trPr>
              <w:tc>
                <w:tcPr>
                  <w:tcW w:w="400" w:type="pct"/>
                  <w:vMerge w:val="restart"/>
                  <w:noWrap w:val="0"/>
                  <w:vAlign w:val="center"/>
                </w:tcPr>
                <w:p w14:paraId="7C5A6EAA">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排放</w:t>
                  </w:r>
                </w:p>
                <w:p w14:paraId="7D7D2129">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参数</w:t>
                  </w:r>
                </w:p>
                <w:p w14:paraId="7737AD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（有组织）</w:t>
                  </w:r>
                </w:p>
              </w:tc>
              <w:tc>
                <w:tcPr>
                  <w:tcW w:w="767" w:type="pct"/>
                  <w:noWrap w:val="0"/>
                  <w:vAlign w:val="center"/>
                </w:tcPr>
                <w:p w14:paraId="71E619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排气筒高度（m）</w:t>
                  </w:r>
                </w:p>
              </w:tc>
              <w:tc>
                <w:tcPr>
                  <w:tcW w:w="663" w:type="pct"/>
                  <w:noWrap w:val="0"/>
                  <w:vAlign w:val="center"/>
                </w:tcPr>
                <w:p w14:paraId="10725D9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778" w:type="pct"/>
                  <w:gridSpan w:val="4"/>
                  <w:noWrap w:val="0"/>
                  <w:vAlign w:val="center"/>
                </w:tcPr>
                <w:p w14:paraId="7B8303F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15</w:t>
                  </w:r>
                </w:p>
              </w:tc>
              <w:tc>
                <w:tcPr>
                  <w:tcW w:w="820" w:type="pct"/>
                  <w:noWrap w:val="0"/>
                  <w:vAlign w:val="center"/>
                </w:tcPr>
                <w:p w14:paraId="243E840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15</w:t>
                  </w:r>
                </w:p>
              </w:tc>
              <w:tc>
                <w:tcPr>
                  <w:tcW w:w="568" w:type="pct"/>
                  <w:noWrap w:val="0"/>
                  <w:vAlign w:val="center"/>
                </w:tcPr>
                <w:p w14:paraId="6813BE8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3D441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10" w:hRule="atLeast"/>
              </w:trPr>
              <w:tc>
                <w:tcPr>
                  <w:tcW w:w="400" w:type="pct"/>
                  <w:vMerge w:val="continue"/>
                  <w:noWrap w:val="0"/>
                  <w:vAlign w:val="center"/>
                </w:tcPr>
                <w:p w14:paraId="0593F243">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p>
              </w:tc>
              <w:tc>
                <w:tcPr>
                  <w:tcW w:w="767" w:type="pct"/>
                  <w:noWrap w:val="0"/>
                  <w:vAlign w:val="center"/>
                </w:tcPr>
                <w:p w14:paraId="436730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出口内径（m）</w:t>
                  </w:r>
                </w:p>
              </w:tc>
              <w:tc>
                <w:tcPr>
                  <w:tcW w:w="663" w:type="pct"/>
                  <w:noWrap w:val="0"/>
                  <w:vAlign w:val="center"/>
                </w:tcPr>
                <w:p w14:paraId="58BF36A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778" w:type="pct"/>
                  <w:gridSpan w:val="4"/>
                  <w:noWrap w:val="0"/>
                  <w:vAlign w:val="center"/>
                </w:tcPr>
                <w:p w14:paraId="410032E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0.6</w:t>
                  </w:r>
                </w:p>
              </w:tc>
              <w:tc>
                <w:tcPr>
                  <w:tcW w:w="820" w:type="pct"/>
                  <w:noWrap w:val="0"/>
                  <w:vAlign w:val="center"/>
                </w:tcPr>
                <w:p w14:paraId="2CC359C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1.2</w:t>
                  </w:r>
                </w:p>
              </w:tc>
              <w:tc>
                <w:tcPr>
                  <w:tcW w:w="568" w:type="pct"/>
                  <w:noWrap w:val="0"/>
                  <w:vAlign w:val="center"/>
                </w:tcPr>
                <w:p w14:paraId="79D4FCD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27F2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510" w:hRule="atLeast"/>
              </w:trPr>
              <w:tc>
                <w:tcPr>
                  <w:tcW w:w="400" w:type="pct"/>
                  <w:vMerge w:val="continue"/>
                  <w:noWrap w:val="0"/>
                  <w:vAlign w:val="center"/>
                </w:tcPr>
                <w:p w14:paraId="6E9DF248">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p>
              </w:tc>
              <w:tc>
                <w:tcPr>
                  <w:tcW w:w="767" w:type="pct"/>
                  <w:noWrap w:val="0"/>
                  <w:vAlign w:val="center"/>
                </w:tcPr>
                <w:p w14:paraId="7F5886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排放温度（</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w:t>
                  </w:r>
                </w:p>
              </w:tc>
              <w:tc>
                <w:tcPr>
                  <w:tcW w:w="663" w:type="pct"/>
                  <w:noWrap w:val="0"/>
                  <w:vAlign w:val="center"/>
                </w:tcPr>
                <w:p w14:paraId="6AD4705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778" w:type="pct"/>
                  <w:gridSpan w:val="4"/>
                  <w:noWrap w:val="0"/>
                  <w:vAlign w:val="center"/>
                </w:tcPr>
                <w:p w14:paraId="3861728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60</w:t>
                  </w:r>
                </w:p>
              </w:tc>
              <w:tc>
                <w:tcPr>
                  <w:tcW w:w="820" w:type="pct"/>
                  <w:noWrap w:val="0"/>
                  <w:vAlign w:val="center"/>
                </w:tcPr>
                <w:p w14:paraId="1D08220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常温</w:t>
                  </w:r>
                </w:p>
              </w:tc>
              <w:tc>
                <w:tcPr>
                  <w:tcW w:w="568" w:type="pct"/>
                  <w:noWrap w:val="0"/>
                  <w:vAlign w:val="center"/>
                </w:tcPr>
                <w:p w14:paraId="1EEEF98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4086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90" w:hRule="atLeast"/>
              </w:trPr>
              <w:tc>
                <w:tcPr>
                  <w:tcW w:w="400" w:type="pct"/>
                  <w:vMerge w:val="continue"/>
                  <w:noWrap w:val="0"/>
                  <w:vAlign w:val="center"/>
                </w:tcPr>
                <w:p w14:paraId="6798EE8C">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p>
              </w:tc>
              <w:tc>
                <w:tcPr>
                  <w:tcW w:w="767" w:type="pct"/>
                  <w:noWrap w:val="0"/>
                  <w:vAlign w:val="center"/>
                </w:tcPr>
                <w:p w14:paraId="7BA04B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编号</w:t>
                  </w:r>
                </w:p>
              </w:tc>
              <w:tc>
                <w:tcPr>
                  <w:tcW w:w="663" w:type="pct"/>
                  <w:noWrap w:val="0"/>
                  <w:vAlign w:val="center"/>
                </w:tcPr>
                <w:p w14:paraId="1A993ED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778" w:type="pct"/>
                  <w:gridSpan w:val="4"/>
                  <w:noWrap w:val="0"/>
                  <w:vAlign w:val="center"/>
                </w:tcPr>
                <w:p w14:paraId="1C73DA0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DA001</w:t>
                  </w:r>
                </w:p>
              </w:tc>
              <w:tc>
                <w:tcPr>
                  <w:tcW w:w="820" w:type="pct"/>
                  <w:noWrap w:val="0"/>
                  <w:vAlign w:val="center"/>
                </w:tcPr>
                <w:p w14:paraId="092E81C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DA002</w:t>
                  </w:r>
                </w:p>
              </w:tc>
              <w:tc>
                <w:tcPr>
                  <w:tcW w:w="568" w:type="pct"/>
                  <w:noWrap w:val="0"/>
                  <w:vAlign w:val="center"/>
                </w:tcPr>
                <w:p w14:paraId="203654C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2C9E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Height w:val="90" w:hRule="atLeast"/>
              </w:trPr>
              <w:tc>
                <w:tcPr>
                  <w:tcW w:w="400" w:type="pct"/>
                  <w:vMerge w:val="continue"/>
                  <w:noWrap w:val="0"/>
                  <w:vAlign w:val="center"/>
                </w:tcPr>
                <w:p w14:paraId="16181C0F">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highlight w:val="none"/>
                      <w:lang w:val="en-US" w:eastAsia="zh-CN"/>
                    </w:rPr>
                  </w:pPr>
                </w:p>
              </w:tc>
              <w:tc>
                <w:tcPr>
                  <w:tcW w:w="767" w:type="pct"/>
                  <w:noWrap w:val="0"/>
                  <w:vAlign w:val="center"/>
                </w:tcPr>
                <w:p w14:paraId="4FC8D6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地理坐标</w:t>
                  </w:r>
                </w:p>
              </w:tc>
              <w:tc>
                <w:tcPr>
                  <w:tcW w:w="663" w:type="pct"/>
                  <w:noWrap w:val="0"/>
                  <w:vAlign w:val="center"/>
                </w:tcPr>
                <w:p w14:paraId="077E5E5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778" w:type="pct"/>
                  <w:gridSpan w:val="4"/>
                  <w:noWrap w:val="0"/>
                  <w:vAlign w:val="center"/>
                </w:tcPr>
                <w:p w14:paraId="4BB36B72">
                  <w:pPr>
                    <w:pStyle w:val="20"/>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rPr>
                  </w:pPr>
                  <w:r>
                    <w:rPr>
                      <w:rFonts w:hint="eastAsia" w:ascii="Times New Roman" w:hAnsi="Times New Roman" w:eastAsia="宋体" w:cs="Times New Roman"/>
                      <w:color w:val="auto"/>
                      <w:kern w:val="2"/>
                      <w:sz w:val="21"/>
                      <w:szCs w:val="21"/>
                      <w:highlight w:val="none"/>
                    </w:rPr>
                    <w:t>113.40526298,</w:t>
                  </w:r>
                </w:p>
                <w:p w14:paraId="5C2D38CF">
                  <w:pPr>
                    <w:pStyle w:val="20"/>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rPr>
                    <w:t>38.00885764</w:t>
                  </w:r>
                </w:p>
              </w:tc>
              <w:tc>
                <w:tcPr>
                  <w:tcW w:w="820" w:type="pct"/>
                  <w:noWrap w:val="0"/>
                  <w:vAlign w:val="center"/>
                </w:tcPr>
                <w:p w14:paraId="24AD037D">
                  <w:pPr>
                    <w:pStyle w:val="20"/>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rPr>
                  </w:pPr>
                  <w:r>
                    <w:rPr>
                      <w:rFonts w:hint="eastAsia" w:ascii="Times New Roman" w:hAnsi="Times New Roman" w:eastAsia="宋体" w:cs="Times New Roman"/>
                      <w:color w:val="auto"/>
                      <w:kern w:val="2"/>
                      <w:sz w:val="21"/>
                      <w:szCs w:val="21"/>
                      <w:highlight w:val="none"/>
                    </w:rPr>
                    <w:t>113.40548560,</w:t>
                  </w:r>
                </w:p>
                <w:p w14:paraId="29E8B70E">
                  <w:pPr>
                    <w:pStyle w:val="20"/>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i w:val="0"/>
                      <w:iCs w:val="0"/>
                      <w:caps w:val="0"/>
                      <w:color w:val="auto"/>
                      <w:spacing w:val="0"/>
                      <w:sz w:val="21"/>
                      <w:szCs w:val="21"/>
                      <w:highlight w:val="none"/>
                      <w:shd w:val="clear" w:color="auto" w:fill="auto"/>
                      <w:lang w:val="en-US" w:eastAsia="zh-CN"/>
                    </w:rPr>
                  </w:pPr>
                  <w:r>
                    <w:rPr>
                      <w:rFonts w:hint="eastAsia" w:ascii="Times New Roman" w:hAnsi="Times New Roman" w:eastAsia="宋体" w:cs="Times New Roman"/>
                      <w:color w:val="auto"/>
                      <w:kern w:val="2"/>
                      <w:sz w:val="21"/>
                      <w:szCs w:val="21"/>
                      <w:highlight w:val="none"/>
                    </w:rPr>
                    <w:t>38.0088534</w:t>
                  </w:r>
                </w:p>
              </w:tc>
              <w:tc>
                <w:tcPr>
                  <w:tcW w:w="568" w:type="pct"/>
                  <w:noWrap w:val="0"/>
                  <w:vAlign w:val="center"/>
                </w:tcPr>
                <w:p w14:paraId="315FF46B">
                  <w:pPr>
                    <w:pStyle w:val="20"/>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w:t>
                  </w:r>
                </w:p>
              </w:tc>
            </w:tr>
          </w:tbl>
          <w:p w14:paraId="0B99E6EB">
            <w:pPr>
              <w:keepNext w:val="0"/>
              <w:keepLines w:val="0"/>
              <w:suppressLineNumbers w:val="0"/>
              <w:bidi w:val="0"/>
              <w:spacing w:before="0" w:beforeAutospacing="0" w:after="0" w:afterAutospacing="0" w:line="360" w:lineRule="auto"/>
              <w:ind w:left="0" w:right="0" w:firstLine="480" w:firstLineChars="200"/>
              <w:rPr>
                <w:rFonts w:hint="eastAsia" w:ascii="Times New Roman" w:hAnsi="Times New Roman" w:cs="Times New Roman"/>
                <w:color w:val="auto"/>
                <w:sz w:val="24"/>
                <w:szCs w:val="32"/>
                <w:highlight w:val="none"/>
              </w:rPr>
            </w:pPr>
            <w:r>
              <w:rPr>
                <w:rFonts w:hint="eastAsia" w:ascii="Times New Roman" w:hAnsi="Times New Roman" w:cs="Times New Roman"/>
                <w:color w:val="auto"/>
                <w:sz w:val="24"/>
                <w:szCs w:val="32"/>
                <w:highlight w:val="none"/>
              </w:rPr>
              <w:t>1.1污染源分析</w:t>
            </w:r>
          </w:p>
          <w:p w14:paraId="4807C70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textAlignment w:val="auto"/>
              <w:rPr>
                <w:rFonts w:hint="eastAsia" w:hAnsi="宋体" w:eastAsia="宋体" w:cs="宋体"/>
                <w:color w:val="auto"/>
                <w:sz w:val="24"/>
                <w:highlight w:val="none"/>
                <w:lang w:eastAsia="zh-CN"/>
              </w:rPr>
            </w:pPr>
            <w:r>
              <w:rPr>
                <w:rFonts w:hint="default" w:hAnsi="Times New Roman" w:cs="Times New Roman"/>
                <w:color w:val="auto"/>
                <w:sz w:val="24"/>
                <w:szCs w:val="24"/>
                <w:highlight w:val="none"/>
              </w:rPr>
              <w:t>本项目营运期大气污染源为</w:t>
            </w:r>
            <w:r>
              <w:rPr>
                <w:rFonts w:hint="eastAsia" w:hAnsi="Times New Roman" w:cs="Times New Roman"/>
                <w:color w:val="auto"/>
                <w:sz w:val="24"/>
                <w:szCs w:val="24"/>
                <w:highlight w:val="none"/>
                <w:lang w:val="en-US" w:eastAsia="zh-CN"/>
              </w:rPr>
              <w:t>玻璃微珠烧制废气</w:t>
            </w:r>
            <w:r>
              <w:rPr>
                <w:rFonts w:hint="eastAsia" w:hAnsi="Times New Roman" w:cs="Times New Roman"/>
                <w:color w:val="auto"/>
                <w:sz w:val="24"/>
                <w:szCs w:val="24"/>
                <w:highlight w:val="none"/>
                <w:lang w:eastAsia="zh-CN"/>
              </w:rPr>
              <w:t>、</w:t>
            </w:r>
            <w:r>
              <w:rPr>
                <w:rFonts w:hint="eastAsia" w:hAnsi="Times New Roman" w:cs="Times New Roman"/>
                <w:color w:val="auto"/>
                <w:sz w:val="24"/>
                <w:szCs w:val="24"/>
                <w:highlight w:val="none"/>
                <w:lang w:val="en-US" w:eastAsia="zh-CN"/>
              </w:rPr>
              <w:t>玻璃微珠生产线投料、筛分产生的粉尘、运输扬尘。</w:t>
            </w:r>
          </w:p>
          <w:p w14:paraId="6A84768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1.1.1无组织废气</w:t>
            </w:r>
          </w:p>
          <w:p w14:paraId="1CBD2F5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（1）运输扬尘</w:t>
            </w:r>
          </w:p>
          <w:p w14:paraId="6016F75F">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运输扬尘采用《扬尘源颗粒物排放清单编制技术指南》中运输道路扬尘源排放量计算方法进行计算。</w:t>
            </w:r>
          </w:p>
          <w:p w14:paraId="235BCD60">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本项目道路已铺装，采用铺装道路扬尘排放系数计算公式进行核算，公式如下：</w:t>
            </w:r>
          </w:p>
          <w:p w14:paraId="74473893">
            <w:pPr>
              <w:keepNext w:val="0"/>
              <w:keepLines w:val="0"/>
              <w:widowControl w:val="0"/>
              <w:suppressLineNumbers w:val="0"/>
              <w:spacing w:before="0" w:beforeAutospacing="0" w:after="0" w:afterAutospacing="0" w:line="360" w:lineRule="auto"/>
              <w:ind w:left="0" w:right="0" w:firstLine="420" w:firstLineChars="200"/>
              <w:jc w:val="center"/>
              <w:rPr>
                <w:rFonts w:hint="default" w:ascii="Times New Roman" w:hAnsi="Times New Roman" w:eastAsia="宋体" w:cs="Times New Roman"/>
                <w:color w:val="auto"/>
                <w:kern w:val="2"/>
                <w:sz w:val="24"/>
                <w:szCs w:val="24"/>
                <w:highlight w:val="none"/>
              </w:rPr>
            </w:pPr>
            <w:r>
              <w:rPr>
                <w:rFonts w:hint="default" w:ascii="Times New Roman" w:hAnsi="Times New Roman" w:cs="Times New Roman"/>
                <w:color w:val="auto"/>
              </w:rPr>
              <w:drawing>
                <wp:inline distT="0" distB="0" distL="114300" distR="114300">
                  <wp:extent cx="3171825" cy="504825"/>
                  <wp:effectExtent l="0" t="0" r="9525" b="9525"/>
                  <wp:docPr id="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6"/>
                          <pic:cNvPicPr>
                            <a:picLocks noChangeAspect="1"/>
                          </pic:cNvPicPr>
                        </pic:nvPicPr>
                        <pic:blipFill>
                          <a:blip r:embed="rId23"/>
                          <a:stretch>
                            <a:fillRect/>
                          </a:stretch>
                        </pic:blipFill>
                        <pic:spPr>
                          <a:xfrm>
                            <a:off x="0" y="0"/>
                            <a:ext cx="3171825" cy="504825"/>
                          </a:xfrm>
                          <a:prstGeom prst="rect">
                            <a:avLst/>
                          </a:prstGeom>
                          <a:noFill/>
                          <a:ln>
                            <a:noFill/>
                          </a:ln>
                        </pic:spPr>
                      </pic:pic>
                    </a:graphicData>
                  </a:graphic>
                </wp:inline>
              </w:drawing>
            </w:r>
          </w:p>
          <w:p w14:paraId="24F407D9">
            <w:pPr>
              <w:keepNext w:val="0"/>
              <w:keepLines w:val="0"/>
              <w:widowControl w:val="0"/>
              <w:suppressLineNumbers w:val="0"/>
              <w:autoSpaceDE w:val="0"/>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式中：</w:t>
            </w:r>
          </w:p>
          <w:p w14:paraId="742D088A">
            <w:pPr>
              <w:keepNext w:val="0"/>
              <w:keepLines w:val="0"/>
              <w:widowControl w:val="0"/>
              <w:numPr>
                <w:ilvl w:val="0"/>
                <w:numId w:val="0"/>
              </w:numPr>
              <w:suppressLineNumbers w:val="0"/>
              <w:autoSpaceDE/>
              <w:autoSpaceDN/>
              <w:spacing w:before="0" w:beforeAutospacing="0" w:after="0" w:afterAutospacing="0" w:line="360" w:lineRule="auto"/>
              <w:ind w:left="0" w:leftChars="0" w:right="0" w:firstLine="480" w:firstLineChars="200"/>
              <w:jc w:val="both"/>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EPi为铺装道路的扬尘中PMi排放系数，g/km（机动车行驶1千米产生的道路扬尘质量）。</w:t>
            </w:r>
          </w:p>
          <w:p w14:paraId="4E70100B">
            <w:pPr>
              <w:keepNext w:val="0"/>
              <w:keepLines w:val="0"/>
              <w:widowControl w:val="0"/>
              <w:numPr>
                <w:ilvl w:val="0"/>
                <w:numId w:val="0"/>
              </w:numPr>
              <w:suppressLineNumbers w:val="0"/>
              <w:autoSpaceDE/>
              <w:autoSpaceDN/>
              <w:spacing w:before="0" w:beforeAutospacing="0" w:after="0" w:afterAutospacing="0" w:line="360" w:lineRule="auto"/>
              <w:ind w:left="0" w:leftChars="0" w:right="0" w:firstLine="480" w:firstLineChars="200"/>
              <w:jc w:val="both"/>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sz w:val="24"/>
                <w:szCs w:val="24"/>
              </w:rPr>
              <w:t>2）ki为产生的扬尘中PMi的粒度乘数，推荐值见表5。</w:t>
            </w:r>
            <w:r>
              <w:rPr>
                <w:rFonts w:hint="default" w:ascii="Times New Roman" w:hAnsi="Times New Roman" w:eastAsia="宋体" w:cs="Times New Roman"/>
                <w:color w:val="auto"/>
                <w:sz w:val="24"/>
                <w:szCs w:val="24"/>
                <w:lang w:val="en-US" w:eastAsia="zh-CN"/>
              </w:rPr>
              <w:t>本项目取3.23</w:t>
            </w:r>
            <w:r>
              <w:rPr>
                <w:rFonts w:hint="default" w:ascii="Times New Roman" w:hAnsi="Times New Roman" w:eastAsia="宋体" w:cs="Times New Roman"/>
                <w:color w:val="auto"/>
                <w:sz w:val="24"/>
                <w:szCs w:val="24"/>
              </w:rPr>
              <w:t>g/km</w:t>
            </w:r>
            <w:r>
              <w:rPr>
                <w:rFonts w:hint="default" w:ascii="Times New Roman" w:hAnsi="Times New Roman" w:eastAsia="宋体" w:cs="Times New Roman"/>
                <w:color w:val="auto"/>
                <w:sz w:val="24"/>
                <w:szCs w:val="24"/>
                <w:lang w:eastAsia="zh-CN"/>
              </w:rPr>
              <w:t>；</w:t>
            </w:r>
          </w:p>
          <w:p w14:paraId="672803D9">
            <w:pPr>
              <w:keepNext w:val="0"/>
              <w:keepLines w:val="0"/>
              <w:widowControl w:val="0"/>
              <w:numPr>
                <w:ilvl w:val="0"/>
                <w:numId w:val="0"/>
              </w:numPr>
              <w:suppressLineNumbers w:val="0"/>
              <w:autoSpaceDE/>
              <w:autoSpaceDN/>
              <w:spacing w:before="0" w:beforeAutospacing="0" w:after="0" w:afterAutospacing="0" w:line="360" w:lineRule="auto"/>
              <w:ind w:left="0" w:leftChars="0" w:right="0" w:firstLine="480" w:firstLineChars="200"/>
              <w:jc w:val="both"/>
              <w:rPr>
                <w:rFonts w:hint="default" w:ascii="Times New Roman" w:hAnsi="Times New Roman" w:eastAsia="宋体" w:cs="Times New Roman"/>
                <w:color w:val="auto"/>
                <w:kern w:val="2"/>
                <w:sz w:val="24"/>
                <w:szCs w:val="24"/>
                <w:highlight w:val="none"/>
                <w:lang w:eastAsia="zh-CN"/>
              </w:rPr>
            </w:pPr>
            <w:r>
              <w:rPr>
                <w:rFonts w:hint="default" w:ascii="Times New Roman" w:hAnsi="Times New Roman" w:eastAsia="宋体" w:cs="Times New Roman"/>
                <w:color w:val="auto"/>
                <w:sz w:val="24"/>
                <w:szCs w:val="24"/>
              </w:rPr>
              <w:t>3）sL为道路积尘负荷，g/m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g/m</w:t>
            </w:r>
            <w:r>
              <w:rPr>
                <w:rFonts w:hint="default" w:ascii="Times New Roman" w:hAnsi="Times New Roman" w:eastAsia="宋体" w:cs="Times New Roman"/>
                <w:color w:val="auto"/>
                <w:sz w:val="24"/>
                <w:szCs w:val="24"/>
                <w:vertAlign w:val="superscript"/>
              </w:rPr>
              <w:t>2</w:t>
            </w:r>
            <w:r>
              <w:rPr>
                <w:rFonts w:hint="eastAsia" w:cs="Times New Roman"/>
                <w:color w:val="auto"/>
                <w:sz w:val="24"/>
                <w:szCs w:val="24"/>
                <w:vertAlign w:val="superscript"/>
                <w:lang w:eastAsia="zh-CN"/>
              </w:rPr>
              <w:t>.</w:t>
            </w:r>
          </w:p>
          <w:p w14:paraId="3382D8C2">
            <w:pPr>
              <w:keepNext w:val="0"/>
              <w:keepLines w:val="0"/>
              <w:widowControl w:val="0"/>
              <w:numPr>
                <w:ilvl w:val="0"/>
                <w:numId w:val="0"/>
              </w:numPr>
              <w:suppressLineNumbers w:val="0"/>
              <w:autoSpaceDE/>
              <w:autoSpaceDN/>
              <w:spacing w:before="0" w:beforeAutospacing="0" w:after="0" w:afterAutospacing="0" w:line="360" w:lineRule="auto"/>
              <w:ind w:left="0" w:leftChars="0" w:right="0" w:firstLine="480" w:firstLineChars="200"/>
              <w:jc w:val="both"/>
              <w:rPr>
                <w:rFonts w:hint="default" w:ascii="Times New Roman" w:hAnsi="Times New Roman" w:eastAsia="宋体" w:cs="Times New Roman"/>
                <w:color w:val="auto"/>
                <w:kern w:val="2"/>
                <w:sz w:val="24"/>
                <w:szCs w:val="24"/>
                <w:highlight w:val="none"/>
                <w:lang w:eastAsia="zh-CN"/>
              </w:rPr>
            </w:pPr>
            <w:r>
              <w:rPr>
                <w:rFonts w:hint="default" w:ascii="Times New Roman" w:hAnsi="Times New Roman" w:eastAsia="宋体" w:cs="Times New Roman"/>
                <w:color w:val="auto"/>
                <w:sz w:val="24"/>
                <w:szCs w:val="24"/>
              </w:rPr>
              <w:t>4）W为平均车重，t。</w:t>
            </w:r>
            <w:r>
              <w:rPr>
                <w:rFonts w:hint="eastAsia" w:ascii="Times New Roman" w:hAnsi="Times New Roman" w:eastAsia="宋体" w:cs="Times New Roman"/>
                <w:color w:val="auto"/>
                <w:sz w:val="24"/>
                <w:szCs w:val="24"/>
                <w:lang w:val="en-US" w:eastAsia="zh-CN"/>
              </w:rPr>
              <w:t>30t/辆</w:t>
            </w:r>
          </w:p>
          <w:p w14:paraId="5EA889AE">
            <w:pPr>
              <w:keepNext w:val="0"/>
              <w:keepLines w:val="0"/>
              <w:widowControl w:val="0"/>
              <w:suppressLineNumbers w:val="0"/>
              <w:autoSpaceDE/>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sz w:val="24"/>
                <w:szCs w:val="24"/>
              </w:rPr>
              <w:t>5）η为污染控制技术对扬尘的去除效率，%</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取70%</w:t>
            </w:r>
          </w:p>
          <w:p w14:paraId="7E31CAB4">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bidi="ar"/>
              </w:rPr>
              <w:t>运输距离</w:t>
            </w:r>
            <w:r>
              <w:rPr>
                <w:rFonts w:hint="eastAsia" w:ascii="Times New Roman" w:hAnsi="Times New Roman" w:eastAsia="宋体" w:cs="Times New Roman"/>
                <w:color w:val="auto"/>
                <w:kern w:val="2"/>
                <w:sz w:val="24"/>
                <w:szCs w:val="24"/>
                <w:highlight w:val="none"/>
                <w:lang w:val="en-US" w:eastAsia="zh-CN" w:bidi="ar"/>
              </w:rPr>
              <w:t>为</w:t>
            </w:r>
            <w:r>
              <w:rPr>
                <w:rFonts w:hint="eastAsia" w:cs="Times New Roman"/>
                <w:color w:val="auto"/>
                <w:kern w:val="2"/>
                <w:sz w:val="24"/>
                <w:szCs w:val="24"/>
                <w:highlight w:val="none"/>
                <w:lang w:val="en-US" w:eastAsia="zh-CN" w:bidi="ar"/>
              </w:rPr>
              <w:t>0.7</w:t>
            </w:r>
            <w:r>
              <w:rPr>
                <w:rFonts w:hint="default" w:ascii="Times New Roman" w:hAnsi="Times New Roman" w:eastAsia="宋体" w:cs="Times New Roman"/>
                <w:color w:val="auto"/>
                <w:kern w:val="2"/>
                <w:sz w:val="24"/>
                <w:szCs w:val="24"/>
                <w:highlight w:val="none"/>
                <w:lang w:val="en-US" w:eastAsia="zh-CN" w:bidi="ar"/>
              </w:rPr>
              <w:t>km。</w:t>
            </w:r>
          </w:p>
          <w:p w14:paraId="370A8A11">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评价要求企业限制汽车超载，运输车辆加盖篷布，避免车辆沿路抛洒；运输道路路面要经常清扫和洒水，洒水频次不低于每天</w:t>
            </w:r>
            <w:r>
              <w:rPr>
                <w:rFonts w:hint="default" w:ascii="Times New Roman" w:hAnsi="Times New Roman" w:eastAsia="宋体" w:cs="Times New Roman"/>
                <w:color w:val="auto"/>
                <w:kern w:val="2"/>
                <w:sz w:val="24"/>
                <w:szCs w:val="24"/>
                <w:highlight w:val="none"/>
                <w:lang w:val="en-US" w:eastAsia="zh-CN" w:bidi="ar"/>
              </w:rPr>
              <w:t>2</w:t>
            </w:r>
            <w:r>
              <w:rPr>
                <w:rFonts w:hint="eastAsia" w:ascii="宋体" w:hAnsi="宋体" w:eastAsia="宋体" w:cs="宋体"/>
                <w:color w:val="auto"/>
                <w:kern w:val="2"/>
                <w:sz w:val="24"/>
                <w:szCs w:val="24"/>
                <w:highlight w:val="none"/>
                <w:lang w:val="en-US" w:eastAsia="zh-CN" w:bidi="ar"/>
              </w:rPr>
              <w:t>次，保持路面清洁和一定的空气湿度。</w:t>
            </w:r>
          </w:p>
          <w:p w14:paraId="55BBC4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Times New Roman" w:hAnsi="Times New Roman" w:cs="Times New Roman"/>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
              </w:rPr>
              <w:t>采取以上措施后，扬尘源控制措施的控制效率为</w:t>
            </w:r>
            <w:r>
              <w:rPr>
                <w:rFonts w:hint="eastAsia" w:ascii="Times New Roman" w:hAnsi="Times New Roman" w:eastAsia="宋体" w:cs="Times New Roman"/>
                <w:color w:val="auto"/>
                <w:kern w:val="2"/>
                <w:sz w:val="24"/>
                <w:szCs w:val="24"/>
                <w:highlight w:val="none"/>
                <w:lang w:val="en-US" w:eastAsia="zh-CN" w:bidi="ar"/>
              </w:rPr>
              <w:t>70</w:t>
            </w:r>
            <w:r>
              <w:rPr>
                <w:rFonts w:hint="default" w:ascii="Times New Roman" w:hAnsi="Times New Roman" w:eastAsia="宋体" w:cs="Times New Roman"/>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，经计算道路扬尘排放量为</w:t>
            </w:r>
            <w:r>
              <w:rPr>
                <w:rFonts w:hint="eastAsia" w:cs="Times New Roman"/>
                <w:color w:val="auto"/>
                <w:kern w:val="2"/>
                <w:sz w:val="24"/>
                <w:szCs w:val="24"/>
                <w:highlight w:val="none"/>
                <w:lang w:val="en-US" w:eastAsia="zh-CN" w:bidi="ar"/>
              </w:rPr>
              <w:t>0.069t</w:t>
            </w:r>
            <w:r>
              <w:rPr>
                <w:rFonts w:hint="default" w:ascii="Times New Roman" w:hAnsi="Times New Roman" w:eastAsia="宋体" w:cs="Times New Roman"/>
                <w:color w:val="auto"/>
                <w:kern w:val="2"/>
                <w:sz w:val="24"/>
                <w:szCs w:val="24"/>
                <w:highlight w:val="none"/>
                <w:lang w:val="en-US" w:eastAsia="zh-CN" w:bidi="ar"/>
              </w:rPr>
              <w:t>/a</w:t>
            </w:r>
            <w:r>
              <w:rPr>
                <w:rFonts w:hint="eastAsia" w:ascii="宋体" w:hAnsi="宋体" w:eastAsia="宋体" w:cs="宋体"/>
                <w:color w:val="auto"/>
                <w:kern w:val="2"/>
                <w:sz w:val="24"/>
                <w:szCs w:val="24"/>
                <w:highlight w:val="none"/>
                <w:lang w:val="en-US" w:eastAsia="zh-CN" w:bidi="ar"/>
              </w:rPr>
              <w:t>。</w:t>
            </w:r>
          </w:p>
          <w:p w14:paraId="34E2854F">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1.1.2有组织废气</w:t>
            </w:r>
          </w:p>
          <w:p w14:paraId="4F33E9FD">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cs="Times New Roman"/>
                <w:color w:val="auto"/>
                <w:szCs w:val="24"/>
                <w:highlight w:val="none"/>
                <w:lang w:val="en-US" w:eastAsia="zh-CN"/>
              </w:rPr>
            </w:pPr>
            <w:r>
              <w:rPr>
                <w:rFonts w:hint="eastAsia" w:ascii="Times New Roman" w:hAnsi="Times New Roman" w:cs="Times New Roman"/>
                <w:color w:val="auto"/>
                <w:szCs w:val="24"/>
                <w:highlight w:val="none"/>
                <w:lang w:val="en-US" w:eastAsia="zh-CN"/>
              </w:rPr>
              <w:t>（1）玻璃微珠烧制废气</w:t>
            </w:r>
          </w:p>
          <w:p w14:paraId="47949279">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textAlignment w:val="auto"/>
              <w:rPr>
                <w:rFonts w:hint="eastAsia" w:ascii="Times New Roman" w:hAnsi="Times New Roman" w:eastAsia="宋体" w:cs="Times New Roman"/>
                <w:color w:val="auto"/>
                <w:sz w:val="24"/>
                <w:szCs w:val="20"/>
                <w:highlight w:val="none"/>
                <w:vertAlign w:val="baseline"/>
                <w:lang w:val="en-US" w:eastAsia="zh-CN"/>
              </w:rPr>
            </w:pPr>
            <w:r>
              <w:rPr>
                <w:rFonts w:hint="eastAsia" w:ascii="Times New Roman" w:hAnsi="Times New Roman" w:eastAsia="宋体" w:cs="Times New Roman"/>
                <w:color w:val="auto"/>
                <w:kern w:val="0"/>
                <w:sz w:val="24"/>
                <w:szCs w:val="20"/>
                <w:highlight w:val="none"/>
                <w:lang w:val="en-US" w:eastAsia="zh-CN" w:bidi="ar-SA"/>
              </w:rPr>
              <w:t>玻璃微珠烧制炉燃料采用兴裕煤矿供给的低浓度瓦斯气，本项目共设置3台玻璃微珠烧制炉，根据企业提供的数据，</w:t>
            </w:r>
            <w:r>
              <w:rPr>
                <w:rFonts w:hint="eastAsia" w:ascii="Times New Roman" w:cs="Times New Roman"/>
                <w:color w:val="auto"/>
                <w:kern w:val="0"/>
                <w:sz w:val="24"/>
                <w:szCs w:val="20"/>
                <w:highlight w:val="none"/>
                <w:lang w:val="en-US" w:eastAsia="zh-CN" w:bidi="ar-SA"/>
              </w:rPr>
              <w:t>单台</w:t>
            </w:r>
            <w:r>
              <w:rPr>
                <w:rFonts w:hint="eastAsia" w:ascii="Times New Roman" w:hAnsi="Times New Roman" w:eastAsia="宋体" w:cs="Times New Roman"/>
                <w:color w:val="auto"/>
                <w:sz w:val="24"/>
                <w:szCs w:val="20"/>
                <w:highlight w:val="none"/>
                <w:lang w:val="en-US" w:eastAsia="zh-CN"/>
              </w:rPr>
              <w:t>玻璃微珠</w:t>
            </w:r>
            <w:r>
              <w:rPr>
                <w:rFonts w:hint="eastAsia" w:ascii="Times New Roman" w:hAnsi="Times New Roman" w:eastAsia="宋体" w:cs="Times New Roman"/>
                <w:color w:val="auto"/>
                <w:kern w:val="0"/>
                <w:sz w:val="24"/>
                <w:szCs w:val="20"/>
                <w:highlight w:val="none"/>
                <w:lang w:val="en-US" w:eastAsia="zh-CN" w:bidi="ar-SA"/>
              </w:rPr>
              <w:t>烧制炉</w:t>
            </w:r>
            <w:r>
              <w:rPr>
                <w:rFonts w:hint="eastAsia" w:ascii="Times New Roman" w:hAnsi="Times New Roman" w:eastAsia="宋体" w:cs="Times New Roman"/>
                <w:color w:val="auto"/>
                <w:sz w:val="24"/>
                <w:szCs w:val="20"/>
                <w:highlight w:val="none"/>
                <w:lang w:val="en-US" w:eastAsia="zh-CN"/>
              </w:rPr>
              <w:t>用瓦斯气量约</w:t>
            </w:r>
            <w:r>
              <w:rPr>
                <w:rFonts w:hint="eastAsia" w:ascii="Times New Roman" w:cs="Times New Roman"/>
                <w:color w:val="auto"/>
                <w:sz w:val="24"/>
                <w:szCs w:val="20"/>
                <w:highlight w:val="none"/>
                <w:lang w:val="en-US" w:eastAsia="zh-CN"/>
              </w:rPr>
              <w:t>2400</w:t>
            </w:r>
            <w:r>
              <w:rPr>
                <w:rFonts w:hint="eastAsia" w:ascii="Times New Roman" w:hAnsi="Times New Roman" w:eastAsia="宋体" w:cs="Times New Roman"/>
                <w:color w:val="auto"/>
                <w:sz w:val="24"/>
                <w:szCs w:val="20"/>
                <w:highlight w:val="none"/>
                <w:lang w:val="en-US" w:eastAsia="zh-CN"/>
              </w:rPr>
              <w:t>m</w:t>
            </w:r>
            <w:r>
              <w:rPr>
                <w:rFonts w:hint="eastAsia" w:ascii="Times New Roman" w:hAnsi="Times New Roman" w:eastAsia="宋体" w:cs="Times New Roman"/>
                <w:color w:val="auto"/>
                <w:sz w:val="24"/>
                <w:szCs w:val="20"/>
                <w:highlight w:val="none"/>
                <w:vertAlign w:val="superscript"/>
                <w:lang w:val="en-US" w:eastAsia="zh-CN"/>
              </w:rPr>
              <w:t>3</w:t>
            </w:r>
            <w:r>
              <w:rPr>
                <w:rFonts w:hint="eastAsia" w:ascii="Times New Roman" w:hAnsi="Times New Roman" w:eastAsia="宋体" w:cs="Times New Roman"/>
                <w:color w:val="auto"/>
                <w:sz w:val="24"/>
                <w:szCs w:val="20"/>
                <w:highlight w:val="none"/>
                <w:vertAlign w:val="baseline"/>
                <w:lang w:val="en-US" w:eastAsia="zh-CN"/>
              </w:rPr>
              <w:t>/h</w:t>
            </w:r>
            <w:r>
              <w:rPr>
                <w:rFonts w:hint="eastAsia" w:ascii="Times New Roman" w:cs="Times New Roman"/>
                <w:color w:val="auto"/>
                <w:sz w:val="24"/>
                <w:szCs w:val="20"/>
                <w:highlight w:val="none"/>
                <w:vertAlign w:val="baseline"/>
                <w:lang w:val="en-US" w:eastAsia="zh-CN"/>
              </w:rPr>
              <w:t>，3台</w:t>
            </w:r>
            <w:r>
              <w:rPr>
                <w:rFonts w:hint="eastAsia" w:ascii="Times New Roman" w:hAnsi="Times New Roman" w:eastAsia="宋体" w:cs="Times New Roman"/>
                <w:color w:val="auto"/>
                <w:sz w:val="24"/>
                <w:szCs w:val="20"/>
                <w:highlight w:val="none"/>
                <w:lang w:val="en-US" w:eastAsia="zh-CN"/>
              </w:rPr>
              <w:t>玻璃微珠</w:t>
            </w:r>
            <w:r>
              <w:rPr>
                <w:rFonts w:hint="eastAsia" w:ascii="Times New Roman" w:hAnsi="Times New Roman" w:eastAsia="宋体" w:cs="Times New Roman"/>
                <w:color w:val="auto"/>
                <w:kern w:val="0"/>
                <w:sz w:val="24"/>
                <w:szCs w:val="20"/>
                <w:highlight w:val="none"/>
                <w:lang w:val="en-US" w:eastAsia="zh-CN" w:bidi="ar-SA"/>
              </w:rPr>
              <w:t>烧制炉</w:t>
            </w:r>
            <w:r>
              <w:rPr>
                <w:rFonts w:hint="eastAsia" w:ascii="Times New Roman" w:hAnsi="Times New Roman" w:eastAsia="宋体" w:cs="Times New Roman"/>
                <w:color w:val="auto"/>
                <w:sz w:val="24"/>
                <w:szCs w:val="20"/>
                <w:highlight w:val="none"/>
                <w:lang w:val="en-US" w:eastAsia="zh-CN"/>
              </w:rPr>
              <w:t>用瓦斯气量</w:t>
            </w:r>
            <w:r>
              <w:rPr>
                <w:rFonts w:hint="eastAsia" w:ascii="Times New Roman" w:cs="Times New Roman"/>
                <w:color w:val="auto"/>
                <w:sz w:val="24"/>
                <w:szCs w:val="20"/>
                <w:highlight w:val="none"/>
                <w:lang w:val="en-US" w:eastAsia="zh-CN"/>
              </w:rPr>
              <w:t>为1900.8</w:t>
            </w:r>
            <w:r>
              <w:rPr>
                <w:rFonts w:hint="eastAsia" w:ascii="Times New Roman" w:hAnsi="Times New Roman" w:eastAsia="宋体" w:cs="Times New Roman"/>
                <w:color w:val="auto"/>
                <w:sz w:val="24"/>
                <w:szCs w:val="20"/>
                <w:highlight w:val="none"/>
                <w:lang w:val="en-US" w:eastAsia="zh-CN"/>
              </w:rPr>
              <w:t>万m</w:t>
            </w:r>
            <w:r>
              <w:rPr>
                <w:rFonts w:hint="eastAsia" w:ascii="Times New Roman" w:hAnsi="Times New Roman" w:eastAsia="宋体" w:cs="Times New Roman"/>
                <w:color w:val="auto"/>
                <w:sz w:val="24"/>
                <w:szCs w:val="20"/>
                <w:highlight w:val="none"/>
                <w:vertAlign w:val="superscript"/>
                <w:lang w:val="en-US" w:eastAsia="zh-CN"/>
              </w:rPr>
              <w:t>3</w:t>
            </w:r>
            <w:r>
              <w:rPr>
                <w:rFonts w:hint="eastAsia" w:ascii="Times New Roman" w:hAnsi="Times New Roman" w:eastAsia="宋体" w:cs="Times New Roman"/>
                <w:color w:val="auto"/>
                <w:sz w:val="24"/>
                <w:szCs w:val="20"/>
                <w:highlight w:val="none"/>
                <w:vertAlign w:val="baseline"/>
                <w:lang w:val="en-US" w:eastAsia="zh-CN"/>
              </w:rPr>
              <w:t>/a（</w:t>
            </w:r>
            <w:r>
              <w:rPr>
                <w:rFonts w:hint="eastAsia" w:ascii="Times New Roman" w:cs="Times New Roman"/>
                <w:color w:val="auto"/>
                <w:sz w:val="24"/>
                <w:szCs w:val="20"/>
                <w:highlight w:val="none"/>
                <w:vertAlign w:val="baseline"/>
                <w:lang w:val="en-US" w:eastAsia="zh-CN"/>
              </w:rPr>
              <w:t>7200</w:t>
            </w:r>
            <w:r>
              <w:rPr>
                <w:rFonts w:hint="eastAsia" w:ascii="Times New Roman" w:hAnsi="Times New Roman" w:eastAsia="宋体" w:cs="Times New Roman"/>
                <w:color w:val="auto"/>
                <w:sz w:val="24"/>
                <w:szCs w:val="20"/>
                <w:highlight w:val="none"/>
                <w:lang w:val="en-US" w:eastAsia="zh-CN"/>
              </w:rPr>
              <w:t>m</w:t>
            </w:r>
            <w:r>
              <w:rPr>
                <w:rFonts w:hint="eastAsia" w:ascii="Times New Roman" w:hAnsi="Times New Roman" w:eastAsia="宋体" w:cs="Times New Roman"/>
                <w:color w:val="auto"/>
                <w:sz w:val="24"/>
                <w:szCs w:val="20"/>
                <w:highlight w:val="none"/>
                <w:vertAlign w:val="superscript"/>
                <w:lang w:val="en-US" w:eastAsia="zh-CN"/>
              </w:rPr>
              <w:t>3</w:t>
            </w:r>
            <w:r>
              <w:rPr>
                <w:rFonts w:hint="eastAsia" w:ascii="Times New Roman" w:hAnsi="Times New Roman" w:eastAsia="宋体" w:cs="Times New Roman"/>
                <w:color w:val="auto"/>
                <w:sz w:val="24"/>
                <w:szCs w:val="20"/>
                <w:highlight w:val="none"/>
                <w:vertAlign w:val="baseline"/>
                <w:lang w:val="en-US" w:eastAsia="zh-CN"/>
              </w:rPr>
              <w:t>/h）。</w:t>
            </w:r>
          </w:p>
          <w:p w14:paraId="20241FC1">
            <w:pPr>
              <w:pStyle w:val="7"/>
              <w:keepNext w:val="0"/>
              <w:keepLines w:val="0"/>
              <w:numPr>
                <w:ilvl w:val="0"/>
                <w:numId w:val="0"/>
              </w:numPr>
              <w:suppressLineNumbers w:val="0"/>
              <w:adjustRightInd w:val="0"/>
              <w:spacing w:before="0" w:beforeAutospacing="0" w:after="0" w:afterAutospacing="0"/>
              <w:ind w:left="0" w:right="0" w:firstLine="480" w:firstLineChars="200"/>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①烟气量</w:t>
            </w:r>
          </w:p>
          <w:p w14:paraId="6750BC23">
            <w:pPr>
              <w:keepNext w:val="0"/>
              <w:keepLines w:val="0"/>
              <w:suppressLineNumbers w:val="0"/>
              <w:snapToGrid w:val="0"/>
              <w:spacing w:before="0" w:beforeAutospacing="0" w:after="0" w:afterAutospacing="0" w:line="360" w:lineRule="auto"/>
              <w:ind w:left="0" w:right="0" w:firstLine="0" w:firstLineChars="0"/>
              <w:jc w:val="center"/>
              <w:rPr>
                <w:rFonts w:hint="default" w:ascii="宋体" w:hAnsi="宋体" w:cs="宋体"/>
                <w:b/>
                <w:bCs w:val="0"/>
                <w:color w:val="auto"/>
                <w:sz w:val="24"/>
                <w:szCs w:val="24"/>
                <w:highlight w:val="none"/>
                <w:lang w:val="en-US" w:eastAsia="zh-CN"/>
              </w:rPr>
            </w:pPr>
            <w:r>
              <w:rPr>
                <w:rFonts w:hint="eastAsia" w:ascii="宋体" w:hAnsi="宋体" w:cs="宋体"/>
                <w:b/>
                <w:bCs w:val="0"/>
                <w:color w:val="auto"/>
                <w:sz w:val="24"/>
                <w:szCs w:val="24"/>
                <w:highlight w:val="none"/>
                <w:lang w:val="en-US" w:eastAsia="zh-CN"/>
              </w:rPr>
              <w:t>表4-2 瓦斯成分</w:t>
            </w:r>
          </w:p>
          <w:tbl>
            <w:tblPr>
              <w:tblStyle w:val="23"/>
              <w:tblW w:w="7841"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260"/>
              <w:gridCol w:w="1950"/>
              <w:gridCol w:w="3631"/>
            </w:tblGrid>
            <w:tr w14:paraId="370F1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260" w:type="dxa"/>
                  <w:tcBorders>
                    <w:tl2br w:val="nil"/>
                    <w:tr2bl w:val="nil"/>
                  </w:tcBorders>
                  <w:shd w:val="clear" w:color="auto" w:fill="auto"/>
                  <w:noWrap/>
                  <w:vAlign w:val="center"/>
                </w:tcPr>
                <w:p w14:paraId="487A0D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组分</w:t>
                  </w:r>
                </w:p>
              </w:tc>
              <w:tc>
                <w:tcPr>
                  <w:tcW w:w="1950" w:type="dxa"/>
                  <w:tcBorders>
                    <w:tl2br w:val="nil"/>
                    <w:tr2bl w:val="nil"/>
                  </w:tcBorders>
                  <w:shd w:val="clear" w:color="auto" w:fill="auto"/>
                  <w:noWrap/>
                  <w:vAlign w:val="center"/>
                </w:tcPr>
                <w:p w14:paraId="631014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体积分数Vi​</w:t>
                  </w:r>
                </w:p>
              </w:tc>
              <w:tc>
                <w:tcPr>
                  <w:tcW w:w="3631" w:type="dxa"/>
                  <w:tcBorders>
                    <w:tl2br w:val="nil"/>
                    <w:tr2bl w:val="nil"/>
                  </w:tcBorders>
                  <w:shd w:val="clear" w:color="auto" w:fill="auto"/>
                  <w:noWrap/>
                  <w:vAlign w:val="center"/>
                </w:tcPr>
                <w:p w14:paraId="75E56E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燃烧反应式</w:t>
                  </w:r>
                </w:p>
              </w:tc>
            </w:tr>
            <w:tr w14:paraId="43B77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260" w:type="dxa"/>
                  <w:tcBorders>
                    <w:tl2br w:val="nil"/>
                    <w:tr2bl w:val="nil"/>
                  </w:tcBorders>
                  <w:shd w:val="clear" w:color="auto" w:fill="auto"/>
                  <w:noWrap/>
                  <w:vAlign w:val="center"/>
                </w:tcPr>
                <w:p w14:paraId="798A0D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CH</w:t>
                  </w:r>
                  <w:r>
                    <w:rPr>
                      <w:rFonts w:hint="default" w:ascii="Times New Roman" w:hAnsi="Times New Roman" w:eastAsia="宋体" w:cs="Times New Roman"/>
                      <w:bCs/>
                      <w:i w:val="0"/>
                      <w:iCs w:val="0"/>
                      <w:color w:val="auto"/>
                      <w:kern w:val="0"/>
                      <w:sz w:val="21"/>
                      <w:szCs w:val="21"/>
                      <w:u w:val="none"/>
                      <w:vertAlign w:val="subscript"/>
                      <w:lang w:val="en-US" w:eastAsia="zh-CN" w:bidi="ar"/>
                    </w:rPr>
                    <w:t>4</w:t>
                  </w:r>
                  <w:r>
                    <w:rPr>
                      <w:rFonts w:hint="default" w:ascii="Times New Roman" w:hAnsi="Times New Roman" w:eastAsia="宋体" w:cs="Times New Roman"/>
                      <w:bCs/>
                      <w:i w:val="0"/>
                      <w:iCs w:val="0"/>
                      <w:color w:val="auto"/>
                      <w:kern w:val="0"/>
                      <w:sz w:val="21"/>
                      <w:szCs w:val="21"/>
                      <w:u w:val="none"/>
                      <w:lang w:val="en-US" w:eastAsia="zh-CN" w:bidi="ar"/>
                    </w:rPr>
                    <w:t>​甲烷</w:t>
                  </w:r>
                </w:p>
              </w:tc>
              <w:tc>
                <w:tcPr>
                  <w:tcW w:w="1950" w:type="dxa"/>
                  <w:tcBorders>
                    <w:tl2br w:val="nil"/>
                    <w:tr2bl w:val="nil"/>
                  </w:tcBorders>
                  <w:shd w:val="clear" w:color="auto" w:fill="auto"/>
                  <w:noWrap/>
                  <w:vAlign w:val="center"/>
                </w:tcPr>
                <w:p w14:paraId="688534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12.5%=0.125</w:t>
                  </w:r>
                </w:p>
              </w:tc>
              <w:tc>
                <w:tcPr>
                  <w:tcW w:w="3631" w:type="dxa"/>
                  <w:tcBorders>
                    <w:tl2br w:val="nil"/>
                    <w:tr2bl w:val="nil"/>
                  </w:tcBorders>
                  <w:shd w:val="clear" w:color="auto" w:fill="auto"/>
                  <w:noWrap/>
                  <w:vAlign w:val="center"/>
                </w:tcPr>
                <w:p w14:paraId="41FC8C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CH</w:t>
                  </w:r>
                  <w:r>
                    <w:rPr>
                      <w:rFonts w:hint="default" w:ascii="Times New Roman" w:hAnsi="Times New Roman" w:eastAsia="宋体" w:cs="Times New Roman"/>
                      <w:bCs/>
                      <w:i w:val="0"/>
                      <w:iCs w:val="0"/>
                      <w:color w:val="auto"/>
                      <w:kern w:val="0"/>
                      <w:sz w:val="21"/>
                      <w:szCs w:val="21"/>
                      <w:u w:val="none"/>
                      <w:vertAlign w:val="subscript"/>
                      <w:lang w:val="en-US" w:eastAsia="zh-CN" w:bidi="ar"/>
                    </w:rPr>
                    <w:t>4</w:t>
                  </w:r>
                  <w:r>
                    <w:rPr>
                      <w:rFonts w:hint="default" w:ascii="Times New Roman" w:hAnsi="Times New Roman" w:eastAsia="宋体" w:cs="Times New Roman"/>
                      <w:bCs/>
                      <w:i w:val="0"/>
                      <w:iCs w:val="0"/>
                      <w:color w:val="auto"/>
                      <w:kern w:val="0"/>
                      <w:sz w:val="21"/>
                      <w:szCs w:val="21"/>
                      <w:u w:val="none"/>
                      <w:lang w:val="en-US" w:eastAsia="zh-CN" w:bidi="ar"/>
                    </w:rPr>
                    <w:t>+2O</w:t>
                  </w:r>
                  <w:r>
                    <w:rPr>
                      <w:rFonts w:hint="default" w:ascii="Times New Roman" w:hAnsi="Times New Roman" w:eastAsia="宋体" w:cs="Times New Roman"/>
                      <w:bCs/>
                      <w:i w:val="0"/>
                      <w:iCs w:val="0"/>
                      <w:color w:val="auto"/>
                      <w:kern w:val="0"/>
                      <w:sz w:val="21"/>
                      <w:szCs w:val="21"/>
                      <w:u w:val="none"/>
                      <w:vertAlign w:val="subscript"/>
                      <w:lang w:val="en-US" w:eastAsia="zh-CN" w:bidi="ar"/>
                    </w:rPr>
                    <w:t>2</w:t>
                  </w:r>
                  <w:r>
                    <w:rPr>
                      <w:rFonts w:hint="default" w:ascii="Times New Roman" w:hAnsi="Times New Roman" w:eastAsia="宋体" w:cs="Times New Roman"/>
                      <w:bCs/>
                      <w:i w:val="0"/>
                      <w:iCs w:val="0"/>
                      <w:color w:val="auto"/>
                      <w:kern w:val="0"/>
                      <w:sz w:val="21"/>
                      <w:szCs w:val="21"/>
                      <w:u w:val="none"/>
                      <w:lang w:val="en-US" w:eastAsia="zh-CN" w:bidi="ar"/>
                    </w:rPr>
                    <w:t>=CO</w:t>
                  </w:r>
                  <w:r>
                    <w:rPr>
                      <w:rFonts w:hint="default" w:ascii="Times New Roman" w:hAnsi="Times New Roman" w:eastAsia="宋体" w:cs="Times New Roman"/>
                      <w:bCs/>
                      <w:i w:val="0"/>
                      <w:iCs w:val="0"/>
                      <w:color w:val="auto"/>
                      <w:kern w:val="0"/>
                      <w:sz w:val="21"/>
                      <w:szCs w:val="21"/>
                      <w:u w:val="none"/>
                      <w:vertAlign w:val="subscript"/>
                      <w:lang w:val="en-US" w:eastAsia="zh-CN" w:bidi="ar"/>
                    </w:rPr>
                    <w:t>2</w:t>
                  </w:r>
                  <w:r>
                    <w:rPr>
                      <w:rFonts w:hint="default" w:ascii="Times New Roman" w:hAnsi="Times New Roman" w:eastAsia="宋体" w:cs="Times New Roman"/>
                      <w:bCs/>
                      <w:i w:val="0"/>
                      <w:iCs w:val="0"/>
                      <w:color w:val="auto"/>
                      <w:kern w:val="0"/>
                      <w:sz w:val="21"/>
                      <w:szCs w:val="21"/>
                      <w:u w:val="none"/>
                      <w:lang w:val="en-US" w:eastAsia="zh-CN" w:bidi="ar"/>
                    </w:rPr>
                    <w:t>+2H</w:t>
                  </w:r>
                  <w:r>
                    <w:rPr>
                      <w:rFonts w:hint="default" w:ascii="Times New Roman" w:hAnsi="Times New Roman" w:eastAsia="宋体" w:cs="Times New Roman"/>
                      <w:bCs/>
                      <w:i w:val="0"/>
                      <w:iCs w:val="0"/>
                      <w:color w:val="auto"/>
                      <w:kern w:val="0"/>
                      <w:sz w:val="21"/>
                      <w:szCs w:val="21"/>
                      <w:u w:val="none"/>
                      <w:vertAlign w:val="subscript"/>
                      <w:lang w:val="en-US" w:eastAsia="zh-CN" w:bidi="ar"/>
                    </w:rPr>
                    <w:t>2</w:t>
                  </w:r>
                  <w:r>
                    <w:rPr>
                      <w:rFonts w:hint="default" w:ascii="Times New Roman" w:hAnsi="Times New Roman" w:eastAsia="宋体" w:cs="Times New Roman"/>
                      <w:bCs/>
                      <w:i w:val="0"/>
                      <w:iCs w:val="0"/>
                      <w:color w:val="auto"/>
                      <w:kern w:val="0"/>
                      <w:sz w:val="21"/>
                      <w:szCs w:val="21"/>
                      <w:u w:val="none"/>
                      <w:lang w:val="en-US" w:eastAsia="zh-CN" w:bidi="ar"/>
                    </w:rPr>
                    <w:t>O</w:t>
                  </w:r>
                </w:p>
              </w:tc>
            </w:tr>
            <w:tr w14:paraId="2595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2260" w:type="dxa"/>
                  <w:tcBorders>
                    <w:tl2br w:val="nil"/>
                    <w:tr2bl w:val="nil"/>
                  </w:tcBorders>
                  <w:shd w:val="clear" w:color="auto" w:fill="auto"/>
                  <w:noWrap/>
                  <w:vAlign w:val="center"/>
                </w:tcPr>
                <w:p w14:paraId="57C5BA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C</w:t>
                  </w:r>
                  <w:r>
                    <w:rPr>
                      <w:rFonts w:hint="default" w:ascii="Times New Roman" w:hAnsi="Times New Roman" w:eastAsia="宋体" w:cs="Times New Roman"/>
                      <w:bCs/>
                      <w:i w:val="0"/>
                      <w:iCs w:val="0"/>
                      <w:color w:val="auto"/>
                      <w:kern w:val="0"/>
                      <w:sz w:val="21"/>
                      <w:szCs w:val="21"/>
                      <w:u w:val="none"/>
                      <w:vertAlign w:val="subscript"/>
                      <w:lang w:val="en-US" w:eastAsia="zh-CN" w:bidi="ar"/>
                    </w:rPr>
                    <w:t>2</w:t>
                  </w:r>
                  <w:r>
                    <w:rPr>
                      <w:rFonts w:hint="default" w:ascii="Times New Roman" w:hAnsi="Times New Roman" w:eastAsia="宋体" w:cs="Times New Roman"/>
                      <w:bCs/>
                      <w:i w:val="0"/>
                      <w:iCs w:val="0"/>
                      <w:color w:val="auto"/>
                      <w:kern w:val="0"/>
                      <w:sz w:val="21"/>
                      <w:szCs w:val="21"/>
                      <w:u w:val="none"/>
                      <w:lang w:val="en-US" w:eastAsia="zh-CN" w:bidi="ar"/>
                    </w:rPr>
                    <w:t>H</w:t>
                  </w:r>
                  <w:r>
                    <w:rPr>
                      <w:rFonts w:hint="default" w:ascii="Times New Roman" w:hAnsi="Times New Roman" w:eastAsia="宋体" w:cs="Times New Roman"/>
                      <w:bCs/>
                      <w:i w:val="0"/>
                      <w:iCs w:val="0"/>
                      <w:color w:val="auto"/>
                      <w:kern w:val="0"/>
                      <w:sz w:val="21"/>
                      <w:szCs w:val="21"/>
                      <w:u w:val="none"/>
                      <w:vertAlign w:val="subscript"/>
                      <w:lang w:val="en-US" w:eastAsia="zh-CN" w:bidi="ar"/>
                    </w:rPr>
                    <w:t>6</w:t>
                  </w:r>
                  <w:r>
                    <w:rPr>
                      <w:rFonts w:hint="default" w:ascii="Times New Roman" w:hAnsi="Times New Roman" w:eastAsia="宋体" w:cs="Times New Roman"/>
                      <w:bCs/>
                      <w:i w:val="0"/>
                      <w:iCs w:val="0"/>
                      <w:color w:val="auto"/>
                      <w:kern w:val="0"/>
                      <w:sz w:val="21"/>
                      <w:szCs w:val="21"/>
                      <w:u w:val="none"/>
                      <w:lang w:val="en-US" w:eastAsia="zh-CN" w:bidi="ar"/>
                    </w:rPr>
                    <w:t>​乙烷</w:t>
                  </w:r>
                </w:p>
              </w:tc>
              <w:tc>
                <w:tcPr>
                  <w:tcW w:w="1950" w:type="dxa"/>
                  <w:tcBorders>
                    <w:tl2br w:val="nil"/>
                    <w:tr2bl w:val="nil"/>
                  </w:tcBorders>
                  <w:shd w:val="clear" w:color="auto" w:fill="auto"/>
                  <w:noWrap/>
                  <w:vAlign w:val="center"/>
                </w:tcPr>
                <w:p w14:paraId="290E09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0.012%=0.00012</w:t>
                  </w:r>
                </w:p>
              </w:tc>
              <w:tc>
                <w:tcPr>
                  <w:tcW w:w="3631" w:type="dxa"/>
                  <w:tcBorders>
                    <w:tl2br w:val="nil"/>
                    <w:tr2bl w:val="nil"/>
                  </w:tcBorders>
                  <w:shd w:val="clear" w:color="auto" w:fill="auto"/>
                  <w:noWrap/>
                  <w:vAlign w:val="center"/>
                </w:tcPr>
                <w:p w14:paraId="00978B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H</w:t>
                  </w:r>
                  <w:r>
                    <w:rPr>
                      <w:rFonts w:hint="default" w:ascii="Times New Roman" w:hAnsi="Times New Roman" w:eastAsia="宋体" w:cs="Times New Roman"/>
                      <w:color w:val="auto"/>
                      <w:sz w:val="21"/>
                      <w:szCs w:val="21"/>
                      <w:vertAlign w:val="subscript"/>
                    </w:rPr>
                    <w:t>6</w:t>
                  </w:r>
                  <w:r>
                    <w:rPr>
                      <w:rFonts w:hint="default" w:ascii="Times New Roman" w:hAnsi="Times New Roman" w:eastAsia="宋体" w:cs="Times New Roman"/>
                      <w:color w:val="auto"/>
                      <w:sz w:val="21"/>
                      <w:szCs w:val="21"/>
                    </w:rPr>
                    <w:t>+3.5O</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=2CO</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+3H</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O</w:t>
                  </w:r>
                </w:p>
              </w:tc>
            </w:tr>
            <w:tr w14:paraId="5E1A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260" w:type="dxa"/>
                  <w:tcBorders>
                    <w:tl2br w:val="nil"/>
                    <w:tr2bl w:val="nil"/>
                  </w:tcBorders>
                  <w:shd w:val="clear" w:color="auto" w:fill="auto"/>
                  <w:noWrap/>
                  <w:vAlign w:val="center"/>
                </w:tcPr>
                <w:p w14:paraId="2F0741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O</w:t>
                  </w:r>
                  <w:r>
                    <w:rPr>
                      <w:rFonts w:hint="default" w:ascii="Times New Roman" w:hAnsi="Times New Roman" w:eastAsia="宋体" w:cs="Times New Roman"/>
                      <w:bCs/>
                      <w:i w:val="0"/>
                      <w:iCs w:val="0"/>
                      <w:color w:val="auto"/>
                      <w:kern w:val="0"/>
                      <w:sz w:val="21"/>
                      <w:szCs w:val="21"/>
                      <w:u w:val="none"/>
                      <w:vertAlign w:val="subscript"/>
                      <w:lang w:val="en-US" w:eastAsia="zh-CN" w:bidi="ar"/>
                    </w:rPr>
                    <w:t>2</w:t>
                  </w:r>
                  <w:r>
                    <w:rPr>
                      <w:rFonts w:hint="default" w:ascii="Times New Roman" w:hAnsi="Times New Roman" w:eastAsia="宋体" w:cs="Times New Roman"/>
                      <w:bCs/>
                      <w:i w:val="0"/>
                      <w:iCs w:val="0"/>
                      <w:color w:val="auto"/>
                      <w:kern w:val="0"/>
                      <w:sz w:val="21"/>
                      <w:szCs w:val="21"/>
                      <w:u w:val="none"/>
                      <w:lang w:val="en-US" w:eastAsia="zh-CN" w:bidi="ar"/>
                    </w:rPr>
                    <w:t>​氧气</w:t>
                  </w:r>
                </w:p>
              </w:tc>
              <w:tc>
                <w:tcPr>
                  <w:tcW w:w="1950" w:type="dxa"/>
                  <w:tcBorders>
                    <w:tl2br w:val="nil"/>
                    <w:tr2bl w:val="nil"/>
                  </w:tcBorders>
                  <w:shd w:val="clear" w:color="auto" w:fill="auto"/>
                  <w:noWrap/>
                  <w:vAlign w:val="center"/>
                </w:tcPr>
                <w:p w14:paraId="0EB23F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15.1%=0.151</w:t>
                  </w:r>
                </w:p>
              </w:tc>
              <w:tc>
                <w:tcPr>
                  <w:tcW w:w="3631" w:type="dxa"/>
                  <w:tcBorders>
                    <w:tl2br w:val="nil"/>
                    <w:tr2bl w:val="nil"/>
                  </w:tcBorders>
                  <w:shd w:val="clear" w:color="auto" w:fill="auto"/>
                  <w:noWrap/>
                  <w:vAlign w:val="center"/>
                </w:tcPr>
                <w:p w14:paraId="124E20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助燃，扣除自带氧量</w:t>
                  </w:r>
                </w:p>
              </w:tc>
            </w:tr>
            <w:tr w14:paraId="062D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260" w:type="dxa"/>
                  <w:tcBorders>
                    <w:tl2br w:val="nil"/>
                    <w:tr2bl w:val="nil"/>
                  </w:tcBorders>
                  <w:shd w:val="clear" w:color="auto" w:fill="auto"/>
                  <w:noWrap/>
                  <w:vAlign w:val="center"/>
                </w:tcPr>
                <w:p w14:paraId="2A3282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N</w:t>
                  </w:r>
                  <w:r>
                    <w:rPr>
                      <w:rFonts w:hint="default" w:ascii="Times New Roman" w:hAnsi="Times New Roman" w:eastAsia="宋体" w:cs="Times New Roman"/>
                      <w:bCs/>
                      <w:i w:val="0"/>
                      <w:iCs w:val="0"/>
                      <w:color w:val="auto"/>
                      <w:kern w:val="0"/>
                      <w:sz w:val="21"/>
                      <w:szCs w:val="21"/>
                      <w:u w:val="none"/>
                      <w:vertAlign w:val="subscript"/>
                      <w:lang w:val="en-US" w:eastAsia="zh-CN" w:bidi="ar"/>
                    </w:rPr>
                    <w:t>2</w:t>
                  </w:r>
                  <w:r>
                    <w:rPr>
                      <w:rFonts w:hint="default" w:ascii="Times New Roman" w:hAnsi="Times New Roman" w:eastAsia="宋体" w:cs="Times New Roman"/>
                      <w:bCs/>
                      <w:i w:val="0"/>
                      <w:iCs w:val="0"/>
                      <w:color w:val="auto"/>
                      <w:kern w:val="0"/>
                      <w:sz w:val="21"/>
                      <w:szCs w:val="21"/>
                      <w:u w:val="none"/>
                      <w:lang w:val="en-US" w:eastAsia="zh-CN" w:bidi="ar"/>
                    </w:rPr>
                    <w:t>​氮气</w:t>
                  </w:r>
                </w:p>
              </w:tc>
              <w:tc>
                <w:tcPr>
                  <w:tcW w:w="1950" w:type="dxa"/>
                  <w:tcBorders>
                    <w:tl2br w:val="nil"/>
                    <w:tr2bl w:val="nil"/>
                  </w:tcBorders>
                  <w:shd w:val="clear" w:color="auto" w:fill="auto"/>
                  <w:noWrap/>
                  <w:vAlign w:val="center"/>
                </w:tcPr>
                <w:p w14:paraId="32F3BE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69.6%=0.696</w:t>
                  </w:r>
                </w:p>
              </w:tc>
              <w:tc>
                <w:tcPr>
                  <w:tcW w:w="3631" w:type="dxa"/>
                  <w:tcBorders>
                    <w:tl2br w:val="nil"/>
                    <w:tr2bl w:val="nil"/>
                  </w:tcBorders>
                  <w:shd w:val="clear" w:color="auto" w:fill="auto"/>
                  <w:noWrap/>
                  <w:vAlign w:val="center"/>
                </w:tcPr>
                <w:p w14:paraId="11DDE0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惰性组分，直接带入烟气</w:t>
                  </w:r>
                </w:p>
              </w:tc>
            </w:tr>
            <w:tr w14:paraId="060F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260" w:type="dxa"/>
                  <w:tcBorders>
                    <w:tl2br w:val="nil"/>
                    <w:tr2bl w:val="nil"/>
                  </w:tcBorders>
                  <w:shd w:val="clear" w:color="auto" w:fill="auto"/>
                  <w:noWrap/>
                  <w:vAlign w:val="center"/>
                </w:tcPr>
                <w:p w14:paraId="2B10C3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CO</w:t>
                  </w:r>
                  <w:r>
                    <w:rPr>
                      <w:rFonts w:hint="default" w:ascii="Times New Roman" w:hAnsi="Times New Roman" w:eastAsia="宋体" w:cs="Times New Roman"/>
                      <w:bCs/>
                      <w:i w:val="0"/>
                      <w:iCs w:val="0"/>
                      <w:color w:val="auto"/>
                      <w:kern w:val="0"/>
                      <w:sz w:val="21"/>
                      <w:szCs w:val="21"/>
                      <w:u w:val="none"/>
                      <w:vertAlign w:val="subscript"/>
                      <w:lang w:val="en-US" w:eastAsia="zh-CN" w:bidi="ar"/>
                    </w:rPr>
                    <w:t>2</w:t>
                  </w:r>
                  <w:r>
                    <w:rPr>
                      <w:rFonts w:hint="default" w:ascii="Times New Roman" w:hAnsi="Times New Roman" w:eastAsia="宋体" w:cs="Times New Roman"/>
                      <w:bCs/>
                      <w:i w:val="0"/>
                      <w:iCs w:val="0"/>
                      <w:color w:val="auto"/>
                      <w:kern w:val="0"/>
                      <w:sz w:val="21"/>
                      <w:szCs w:val="21"/>
                      <w:u w:val="none"/>
                      <w:lang w:val="en-US" w:eastAsia="zh-CN" w:bidi="ar"/>
                    </w:rPr>
                    <w:t>​二氧化碳</w:t>
                  </w:r>
                </w:p>
              </w:tc>
              <w:tc>
                <w:tcPr>
                  <w:tcW w:w="1950" w:type="dxa"/>
                  <w:tcBorders>
                    <w:tl2br w:val="nil"/>
                    <w:tr2bl w:val="nil"/>
                  </w:tcBorders>
                  <w:shd w:val="clear" w:color="auto" w:fill="auto"/>
                  <w:noWrap/>
                  <w:vAlign w:val="center"/>
                </w:tcPr>
                <w:p w14:paraId="7B9882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0.923%=0.00923</w:t>
                  </w:r>
                </w:p>
              </w:tc>
              <w:tc>
                <w:tcPr>
                  <w:tcW w:w="3631" w:type="dxa"/>
                  <w:tcBorders>
                    <w:tl2br w:val="nil"/>
                    <w:tr2bl w:val="nil"/>
                  </w:tcBorders>
                  <w:shd w:val="clear" w:color="auto" w:fill="auto"/>
                  <w:noWrap/>
                  <w:vAlign w:val="center"/>
                </w:tcPr>
                <w:p w14:paraId="69B7A7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惰性酸性组分，直接带入烟气</w:t>
                  </w:r>
                </w:p>
              </w:tc>
            </w:tr>
            <w:tr w14:paraId="0182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260" w:type="dxa"/>
                  <w:tcBorders>
                    <w:tl2br w:val="nil"/>
                    <w:tr2bl w:val="nil"/>
                  </w:tcBorders>
                  <w:shd w:val="clear" w:color="auto" w:fill="auto"/>
                  <w:noWrap/>
                  <w:vAlign w:val="center"/>
                </w:tcPr>
                <w:p w14:paraId="04A726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丙烷及以上重烃</w:t>
                  </w:r>
                </w:p>
              </w:tc>
              <w:tc>
                <w:tcPr>
                  <w:tcW w:w="1950" w:type="dxa"/>
                  <w:tcBorders>
                    <w:tl2br w:val="nil"/>
                    <w:tr2bl w:val="nil"/>
                  </w:tcBorders>
                  <w:shd w:val="clear" w:color="auto" w:fill="auto"/>
                  <w:noWrap/>
                  <w:vAlign w:val="center"/>
                </w:tcPr>
                <w:p w14:paraId="475BA1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＜检出限</w:t>
                  </w:r>
                </w:p>
              </w:tc>
              <w:tc>
                <w:tcPr>
                  <w:tcW w:w="3631" w:type="dxa"/>
                  <w:tcBorders>
                    <w:tl2br w:val="nil"/>
                    <w:tr2bl w:val="nil"/>
                  </w:tcBorders>
                  <w:shd w:val="clear" w:color="auto" w:fill="auto"/>
                  <w:noWrap/>
                  <w:vAlign w:val="center"/>
                </w:tcPr>
                <w:p w14:paraId="365C34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Cs/>
                      <w:i w:val="0"/>
                      <w:iCs w:val="0"/>
                      <w:color w:val="auto"/>
                      <w:kern w:val="0"/>
                      <w:sz w:val="21"/>
                      <w:szCs w:val="21"/>
                      <w:u w:val="none"/>
                      <w:lang w:val="en-US" w:eastAsia="zh-CN" w:bidi="ar"/>
                    </w:rPr>
                    <w:t>取0忽略计算</w:t>
                  </w:r>
                </w:p>
              </w:tc>
            </w:tr>
          </w:tbl>
          <w:p w14:paraId="1B90CF3A">
            <w:pPr>
              <w:keepNext w:val="0"/>
              <w:keepLines w:val="0"/>
              <w:suppressLineNumbers w:val="0"/>
              <w:snapToGrid w:val="0"/>
              <w:spacing w:before="0" w:beforeAutospacing="0" w:after="0" w:afterAutospacing="0" w:line="360" w:lineRule="auto"/>
              <w:ind w:left="0" w:right="0" w:firstLine="424" w:firstLineChars="177"/>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根据瓦斯成分分析报告，可燃物为</w:t>
            </w:r>
            <w:r>
              <w:rPr>
                <w:rFonts w:hint="default" w:ascii="Times New Roman" w:hAnsi="Times New Roman" w:eastAsia="宋体" w:cs="Times New Roman"/>
                <w:color w:val="auto"/>
                <w:sz w:val="24"/>
                <w:szCs w:val="24"/>
              </w:rPr>
              <w:t>CH</w:t>
            </w:r>
            <w:r>
              <w:rPr>
                <w:rFonts w:hint="default" w:ascii="Times New Roman" w:hAnsi="Times New Roman" w:eastAsia="宋体" w:cs="Times New Roman"/>
                <w:color w:val="auto"/>
                <w:sz w:val="24"/>
                <w:szCs w:val="24"/>
                <w:vertAlign w:val="subscript"/>
              </w:rPr>
              <w:t>4</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rPr>
              <w:t>C</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H</w:t>
            </w:r>
            <w:r>
              <w:rPr>
                <w:rFonts w:hint="default" w:ascii="Times New Roman" w:hAnsi="Times New Roman" w:eastAsia="宋体" w:cs="Times New Roman"/>
                <w:color w:val="auto"/>
                <w:sz w:val="24"/>
                <w:szCs w:val="24"/>
                <w:vertAlign w:val="subscript"/>
              </w:rPr>
              <w:t>6</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rPr>
              <w:t>项目总烟气量由二氧化碳（CO₂）、水（H₂O）、氮气（N₂）、氧气（O₂</w:t>
            </w:r>
            <w:r>
              <w:rPr>
                <w:rFonts w:hint="eastAsia" w:cs="Times New Roman"/>
                <w:color w:val="auto"/>
                <w:sz w:val="24"/>
                <w:szCs w:val="24"/>
                <w:lang w:eastAsia="zh-CN"/>
              </w:rPr>
              <w:t>）等</w:t>
            </w:r>
            <w:r>
              <w:rPr>
                <w:rFonts w:hint="default" w:ascii="Times New Roman" w:hAnsi="Times New Roman" w:eastAsia="宋体" w:cs="Times New Roman"/>
                <w:color w:val="auto"/>
                <w:sz w:val="24"/>
                <w:szCs w:val="24"/>
              </w:rPr>
              <w:t>各类燃烧产物体积汇总构成</w:t>
            </w:r>
            <w:r>
              <w:rPr>
                <w:rFonts w:hint="default" w:ascii="Times New Roman" w:hAnsi="Times New Roman" w:eastAsia="宋体" w:cs="Times New Roman"/>
                <w:color w:val="auto"/>
                <w:sz w:val="24"/>
                <w:szCs w:val="24"/>
                <w:lang w:eastAsia="zh-CN"/>
              </w:rPr>
              <w:t>。</w:t>
            </w:r>
          </w:p>
          <w:p w14:paraId="600AFAB5">
            <w:pPr>
              <w:keepNext w:val="0"/>
              <w:keepLines w:val="0"/>
              <w:suppressLineNumbers w:val="0"/>
              <w:snapToGrid w:val="0"/>
              <w:spacing w:before="0" w:beforeAutospacing="0" w:after="0" w:afterAutospacing="0" w:line="360" w:lineRule="auto"/>
              <w:ind w:left="0" w:right="0" w:firstLine="424" w:firstLineChars="177"/>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氧气</w:t>
            </w:r>
            <w:r>
              <w:rPr>
                <w:rFonts w:hint="default" w:ascii="宋体" w:hAnsi="宋体" w:eastAsia="宋体" w:cs="宋体"/>
                <w:color w:val="auto"/>
                <w:sz w:val="24"/>
                <w:szCs w:val="24"/>
              </w:rPr>
              <w:t>过剩系数取α=1</w:t>
            </w:r>
            <w:r>
              <w:rPr>
                <w:rFonts w:hint="default" w:ascii="宋体" w:hAnsi="宋体" w:eastAsia="宋体" w:cs="宋体"/>
                <w:color w:val="auto"/>
                <w:sz w:val="24"/>
                <w:szCs w:val="24"/>
                <w:lang w:val="en-US" w:eastAsia="zh-CN"/>
              </w:rPr>
              <w:t>.</w:t>
            </w:r>
            <w:r>
              <w:rPr>
                <w:rFonts w:hint="eastAsia" w:ascii="宋体" w:hAnsi="宋体" w:cs="宋体"/>
                <w:color w:val="auto"/>
                <w:sz w:val="24"/>
                <w:szCs w:val="24"/>
                <w:lang w:val="en-US" w:eastAsia="zh-CN"/>
              </w:rPr>
              <w:t>6。</w:t>
            </w:r>
          </w:p>
          <w:p w14:paraId="2B3C8253">
            <w:pPr>
              <w:keepNext w:val="0"/>
              <w:keepLines w:val="0"/>
              <w:suppressLineNumbers w:val="0"/>
              <w:snapToGrid w:val="0"/>
              <w:spacing w:before="0" w:beforeAutospacing="0" w:after="0" w:afterAutospacing="0" w:line="360" w:lineRule="auto"/>
              <w:ind w:left="0" w:right="0" w:firstLine="424" w:firstLineChars="177"/>
              <w:rPr>
                <w:rFonts w:hint="default" w:ascii="Times New Roman" w:hAnsi="Times New Roman" w:cs="Times New Roman"/>
                <w:color w:val="auto"/>
                <w:sz w:val="24"/>
                <w:highlight w:val="none"/>
              </w:rPr>
            </w:pPr>
            <w:r>
              <w:rPr>
                <w:rFonts w:hint="eastAsia" w:ascii="宋体" w:hAnsi="宋体" w:cs="宋体"/>
                <w:color w:val="auto"/>
                <w:sz w:val="24"/>
                <w:szCs w:val="24"/>
                <w:highlight w:val="none"/>
                <w:lang w:val="en-US" w:eastAsia="zh-CN"/>
              </w:rPr>
              <w:t>A.</w:t>
            </w:r>
            <w:r>
              <w:rPr>
                <w:rFonts w:hint="default" w:ascii="宋体" w:hAnsi="宋体" w:eastAsia="宋体" w:cs="宋体"/>
                <w:color w:val="auto"/>
                <w:sz w:val="24"/>
                <w:szCs w:val="24"/>
                <w:highlight w:val="none"/>
              </w:rPr>
              <w:t>各可燃组分理论耗氧量</w:t>
            </w:r>
          </w:p>
          <w:p w14:paraId="4AA870FA">
            <w:pPr>
              <w:keepNext w:val="0"/>
              <w:keepLines w:val="0"/>
              <w:widowControl/>
              <w:suppressLineNumbers w:val="0"/>
              <w:spacing w:before="0" w:beforeAutospacing="0" w:after="0" w:afterAutospacing="0"/>
              <w:ind w:left="0" w:right="0" w:firstLine="420" w:firstLineChars="200"/>
              <w:rPr>
                <w:rFonts w:hint="default" w:ascii="Times New Roman" w:hAnsi="Times New Roman" w:eastAsia="宋体" w:cs="Times New Roman"/>
                <w:color w:val="auto"/>
                <w:sz w:val="24"/>
                <w:szCs w:val="24"/>
                <w:highlight w:val="none"/>
                <w:lang w:val="en-US" w:eastAsia="zh-CN"/>
              </w:rPr>
            </w:pPr>
            <w:r>
              <w:rPr>
                <w:rFonts w:hint="eastAsia" w:cs="Times New Roman"/>
                <w:color w:val="auto"/>
                <w:highlight w:val="none"/>
                <w:lang w:val="en-US" w:eastAsia="zh-CN"/>
              </w:rPr>
              <w:t>a</w:t>
            </w:r>
            <w:r>
              <w:rPr>
                <w:rFonts w:hint="default" w:ascii="Times New Roman" w:hAnsi="Times New Roman" w:eastAsia="宋体" w:cs="Times New Roman"/>
                <w:color w:val="auto"/>
                <w:sz w:val="24"/>
                <w:szCs w:val="24"/>
                <w:highlight w:val="none"/>
              </w:rPr>
              <w:t>甲烷耗氧量</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燃烧反应式：</w:t>
            </w:r>
            <w:r>
              <w:rPr>
                <w:rFonts w:hint="default" w:ascii="宋体" w:hAnsi="宋体" w:eastAsia="宋体" w:cs="宋体"/>
                <w:color w:val="auto"/>
                <w:sz w:val="24"/>
                <w:szCs w:val="24"/>
              </w:rPr>
              <w:t>CH</w:t>
            </w:r>
            <w:r>
              <w:rPr>
                <w:rFonts w:hint="default" w:ascii="宋体" w:hAnsi="宋体" w:eastAsia="宋体" w:cs="宋体"/>
                <w:color w:val="auto"/>
                <w:sz w:val="24"/>
                <w:szCs w:val="24"/>
                <w:vertAlign w:val="subscript"/>
              </w:rPr>
              <w:t>4</w:t>
            </w:r>
            <w:r>
              <w:rPr>
                <w:rFonts w:hint="default" w:ascii="宋体" w:hAnsi="宋体" w:eastAsia="宋体" w:cs="宋体"/>
                <w:color w:val="auto"/>
                <w:sz w:val="24"/>
                <w:szCs w:val="24"/>
              </w:rPr>
              <w:t>+2O</w:t>
            </w:r>
            <w:r>
              <w:rPr>
                <w:rFonts w:hint="default" w:ascii="宋体" w:hAnsi="宋体" w:eastAsia="宋体" w:cs="宋体"/>
                <w:color w:val="auto"/>
                <w:sz w:val="24"/>
                <w:szCs w:val="24"/>
                <w:vertAlign w:val="subscript"/>
              </w:rPr>
              <w:t>2</w:t>
            </w:r>
            <w:r>
              <w:rPr>
                <w:rFonts w:hint="default" w:ascii="宋体" w:hAnsi="宋体" w:eastAsia="宋体" w:cs="宋体"/>
                <w:color w:val="auto"/>
                <w:sz w:val="24"/>
                <w:szCs w:val="24"/>
              </w:rPr>
              <w:t>=CO</w:t>
            </w:r>
            <w:r>
              <w:rPr>
                <w:rFonts w:hint="default" w:ascii="宋体" w:hAnsi="宋体" w:eastAsia="宋体" w:cs="宋体"/>
                <w:color w:val="auto"/>
                <w:sz w:val="24"/>
                <w:szCs w:val="24"/>
                <w:vertAlign w:val="subscript"/>
              </w:rPr>
              <w:t>2</w:t>
            </w:r>
            <w:r>
              <w:rPr>
                <w:rFonts w:hint="default" w:ascii="宋体" w:hAnsi="宋体" w:eastAsia="宋体" w:cs="宋体"/>
                <w:color w:val="auto"/>
                <w:sz w:val="24"/>
                <w:szCs w:val="24"/>
              </w:rPr>
              <w:t>+2H</w:t>
            </w:r>
            <w:r>
              <w:rPr>
                <w:rFonts w:hint="default" w:ascii="宋体" w:hAnsi="宋体" w:eastAsia="宋体" w:cs="宋体"/>
                <w:color w:val="auto"/>
                <w:sz w:val="24"/>
                <w:szCs w:val="24"/>
                <w:vertAlign w:val="subscript"/>
              </w:rPr>
              <w:t>2</w:t>
            </w:r>
            <w:r>
              <w:rPr>
                <w:rFonts w:hint="default" w:ascii="宋体" w:hAnsi="宋体" w:eastAsia="宋体" w:cs="宋体"/>
                <w:color w:val="auto"/>
                <w:sz w:val="24"/>
                <w:szCs w:val="24"/>
              </w:rPr>
              <w:t>O</w:t>
            </w:r>
          </w:p>
          <w:p w14:paraId="28B4B440">
            <w:pPr>
              <w:pStyle w:val="10"/>
              <w:keepNext w:val="0"/>
              <w:keepLines w:val="0"/>
              <w:suppressLineNumbers w:val="0"/>
              <w:spacing w:before="0" w:beforeAutospacing="0" w:after="0" w:afterAutospacing="0"/>
              <w:ind w:left="0" w:leftChars="0" w:right="0" w:firstLine="480" w:firstLineChars="200"/>
              <w:rPr>
                <w:rFonts w:hint="default" w:ascii="Times New Roman" w:hAnsi="Times New Roman" w:eastAsia="宋体" w:cs="Times New Roman"/>
                <w:color w:val="auto"/>
                <w:sz w:val="24"/>
                <w:highlight w:val="none"/>
                <w:vertAlign w:val="superscript"/>
                <w:lang w:val="en-US" w:eastAsia="zh-CN"/>
              </w:rPr>
            </w:pPr>
            <w:r>
              <w:rPr>
                <w:rFonts w:hint="default" w:ascii="Times New Roman"/>
                <w:color w:val="auto"/>
                <w:sz w:val="24"/>
                <w:highlight w:val="none"/>
                <w:lang w:val="en-US" w:eastAsia="zh-CN"/>
              </w:rPr>
              <w:t>VO</w:t>
            </w:r>
            <w:r>
              <w:rPr>
                <w:rFonts w:hint="default" w:ascii="Times New Roman"/>
                <w:color w:val="auto"/>
                <w:sz w:val="24"/>
                <w:highlight w:val="none"/>
                <w:vertAlign w:val="subscript"/>
                <w:lang w:val="en-US" w:eastAsia="zh-CN"/>
              </w:rPr>
              <w:t>2</w:t>
            </w:r>
            <w:r>
              <w:rPr>
                <w:rFonts w:hint="eastAsia" w:ascii="Times New Roman"/>
                <w:color w:val="auto"/>
                <w:sz w:val="24"/>
                <w:highlight w:val="none"/>
                <w:vertAlign w:val="subscript"/>
                <w:lang w:val="en-US" w:eastAsia="zh-CN"/>
              </w:rPr>
              <w:t xml:space="preserve">, </w:t>
            </w:r>
            <w:r>
              <w:rPr>
                <w:rFonts w:hint="default" w:ascii="Times New Roman"/>
                <w:color w:val="auto"/>
                <w:sz w:val="24"/>
                <w:highlight w:val="none"/>
                <w:lang w:val="en-US" w:eastAsia="zh-CN"/>
              </w:rPr>
              <w:t>CH</w:t>
            </w:r>
            <w:r>
              <w:rPr>
                <w:rFonts w:hint="default" w:ascii="Times New Roman"/>
                <w:color w:val="auto"/>
                <w:sz w:val="24"/>
                <w:highlight w:val="none"/>
                <w:vertAlign w:val="subscript"/>
                <w:lang w:val="en-US" w:eastAsia="zh-CN"/>
              </w:rPr>
              <w:t>4</w:t>
            </w:r>
            <w:r>
              <w:rPr>
                <w:rFonts w:hint="default" w:ascii="Times New Roman"/>
                <w:color w:val="auto"/>
                <w:sz w:val="24"/>
                <w:highlight w:val="none"/>
                <w:vertAlign w:val="baseline"/>
                <w:lang w:val="en-US" w:eastAsia="zh-CN"/>
              </w:rPr>
              <w:t>=0.125</w:t>
            </w:r>
            <w:r>
              <w:rPr>
                <w:rFonts w:hint="default" w:ascii="Times New Roman" w:hAnsi="Times New Roman" w:cs="Times New Roman"/>
                <w:color w:val="auto"/>
                <w:sz w:val="24"/>
                <w:highlight w:val="none"/>
                <w:vertAlign w:val="baseline"/>
                <w:lang w:val="en-US" w:eastAsia="zh-CN"/>
              </w:rPr>
              <w:t>×</w:t>
            </w:r>
            <w:r>
              <w:rPr>
                <w:rFonts w:hint="default" w:ascii="Times New Roman"/>
                <w:color w:val="auto"/>
                <w:sz w:val="24"/>
                <w:highlight w:val="none"/>
                <w:vertAlign w:val="baseline"/>
                <w:lang w:val="en-US" w:eastAsia="zh-CN"/>
              </w:rPr>
              <w:t>2=0.25m</w:t>
            </w:r>
            <w:r>
              <w:rPr>
                <w:rFonts w:hint="default" w:ascii="Times New Roman"/>
                <w:color w:val="auto"/>
                <w:sz w:val="24"/>
                <w:highlight w:val="none"/>
                <w:vertAlign w:val="superscript"/>
                <w:lang w:val="en-US" w:eastAsia="zh-CN"/>
              </w:rPr>
              <w:t>3</w:t>
            </w:r>
            <w:r>
              <w:rPr>
                <w:rFonts w:hint="eastAsia" w:ascii="Times New Roman"/>
                <w:color w:val="auto"/>
                <w:sz w:val="24"/>
                <w:highlight w:val="none"/>
                <w:vertAlign w:val="superscript"/>
                <w:lang w:val="en-US" w:eastAsia="zh-CN"/>
              </w:rPr>
              <w:t>;</w:t>
            </w:r>
          </w:p>
          <w:p w14:paraId="456277EC">
            <w:pPr>
              <w:keepNext w:val="0"/>
              <w:keepLines w:val="0"/>
              <w:widowControl/>
              <w:suppressLineNumbers w:val="0"/>
              <w:spacing w:before="0" w:beforeAutospacing="0" w:after="0" w:afterAutospacing="0"/>
              <w:ind w:left="0" w:right="0" w:firstLine="480" w:firstLineChars="200"/>
              <w:rPr>
                <w:rFonts w:hint="eastAsia" w:ascii="Times New Roman" w:hAnsi="Times New Roman" w:eastAsia="宋体" w:cs="Times New Roman"/>
                <w:color w:val="auto"/>
                <w:sz w:val="24"/>
                <w:szCs w:val="24"/>
                <w:highlight w:val="none"/>
                <w:lang w:eastAsia="zh-CN"/>
              </w:rPr>
            </w:pPr>
            <w:r>
              <w:rPr>
                <w:rFonts w:hint="eastAsia"/>
                <w:color w:val="auto"/>
                <w:sz w:val="24"/>
                <w:szCs w:val="24"/>
                <w:highlight w:val="none"/>
                <w:lang w:val="en-US" w:eastAsia="zh-CN"/>
              </w:rPr>
              <w:t>b</w:t>
            </w:r>
            <w:r>
              <w:rPr>
                <w:rFonts w:hint="default"/>
                <w:color w:val="auto"/>
                <w:sz w:val="24"/>
                <w:szCs w:val="24"/>
                <w:highlight w:val="none"/>
              </w:rPr>
              <w:t>乙烷耗氧量</w:t>
            </w:r>
            <w:r>
              <w:rPr>
                <w:rFonts w:hint="eastAsia"/>
                <w:color w:val="auto"/>
                <w:sz w:val="24"/>
                <w:szCs w:val="24"/>
                <w:highlight w:val="none"/>
                <w:lang w:eastAsia="zh-CN"/>
              </w:rPr>
              <w:t>，</w:t>
            </w:r>
            <w:r>
              <w:rPr>
                <w:rFonts w:hint="eastAsia" w:cs="Times New Roman"/>
                <w:color w:val="auto"/>
                <w:sz w:val="24"/>
                <w:szCs w:val="24"/>
                <w:highlight w:val="none"/>
                <w:lang w:val="en-US" w:eastAsia="zh-CN"/>
              </w:rPr>
              <w:t>燃烧反应式：</w:t>
            </w:r>
            <w:r>
              <w:rPr>
                <w:rFonts w:hint="default" w:ascii="宋体" w:hAnsi="宋体" w:eastAsia="宋体" w:cs="宋体"/>
                <w:color w:val="auto"/>
                <w:sz w:val="24"/>
                <w:szCs w:val="24"/>
              </w:rPr>
              <w:t>C</w:t>
            </w:r>
            <w:r>
              <w:rPr>
                <w:rFonts w:hint="default" w:ascii="宋体" w:hAnsi="宋体" w:eastAsia="宋体" w:cs="宋体"/>
                <w:color w:val="auto"/>
                <w:sz w:val="24"/>
                <w:szCs w:val="24"/>
                <w:vertAlign w:val="subscript"/>
              </w:rPr>
              <w:t>2</w:t>
            </w:r>
            <w:r>
              <w:rPr>
                <w:rFonts w:hint="default" w:ascii="宋体" w:hAnsi="宋体" w:eastAsia="宋体" w:cs="宋体"/>
                <w:color w:val="auto"/>
                <w:sz w:val="24"/>
                <w:szCs w:val="24"/>
              </w:rPr>
              <w:t>H</w:t>
            </w:r>
            <w:r>
              <w:rPr>
                <w:rFonts w:hint="default" w:ascii="宋体" w:hAnsi="宋体" w:eastAsia="宋体" w:cs="宋体"/>
                <w:color w:val="auto"/>
                <w:sz w:val="24"/>
                <w:szCs w:val="24"/>
                <w:vertAlign w:val="subscript"/>
              </w:rPr>
              <w:t>6</w:t>
            </w:r>
            <w:r>
              <w:rPr>
                <w:rFonts w:hint="default" w:ascii="宋体" w:hAnsi="宋体" w:eastAsia="宋体" w:cs="宋体"/>
                <w:color w:val="auto"/>
                <w:sz w:val="24"/>
                <w:szCs w:val="24"/>
              </w:rPr>
              <w:t>+3.5O</w:t>
            </w:r>
            <w:r>
              <w:rPr>
                <w:rFonts w:hint="default" w:ascii="宋体" w:hAnsi="宋体" w:eastAsia="宋体" w:cs="宋体"/>
                <w:color w:val="auto"/>
                <w:sz w:val="24"/>
                <w:szCs w:val="24"/>
                <w:vertAlign w:val="subscript"/>
              </w:rPr>
              <w:t>2</w:t>
            </w:r>
            <w:r>
              <w:rPr>
                <w:rFonts w:hint="default" w:ascii="宋体" w:hAnsi="宋体" w:eastAsia="宋体" w:cs="宋体"/>
                <w:color w:val="auto"/>
                <w:sz w:val="24"/>
                <w:szCs w:val="24"/>
              </w:rPr>
              <w:t>=2CO</w:t>
            </w:r>
            <w:r>
              <w:rPr>
                <w:rFonts w:hint="default" w:ascii="宋体" w:hAnsi="宋体" w:eastAsia="宋体" w:cs="宋体"/>
                <w:color w:val="auto"/>
                <w:sz w:val="24"/>
                <w:szCs w:val="24"/>
                <w:vertAlign w:val="subscript"/>
              </w:rPr>
              <w:t>2</w:t>
            </w:r>
            <w:r>
              <w:rPr>
                <w:rFonts w:hint="default" w:ascii="宋体" w:hAnsi="宋体" w:eastAsia="宋体" w:cs="宋体"/>
                <w:color w:val="auto"/>
                <w:sz w:val="24"/>
                <w:szCs w:val="24"/>
              </w:rPr>
              <w:t>+3H</w:t>
            </w:r>
            <w:r>
              <w:rPr>
                <w:rFonts w:hint="default" w:ascii="宋体" w:hAnsi="宋体" w:eastAsia="宋体" w:cs="宋体"/>
                <w:color w:val="auto"/>
                <w:sz w:val="24"/>
                <w:szCs w:val="24"/>
                <w:vertAlign w:val="subscript"/>
              </w:rPr>
              <w:t>2</w:t>
            </w:r>
            <w:r>
              <w:rPr>
                <w:rFonts w:hint="default" w:ascii="宋体" w:hAnsi="宋体" w:eastAsia="宋体" w:cs="宋体"/>
                <w:color w:val="auto"/>
                <w:sz w:val="24"/>
                <w:szCs w:val="24"/>
              </w:rPr>
              <w:t>O</w:t>
            </w:r>
          </w:p>
          <w:p w14:paraId="49DC901A">
            <w:pPr>
              <w:pStyle w:val="10"/>
              <w:keepNext w:val="0"/>
              <w:keepLines w:val="0"/>
              <w:suppressLineNumbers w:val="0"/>
              <w:spacing w:before="0" w:beforeAutospacing="0" w:after="0" w:afterAutospacing="0"/>
              <w:ind w:left="0" w:leftChars="0" w:right="0" w:firstLine="480" w:firstLineChars="200"/>
              <w:rPr>
                <w:rFonts w:hint="default" w:ascii="Times New Roman" w:hAnsi="Times New Roman" w:cs="Times New Roman"/>
                <w:color w:val="auto"/>
                <w:sz w:val="24"/>
                <w:highlight w:val="none"/>
              </w:rPr>
            </w:pPr>
            <w:r>
              <w:rPr>
                <w:rFonts w:hint="default" w:ascii="Times New Roman"/>
                <w:color w:val="auto"/>
                <w:sz w:val="24"/>
                <w:highlight w:val="none"/>
                <w:lang w:val="en-US" w:eastAsia="zh-CN"/>
              </w:rPr>
              <w:t>VO</w:t>
            </w:r>
            <w:r>
              <w:rPr>
                <w:rFonts w:hint="default" w:ascii="Times New Roman"/>
                <w:color w:val="auto"/>
                <w:sz w:val="24"/>
                <w:highlight w:val="none"/>
                <w:vertAlign w:val="subscript"/>
                <w:lang w:val="en-US" w:eastAsia="zh-CN"/>
              </w:rPr>
              <w:t>2</w:t>
            </w:r>
            <w:r>
              <w:rPr>
                <w:rFonts w:hint="eastAsia" w:ascii="Times New Roman"/>
                <w:color w:val="auto"/>
                <w:sz w:val="24"/>
                <w:highlight w:val="none"/>
                <w:vertAlign w:val="subscript"/>
                <w:lang w:val="en-US" w:eastAsia="zh-CN"/>
              </w:rPr>
              <w:t xml:space="preserve">, </w:t>
            </w:r>
            <w:r>
              <w:rPr>
                <w:rFonts w:hint="default" w:ascii="Times New Roman"/>
                <w:color w:val="auto"/>
                <w:sz w:val="24"/>
                <w:highlight w:val="none"/>
                <w:lang w:val="en-US" w:eastAsia="zh-CN"/>
              </w:rPr>
              <w:t>C</w:t>
            </w:r>
            <w:r>
              <w:rPr>
                <w:rFonts w:hint="default" w:ascii="Times New Roman"/>
                <w:color w:val="auto"/>
                <w:sz w:val="24"/>
                <w:highlight w:val="none"/>
                <w:vertAlign w:val="subscript"/>
                <w:lang w:val="en-US" w:eastAsia="zh-CN"/>
              </w:rPr>
              <w:t>2</w:t>
            </w:r>
            <w:r>
              <w:rPr>
                <w:rFonts w:hint="default" w:ascii="Times New Roman"/>
                <w:color w:val="auto"/>
                <w:sz w:val="24"/>
                <w:highlight w:val="none"/>
                <w:lang w:val="en-US" w:eastAsia="zh-CN"/>
              </w:rPr>
              <w:t>H</w:t>
            </w:r>
            <w:r>
              <w:rPr>
                <w:rFonts w:hint="default" w:ascii="Times New Roman"/>
                <w:color w:val="auto"/>
                <w:sz w:val="24"/>
                <w:highlight w:val="none"/>
                <w:vertAlign w:val="subscript"/>
                <w:lang w:val="en-US" w:eastAsia="zh-CN"/>
              </w:rPr>
              <w:t>6</w:t>
            </w:r>
            <w:r>
              <w:rPr>
                <w:rFonts w:hint="default" w:ascii="Times New Roman"/>
                <w:color w:val="auto"/>
                <w:sz w:val="24"/>
                <w:highlight w:val="none"/>
                <w:vertAlign w:val="baseline"/>
                <w:lang w:val="en-US" w:eastAsia="zh-CN"/>
              </w:rPr>
              <w:t>=0.00012</w:t>
            </w:r>
            <w:r>
              <w:rPr>
                <w:rFonts w:hint="default" w:ascii="Times New Roman" w:hAnsi="Times New Roman" w:cs="Times New Roman"/>
                <w:color w:val="auto"/>
                <w:sz w:val="24"/>
                <w:highlight w:val="none"/>
                <w:vertAlign w:val="baseline"/>
                <w:lang w:val="en-US" w:eastAsia="zh-CN"/>
              </w:rPr>
              <w:t>×</w:t>
            </w:r>
            <w:r>
              <w:rPr>
                <w:rFonts w:hint="default" w:ascii="Times New Roman"/>
                <w:color w:val="auto"/>
                <w:sz w:val="24"/>
                <w:highlight w:val="none"/>
                <w:vertAlign w:val="baseline"/>
                <w:lang w:val="en-US" w:eastAsia="zh-CN"/>
              </w:rPr>
              <w:t>3.5=0.00042m</w:t>
            </w:r>
            <w:r>
              <w:rPr>
                <w:rFonts w:hint="default" w:ascii="Times New Roman"/>
                <w:color w:val="auto"/>
                <w:sz w:val="24"/>
                <w:highlight w:val="none"/>
                <w:vertAlign w:val="superscript"/>
                <w:lang w:val="en-US" w:eastAsia="zh-CN"/>
              </w:rPr>
              <w:t>3</w:t>
            </w:r>
            <w:r>
              <w:rPr>
                <w:rFonts w:hint="eastAsia" w:ascii="Times New Roman"/>
                <w:color w:val="auto"/>
                <w:sz w:val="24"/>
                <w:highlight w:val="none"/>
                <w:vertAlign w:val="superscript"/>
                <w:lang w:val="en-US" w:eastAsia="zh-CN"/>
              </w:rPr>
              <w:t>;</w:t>
            </w:r>
          </w:p>
          <w:p w14:paraId="4AE02FCD">
            <w:pPr>
              <w:keepNext w:val="0"/>
              <w:keepLines w:val="0"/>
              <w:widowControl/>
              <w:suppressLineNumbers w:val="0"/>
              <w:spacing w:before="0" w:beforeAutospacing="0" w:after="0" w:afterAutospacing="0"/>
              <w:ind w:left="0" w:right="0" w:firstLine="480" w:firstLineChars="200"/>
              <w:rPr>
                <w:rFonts w:hint="default" w:ascii="Times New Roman" w:hAnsi="Times New Roman" w:cs="Times New Roman"/>
                <w:color w:val="auto"/>
                <w:sz w:val="24"/>
                <w:szCs w:val="24"/>
                <w:highlight w:val="none"/>
              </w:rPr>
            </w:pPr>
            <w:r>
              <w:rPr>
                <w:rFonts w:hint="eastAsia"/>
                <w:color w:val="auto"/>
                <w:sz w:val="24"/>
                <w:szCs w:val="24"/>
                <w:highlight w:val="none"/>
                <w:lang w:val="en-US" w:eastAsia="zh-CN"/>
              </w:rPr>
              <w:t>c</w:t>
            </w:r>
            <w:r>
              <w:rPr>
                <w:rFonts w:hint="default"/>
                <w:color w:val="auto"/>
                <w:sz w:val="24"/>
                <w:szCs w:val="24"/>
                <w:highlight w:val="none"/>
              </w:rPr>
              <w:t>总理论需氧量（燃料本身不含氧时）</w:t>
            </w:r>
          </w:p>
          <w:p w14:paraId="330D0CEE">
            <w:pPr>
              <w:keepNext w:val="0"/>
              <w:keepLines w:val="0"/>
              <w:suppressLineNumbers w:val="0"/>
              <w:snapToGrid w:val="0"/>
              <w:spacing w:before="0" w:beforeAutospacing="0" w:after="0" w:afterAutospacing="0" w:line="360" w:lineRule="auto"/>
              <w:ind w:left="0" w:right="0" w:firstLine="424" w:firstLineChars="177"/>
              <w:rPr>
                <w:rFonts w:hint="default" w:ascii="Times New Roman" w:hAnsi="Times New Roman" w:eastAsia="宋体" w:cs="Times New Roman"/>
                <w:color w:val="auto"/>
                <w:sz w:val="24"/>
                <w:highlight w:val="none"/>
                <w:vertAlign w:val="baseline"/>
                <w:lang w:val="en-US" w:eastAsia="zh-CN"/>
              </w:rPr>
            </w:pPr>
            <w:r>
              <w:rPr>
                <w:rFonts w:hint="default" w:ascii="Times New Roman" w:hAnsi="Times New Roman" w:eastAsia="宋体" w:cs="Times New Roman"/>
                <w:color w:val="auto"/>
                <w:sz w:val="24"/>
                <w:highlight w:val="none"/>
                <w:lang w:val="en-US" w:eastAsia="zh-CN"/>
              </w:rPr>
              <w:t>VO</w:t>
            </w:r>
            <w:r>
              <w:rPr>
                <w:rFonts w:hint="default" w:ascii="Times New Roman" w:hAnsi="Times New Roman" w:eastAsia="宋体" w:cs="Times New Roman"/>
                <w:color w:val="auto"/>
                <w:sz w:val="24"/>
                <w:highlight w:val="none"/>
                <w:vertAlign w:val="subscript"/>
                <w:lang w:val="en-US" w:eastAsia="zh-CN"/>
              </w:rPr>
              <w:t>2</w:t>
            </w:r>
            <w:r>
              <w:rPr>
                <w:rFonts w:hint="eastAsia" w:ascii="Times New Roman" w:hAnsi="Times New Roman" w:eastAsia="宋体" w:cs="Times New Roman"/>
                <w:color w:val="auto"/>
                <w:sz w:val="24"/>
                <w:highlight w:val="none"/>
                <w:vertAlign w:val="subscript"/>
                <w:lang w:val="en-US" w:eastAsia="zh-CN"/>
              </w:rPr>
              <w:t>，总需</w:t>
            </w:r>
            <w:r>
              <w:rPr>
                <w:rFonts w:hint="eastAsia" w:ascii="Times New Roman" w:hAnsi="Times New Roman" w:eastAsia="宋体" w:cs="Times New Roman"/>
                <w:color w:val="auto"/>
                <w:sz w:val="24"/>
                <w:highlight w:val="none"/>
                <w:vertAlign w:val="baseline"/>
                <w:lang w:val="en-US" w:eastAsia="zh-CN"/>
              </w:rPr>
              <w:t>=0.25+0.00042=0.25042</w:t>
            </w:r>
            <w:r>
              <w:rPr>
                <w:rFonts w:hint="default" w:ascii="Times New Roman" w:hAnsi="Times New Roman" w:eastAsia="宋体" w:cs="Times New Roman"/>
                <w:color w:val="auto"/>
                <w:sz w:val="24"/>
                <w:highlight w:val="none"/>
                <w:vertAlign w:val="baseline"/>
                <w:lang w:val="en-US" w:eastAsia="zh-CN"/>
              </w:rPr>
              <w:t>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vertAlign w:val="baseline"/>
                <w:lang w:val="en-US" w:eastAsia="zh-CN"/>
              </w:rPr>
              <w:t>；</w:t>
            </w:r>
          </w:p>
          <w:p w14:paraId="7B5D9736">
            <w:pPr>
              <w:keepNext w:val="0"/>
              <w:keepLines w:val="0"/>
              <w:suppressLineNumbers w:val="0"/>
              <w:snapToGrid w:val="0"/>
              <w:spacing w:before="0" w:beforeAutospacing="0" w:after="0" w:afterAutospacing="0" w:line="360" w:lineRule="auto"/>
              <w:ind w:left="0" w:right="0" w:firstLine="424" w:firstLineChars="177"/>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vertAlign w:val="baseline"/>
                <w:lang w:val="en-US" w:eastAsia="zh-CN"/>
              </w:rPr>
              <w:t>燃料中自带氧气为：0.151</w:t>
            </w:r>
            <w:r>
              <w:rPr>
                <w:rFonts w:hint="default" w:ascii="Times New Roman" w:hAnsi="Times New Roman" w:eastAsia="宋体" w:cs="Times New Roman"/>
                <w:color w:val="auto"/>
                <w:sz w:val="24"/>
                <w:highlight w:val="none"/>
                <w:vertAlign w:val="baseline"/>
                <w:lang w:val="en-US" w:eastAsia="zh-CN"/>
              </w:rPr>
              <w:t>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vertAlign w:val="baseline"/>
                <w:lang w:val="en-US" w:eastAsia="zh-CN"/>
              </w:rPr>
              <w:t>；</w:t>
            </w:r>
          </w:p>
          <w:p w14:paraId="5DEFE1FA">
            <w:pPr>
              <w:keepNext w:val="0"/>
              <w:keepLines w:val="0"/>
              <w:suppressLineNumbers w:val="0"/>
              <w:snapToGrid w:val="0"/>
              <w:spacing w:before="0" w:beforeAutospacing="0" w:after="0" w:afterAutospacing="0" w:line="360" w:lineRule="auto"/>
              <w:ind w:left="0" w:right="0" w:firstLine="424" w:firstLineChars="177"/>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lang w:val="en-US" w:eastAsia="zh-CN"/>
              </w:rPr>
              <w:t>VO</w:t>
            </w:r>
            <w:r>
              <w:rPr>
                <w:rFonts w:hint="default" w:ascii="Times New Roman" w:hAnsi="Times New Roman" w:eastAsia="宋体" w:cs="Times New Roman"/>
                <w:color w:val="auto"/>
                <w:sz w:val="24"/>
                <w:highlight w:val="none"/>
                <w:vertAlign w:val="subscript"/>
                <w:lang w:val="en-US" w:eastAsia="zh-CN"/>
              </w:rPr>
              <w:t>2</w:t>
            </w:r>
            <w:r>
              <w:rPr>
                <w:rFonts w:hint="eastAsia" w:ascii="Times New Roman" w:hAnsi="Times New Roman" w:eastAsia="宋体" w:cs="Times New Roman"/>
                <w:color w:val="auto"/>
                <w:sz w:val="24"/>
                <w:highlight w:val="none"/>
                <w:vertAlign w:val="subscript"/>
                <w:lang w:val="en-US" w:eastAsia="zh-CN"/>
              </w:rPr>
              <w:t>，空气需补充</w:t>
            </w:r>
            <w:r>
              <w:rPr>
                <w:rFonts w:hint="eastAsia" w:ascii="Times New Roman" w:hAnsi="Times New Roman" w:eastAsia="宋体" w:cs="Times New Roman"/>
                <w:color w:val="auto"/>
                <w:sz w:val="24"/>
                <w:highlight w:val="none"/>
                <w:vertAlign w:val="baseline"/>
                <w:lang w:val="en-US" w:eastAsia="zh-CN"/>
              </w:rPr>
              <w:t>=0.25042</w:t>
            </w:r>
            <w:r>
              <w:rPr>
                <w:rFonts w:hint="default" w:ascii="Arial" w:hAnsi="Arial" w:eastAsia="宋体" w:cs="Arial"/>
                <w:color w:val="auto"/>
                <w:sz w:val="24"/>
                <w:highlight w:val="none"/>
                <w:vertAlign w:val="baseline"/>
                <w:lang w:val="en-US" w:eastAsia="zh-CN"/>
              </w:rPr>
              <w:t>×</w:t>
            </w:r>
            <w:r>
              <w:rPr>
                <w:rFonts w:hint="eastAsia" w:cs="Times New Roman"/>
                <w:color w:val="auto"/>
                <w:sz w:val="24"/>
                <w:highlight w:val="none"/>
                <w:vertAlign w:val="baseline"/>
                <w:lang w:val="en-US" w:eastAsia="zh-CN"/>
              </w:rPr>
              <w:t>1.5</w:t>
            </w:r>
            <w:r>
              <w:rPr>
                <w:rFonts w:hint="eastAsia" w:ascii="Times New Roman" w:hAnsi="Times New Roman" w:eastAsia="宋体" w:cs="Times New Roman"/>
                <w:color w:val="auto"/>
                <w:sz w:val="24"/>
                <w:highlight w:val="none"/>
                <w:vertAlign w:val="baseline"/>
                <w:lang w:val="en-US" w:eastAsia="zh-CN"/>
              </w:rPr>
              <w:t>-0.151=</w:t>
            </w:r>
            <w:r>
              <w:rPr>
                <w:rFonts w:hint="eastAsia" w:cs="Times New Roman"/>
                <w:color w:val="auto"/>
                <w:sz w:val="24"/>
                <w:highlight w:val="none"/>
                <w:vertAlign w:val="baseline"/>
                <w:lang w:val="en-US" w:eastAsia="zh-CN"/>
              </w:rPr>
              <w:t>0.249675</w:t>
            </w:r>
            <w:r>
              <w:rPr>
                <w:rFonts w:hint="default" w:ascii="Times New Roman" w:hAnsi="Times New Roman" w:eastAsia="宋体" w:cs="Times New Roman"/>
                <w:color w:val="auto"/>
                <w:sz w:val="24"/>
                <w:highlight w:val="none"/>
                <w:vertAlign w:val="baseline"/>
                <w:lang w:val="en-US" w:eastAsia="zh-CN"/>
              </w:rPr>
              <w:t>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vertAlign w:val="baseline"/>
                <w:lang w:val="en-US" w:eastAsia="zh-CN"/>
              </w:rPr>
              <w:t>；</w:t>
            </w:r>
          </w:p>
          <w:p w14:paraId="69DFBCFD">
            <w:pPr>
              <w:keepNext w:val="0"/>
              <w:keepLines w:val="0"/>
              <w:suppressLineNumbers w:val="0"/>
              <w:snapToGrid w:val="0"/>
              <w:spacing w:before="0" w:beforeAutospacing="0" w:after="0" w:afterAutospacing="0" w:line="360" w:lineRule="auto"/>
              <w:ind w:left="0" w:right="0" w:firstLine="424" w:firstLineChars="177"/>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B</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需补充空气量</w:t>
            </w:r>
          </w:p>
          <w:p w14:paraId="5F024BAE">
            <w:pPr>
              <w:keepNext w:val="0"/>
              <w:keepLines w:val="0"/>
              <w:suppressLineNumbers w:val="0"/>
              <w:snapToGrid w:val="0"/>
              <w:spacing w:before="0" w:beforeAutospacing="0" w:after="0" w:afterAutospacing="0" w:line="360" w:lineRule="auto"/>
              <w:ind w:left="0" w:right="0" w:firstLine="424" w:firstLineChars="177"/>
              <w:rPr>
                <w:rFonts w:hint="default" w:ascii="Times New Roman" w:hAnsi="Times New Roman" w:eastAsia="宋体" w:cs="Times New Roman"/>
                <w:color w:val="auto"/>
                <w:sz w:val="24"/>
                <w:szCs w:val="24"/>
                <w:highlight w:val="none"/>
                <w:lang w:val="en-US"/>
              </w:rPr>
            </w:pPr>
            <m:oMathPara>
              <m:oMath>
                <m:sSub>
                  <m:sSubPr>
                    <m:ctrlPr>
                      <w:rPr>
                        <w:rFonts w:hint="default" w:ascii="Cambria Math" w:hAnsi="Cambria Math" w:eastAsia="宋体" w:cs="Times New Roman"/>
                        <w:bCs/>
                        <w:i/>
                        <w:color w:val="auto"/>
                        <w:kern w:val="2"/>
                        <w:sz w:val="24"/>
                        <w:szCs w:val="24"/>
                        <w:highlight w:val="none"/>
                        <w:lang w:val="en-US" w:eastAsia="zh-CN" w:bidi="ar-SA"/>
                      </w:rPr>
                    </m:ctrlPr>
                  </m:sSubPr>
                  <m:e>
                    <m:r>
                      <m:rPr>
                        <m:nor/>
                      </m:rPr>
                      <w:rPr>
                        <w:rFonts w:hint="default" w:ascii="Times New Roman" w:hAnsi="Times New Roman" w:eastAsia="宋体" w:cs="Times New Roman"/>
                        <w:i/>
                        <w:color w:val="auto"/>
                        <w:kern w:val="2"/>
                        <w:sz w:val="24"/>
                        <w:szCs w:val="24"/>
                        <w:highlight w:val="none"/>
                        <w:lang w:val="en-US" w:eastAsia="zh-CN" w:bidi="ar-SA"/>
                      </w:rPr>
                      <m:t>V</m:t>
                    </m:r>
                    <m:ctrlPr>
                      <w:rPr>
                        <w:rFonts w:hint="default" w:ascii="Cambria Math" w:hAnsi="Cambria Math" w:eastAsia="宋体" w:cs="Times New Roman"/>
                        <w:bCs/>
                        <w:i/>
                        <w:color w:val="auto"/>
                        <w:kern w:val="2"/>
                        <w:sz w:val="24"/>
                        <w:szCs w:val="24"/>
                        <w:highlight w:val="none"/>
                        <w:lang w:val="en-US" w:eastAsia="zh-CN" w:bidi="ar-SA"/>
                      </w:rPr>
                    </m:ctrlPr>
                  </m:e>
                  <m:sub>
                    <m:r>
                      <m:rPr>
                        <m:nor/>
                        <m:sty m:val="p"/>
                      </m:rPr>
                      <w:rPr>
                        <w:rFonts w:hint="default" w:ascii="Times New Roman" w:hAnsi="Times New Roman" w:eastAsia="宋体" w:cs="Times New Roman"/>
                        <w:b w:val="0"/>
                        <w:i w:val="0"/>
                        <w:color w:val="auto"/>
                        <w:kern w:val="2"/>
                        <w:sz w:val="24"/>
                        <w:szCs w:val="24"/>
                        <w:highlight w:val="none"/>
                        <w:lang w:val="en-US" w:eastAsia="zh-CN" w:bidi="ar-SA"/>
                      </w:rPr>
                      <m:t>0</m:t>
                    </m:r>
                    <m:ctrlPr>
                      <w:rPr>
                        <w:rFonts w:hint="default" w:ascii="Cambria Math" w:hAnsi="Cambria Math" w:eastAsia="宋体" w:cs="Times New Roman"/>
                        <w:bCs/>
                        <w:i/>
                        <w:color w:val="auto"/>
                        <w:kern w:val="2"/>
                        <w:sz w:val="24"/>
                        <w:szCs w:val="24"/>
                        <w:highlight w:val="none"/>
                        <w:lang w:val="en-US" w:eastAsia="zh-CN" w:bidi="ar-SA"/>
                      </w:rPr>
                    </m:ctrlPr>
                  </m:sub>
                </m:sSub>
                <m:r>
                  <m:rPr>
                    <m:nor/>
                    <m:sty m:val="p"/>
                  </m:rPr>
                  <w:rPr>
                    <w:rFonts w:hint="default" w:ascii="Times New Roman" w:hAnsi="Times New Roman" w:eastAsia="宋体" w:cs="Times New Roman"/>
                    <w:b w:val="0"/>
                    <w:i w:val="0"/>
                    <w:color w:val="auto"/>
                    <w:kern w:val="2"/>
                    <w:sz w:val="24"/>
                    <w:szCs w:val="24"/>
                    <w:highlight w:val="none"/>
                    <w:lang w:val="en-US" w:eastAsia="zh-CN" w:bidi="ar-SA"/>
                  </w:rPr>
                  <m:t>=</m:t>
                </m:r>
                <m:f>
                  <m:fPr>
                    <m:ctrlPr>
                      <w:rPr>
                        <w:rFonts w:hint="default" w:ascii="Cambria Math" w:hAnsi="Cambria Math" w:eastAsia="宋体" w:cs="Times New Roman"/>
                        <w:bCs/>
                        <w:i/>
                        <w:color w:val="auto"/>
                        <w:kern w:val="2"/>
                        <w:sz w:val="24"/>
                        <w:szCs w:val="24"/>
                        <w:highlight w:val="none"/>
                        <w:lang w:val="en-US" w:eastAsia="zh-CN" w:bidi="ar-SA"/>
                      </w:rPr>
                    </m:ctrlPr>
                  </m:fPr>
                  <m:num>
                    <m:sSub>
                      <m:sSubPr>
                        <m:ctrlPr>
                          <w:rPr>
                            <w:rFonts w:hint="default" w:ascii="Cambria Math" w:hAnsi="Cambria Math" w:eastAsia="宋体" w:cs="Times New Roman"/>
                            <w:bCs/>
                            <w:i w:val="0"/>
                            <w:color w:val="auto"/>
                            <w:kern w:val="2"/>
                            <w:sz w:val="24"/>
                            <w:szCs w:val="24"/>
                            <w:highlight w:val="none"/>
                            <w:lang w:val="en-US" w:eastAsia="zh-CN" w:bidi="ar-SA"/>
                          </w:rPr>
                        </m:ctrlPr>
                      </m:sSubPr>
                      <m:e>
                        <m:r>
                          <m:rPr>
                            <m:nor/>
                            <m:sty m:val="p"/>
                          </m:rPr>
                          <w:rPr>
                            <w:rFonts w:hint="default" w:ascii="Times New Roman" w:hAnsi="Times New Roman" w:eastAsia="宋体" w:cs="Times New Roman"/>
                            <w:b w:val="0"/>
                            <w:i w:val="0"/>
                            <w:color w:val="auto"/>
                            <w:kern w:val="2"/>
                            <w:sz w:val="24"/>
                            <w:szCs w:val="24"/>
                            <w:highlight w:val="none"/>
                            <w:lang w:val="en-US" w:eastAsia="zh-CN" w:bidi="ar-SA"/>
                          </w:rPr>
                          <m:t>V</m:t>
                        </m:r>
                        <m:ctrlPr>
                          <w:rPr>
                            <w:rFonts w:hint="default" w:ascii="Cambria Math" w:hAnsi="Cambria Math" w:eastAsia="宋体" w:cs="Times New Roman"/>
                            <w:bCs/>
                            <w:i w:val="0"/>
                            <w:color w:val="auto"/>
                            <w:kern w:val="2"/>
                            <w:sz w:val="24"/>
                            <w:szCs w:val="24"/>
                            <w:highlight w:val="none"/>
                            <w:lang w:val="en-US" w:eastAsia="zh-CN" w:bidi="ar-SA"/>
                          </w:rPr>
                        </m:ctrlPr>
                      </m:e>
                      <m:sub>
                        <m:r>
                          <m:rPr>
                            <m:nor/>
                            <m:sty m:val="p"/>
                          </m:rPr>
                          <w:rPr>
                            <w:rFonts w:hint="default" w:ascii="Times New Roman" w:hAnsi="Times New Roman" w:eastAsia="宋体" w:cs="Times New Roman"/>
                            <w:b w:val="0"/>
                            <w:i w:val="0"/>
                            <w:color w:val="auto"/>
                            <w:kern w:val="2"/>
                            <w:sz w:val="24"/>
                            <w:szCs w:val="24"/>
                            <w:highlight w:val="none"/>
                            <w:lang w:val="en-US" w:eastAsia="zh-CN" w:bidi="ar-SA"/>
                          </w:rPr>
                          <m:t>O2空气需补充</m:t>
                        </m:r>
                        <m:ctrlPr>
                          <w:rPr>
                            <w:rFonts w:hint="default" w:ascii="Cambria Math" w:hAnsi="Cambria Math" w:eastAsia="宋体" w:cs="Times New Roman"/>
                            <w:bCs/>
                            <w:i w:val="0"/>
                            <w:color w:val="auto"/>
                            <w:kern w:val="2"/>
                            <w:sz w:val="24"/>
                            <w:szCs w:val="24"/>
                            <w:highlight w:val="none"/>
                            <w:lang w:val="en-US" w:eastAsia="zh-CN" w:bidi="ar-SA"/>
                          </w:rPr>
                        </m:ctrlPr>
                      </m:sub>
                    </m:sSub>
                    <m:ctrlPr>
                      <w:rPr>
                        <w:rFonts w:hint="default" w:ascii="Cambria Math" w:hAnsi="Cambria Math" w:eastAsia="宋体" w:cs="Times New Roman"/>
                        <w:bCs/>
                        <w:i/>
                        <w:color w:val="auto"/>
                        <w:kern w:val="2"/>
                        <w:sz w:val="24"/>
                        <w:szCs w:val="24"/>
                        <w:highlight w:val="none"/>
                        <w:lang w:val="en-US" w:eastAsia="zh-CN" w:bidi="ar-SA"/>
                      </w:rPr>
                    </m:ctrlPr>
                  </m:num>
                  <m:den>
                    <m:r>
                      <m:rPr>
                        <m:nor/>
                        <m:sty m:val="p"/>
                      </m:rPr>
                      <w:rPr>
                        <w:rFonts w:hint="default" w:ascii="Times New Roman" w:hAnsi="Times New Roman" w:eastAsia="宋体" w:cs="Times New Roman"/>
                        <w:b w:val="0"/>
                        <w:i w:val="0"/>
                        <w:color w:val="auto"/>
                        <w:kern w:val="2"/>
                        <w:sz w:val="24"/>
                        <w:szCs w:val="24"/>
                        <w:highlight w:val="none"/>
                        <w:lang w:val="en-US" w:eastAsia="zh-CN" w:bidi="ar-SA"/>
                      </w:rPr>
                      <m:t>0.21</m:t>
                    </m:r>
                    <m:ctrlPr>
                      <w:rPr>
                        <w:rFonts w:hint="default" w:ascii="Cambria Math" w:hAnsi="Cambria Math" w:eastAsia="宋体" w:cs="Times New Roman"/>
                        <w:bCs/>
                        <w:i/>
                        <w:color w:val="auto"/>
                        <w:kern w:val="2"/>
                        <w:sz w:val="24"/>
                        <w:szCs w:val="24"/>
                        <w:highlight w:val="none"/>
                        <w:lang w:val="en-US" w:eastAsia="zh-CN" w:bidi="ar-SA"/>
                      </w:rPr>
                    </m:ctrlPr>
                  </m:den>
                </m:f>
              </m:oMath>
            </m:oMathPara>
          </w:p>
          <w:p w14:paraId="3B1B9CFB">
            <w:pPr>
              <w:keepNext w:val="0"/>
              <w:keepLines w:val="0"/>
              <w:suppressLineNumbers w:val="0"/>
              <w:snapToGrid w:val="0"/>
              <w:spacing w:before="0" w:beforeAutospacing="0" w:after="0" w:afterAutospacing="0" w:line="360" w:lineRule="auto"/>
              <w:ind w:left="0" w:right="0" w:firstLine="424" w:firstLineChars="177"/>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snapToGrid w:val="0"/>
                <w:color w:val="auto"/>
                <w:kern w:val="0"/>
                <w:sz w:val="24"/>
                <w:szCs w:val="24"/>
                <w:highlight w:val="none"/>
              </w:rPr>
              <w:t>式中：V</w:t>
            </w:r>
            <w:r>
              <w:rPr>
                <w:rFonts w:hint="default" w:ascii="Times New Roman" w:hAnsi="Times New Roman" w:eastAsia="宋体" w:cs="Times New Roman"/>
                <w:snapToGrid w:val="0"/>
                <w:color w:val="auto"/>
                <w:kern w:val="0"/>
                <w:sz w:val="24"/>
                <w:szCs w:val="24"/>
                <w:highlight w:val="none"/>
                <w:lang w:val="en-US" w:eastAsia="zh-CN"/>
              </w:rPr>
              <w:t>o</w:t>
            </w:r>
            <w:r>
              <w:rPr>
                <w:rFonts w:hint="default" w:ascii="Times New Roman" w:hAnsi="Times New Roman" w:eastAsia="宋体" w:cs="Times New Roman"/>
                <w:snapToGrid w:val="0"/>
                <w:color w:val="auto"/>
                <w:kern w:val="0"/>
                <w:sz w:val="24"/>
                <w:szCs w:val="24"/>
                <w:highlight w:val="none"/>
              </w:rPr>
              <w:t>-</w:t>
            </w:r>
            <w:r>
              <w:rPr>
                <w:rFonts w:hint="default" w:ascii="Times New Roman" w:hAnsi="Times New Roman" w:eastAsia="宋体" w:cs="Times New Roman"/>
                <w:snapToGrid w:val="0"/>
                <w:color w:val="auto"/>
                <w:kern w:val="0"/>
                <w:sz w:val="24"/>
                <w:szCs w:val="24"/>
                <w:highlight w:val="none"/>
                <w:lang w:val="en-US" w:eastAsia="zh-CN"/>
              </w:rPr>
              <w:t>-补充空气</w:t>
            </w:r>
            <w:r>
              <w:rPr>
                <w:rFonts w:hint="default" w:ascii="Times New Roman" w:hAnsi="Times New Roman" w:eastAsia="宋体" w:cs="Times New Roman"/>
                <w:snapToGrid w:val="0"/>
                <w:color w:val="auto"/>
                <w:kern w:val="0"/>
                <w:sz w:val="24"/>
                <w:szCs w:val="24"/>
                <w:highlight w:val="none"/>
              </w:rPr>
              <w:t>量（Nm</w:t>
            </w:r>
            <w:r>
              <w:rPr>
                <w:rFonts w:hint="default" w:ascii="Times New Roman" w:hAnsi="Times New Roman" w:eastAsia="宋体" w:cs="Times New Roman"/>
                <w:snapToGrid w:val="0"/>
                <w:color w:val="auto"/>
                <w:kern w:val="0"/>
                <w:sz w:val="24"/>
                <w:szCs w:val="24"/>
                <w:highlight w:val="none"/>
                <w:vertAlign w:val="superscript"/>
              </w:rPr>
              <w:t>3</w:t>
            </w:r>
            <w:r>
              <w:rPr>
                <w:rFonts w:hint="default" w:ascii="Times New Roman" w:hAnsi="Times New Roman" w:eastAsia="宋体" w:cs="Times New Roman"/>
                <w:snapToGrid w:val="0"/>
                <w:color w:val="auto"/>
                <w:kern w:val="0"/>
                <w:sz w:val="24"/>
                <w:szCs w:val="24"/>
                <w:highlight w:val="none"/>
              </w:rPr>
              <w:t>/ m</w:t>
            </w:r>
            <w:r>
              <w:rPr>
                <w:rFonts w:hint="default" w:ascii="Times New Roman" w:hAnsi="Times New Roman" w:eastAsia="宋体" w:cs="Times New Roman"/>
                <w:snapToGrid w:val="0"/>
                <w:color w:val="auto"/>
                <w:kern w:val="0"/>
                <w:sz w:val="24"/>
                <w:szCs w:val="24"/>
                <w:highlight w:val="none"/>
                <w:vertAlign w:val="superscript"/>
              </w:rPr>
              <w:t>3</w:t>
            </w:r>
            <w:r>
              <w:rPr>
                <w:rFonts w:hint="default" w:ascii="Times New Roman" w:hAnsi="Times New Roman" w:eastAsia="宋体" w:cs="Times New Roman"/>
                <w:snapToGrid w:val="0"/>
                <w:color w:val="auto"/>
                <w:kern w:val="0"/>
                <w:sz w:val="24"/>
                <w:szCs w:val="24"/>
                <w:highlight w:val="none"/>
              </w:rPr>
              <w:t>）；</w:t>
            </w:r>
          </w:p>
          <w:p w14:paraId="23CFAB81">
            <w:pPr>
              <w:keepNext w:val="0"/>
              <w:keepLines w:val="0"/>
              <w:suppressLineNumbers w:val="0"/>
              <w:snapToGrid w:val="0"/>
              <w:spacing w:before="0" w:beforeAutospacing="0" w:after="0" w:afterAutospacing="0" w:line="360" w:lineRule="auto"/>
              <w:ind w:left="0" w:right="0" w:firstLine="446" w:firstLineChars="177"/>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6"/>
                <w:sz w:val="24"/>
                <w:szCs w:val="24"/>
                <w:highlight w:val="none"/>
              </w:rPr>
              <w:t>计算得</w:t>
            </w:r>
            <w:r>
              <w:rPr>
                <w:rFonts w:hint="default" w:ascii="Times New Roman" w:hAnsi="Times New Roman" w:eastAsia="宋体" w:cs="Times New Roman"/>
                <w:color w:val="auto"/>
                <w:spacing w:val="6"/>
                <w:sz w:val="24"/>
                <w:szCs w:val="24"/>
                <w:highlight w:val="none"/>
                <w:lang w:val="en-US" w:eastAsia="zh-CN"/>
              </w:rPr>
              <w:t>需</w:t>
            </w:r>
            <w:r>
              <w:rPr>
                <w:rFonts w:hint="default" w:ascii="Times New Roman" w:hAnsi="Times New Roman" w:eastAsia="宋体" w:cs="Times New Roman"/>
                <w:snapToGrid w:val="0"/>
                <w:color w:val="auto"/>
                <w:kern w:val="0"/>
                <w:sz w:val="24"/>
                <w:szCs w:val="24"/>
                <w:highlight w:val="none"/>
                <w:lang w:val="en-US" w:eastAsia="zh-CN"/>
              </w:rPr>
              <w:t>补充空气</w:t>
            </w:r>
            <w:r>
              <w:rPr>
                <w:rFonts w:hint="default" w:ascii="Times New Roman" w:hAnsi="Times New Roman" w:eastAsia="宋体" w:cs="Times New Roman"/>
                <w:snapToGrid w:val="0"/>
                <w:color w:val="auto"/>
                <w:kern w:val="0"/>
                <w:sz w:val="24"/>
                <w:szCs w:val="24"/>
                <w:highlight w:val="none"/>
              </w:rPr>
              <w:t>量</w:t>
            </w:r>
            <w:r>
              <w:rPr>
                <w:rFonts w:hint="default" w:ascii="Times New Roman" w:hAnsi="Times New Roman" w:eastAsia="宋体" w:cs="Times New Roman"/>
                <w:color w:val="auto"/>
                <w:spacing w:val="6"/>
                <w:sz w:val="24"/>
                <w:szCs w:val="24"/>
                <w:highlight w:val="none"/>
              </w:rPr>
              <w:t>为</w:t>
            </w:r>
            <w:r>
              <w:rPr>
                <w:rFonts w:hint="eastAsia" w:cs="Times New Roman"/>
                <w:color w:val="auto"/>
                <w:spacing w:val="6"/>
                <w:sz w:val="24"/>
                <w:szCs w:val="24"/>
                <w:highlight w:val="none"/>
                <w:lang w:val="en-US" w:eastAsia="zh-CN"/>
              </w:rPr>
              <w:t>1.189</w:t>
            </w:r>
            <w:r>
              <w:rPr>
                <w:rFonts w:hint="default" w:ascii="Times New Roman" w:hAnsi="Times New Roman" w:eastAsia="宋体" w:cs="Times New Roman"/>
                <w:bCs/>
                <w:color w:val="auto"/>
                <w:spacing w:val="6"/>
                <w:sz w:val="24"/>
                <w:szCs w:val="24"/>
                <w:highlight w:val="none"/>
              </w:rPr>
              <w:t>Nm</w:t>
            </w:r>
            <w:r>
              <w:rPr>
                <w:rFonts w:hint="default" w:ascii="Times New Roman" w:hAnsi="Times New Roman" w:eastAsia="宋体" w:cs="Times New Roman"/>
                <w:bCs/>
                <w:color w:val="auto"/>
                <w:spacing w:val="6"/>
                <w:sz w:val="24"/>
                <w:szCs w:val="24"/>
                <w:highlight w:val="none"/>
                <w:vertAlign w:val="superscript"/>
              </w:rPr>
              <w:t>3</w:t>
            </w:r>
            <w:r>
              <w:rPr>
                <w:rFonts w:hint="default" w:ascii="Times New Roman" w:hAnsi="Times New Roman" w:eastAsia="宋体" w:cs="Times New Roman"/>
                <w:bCs/>
                <w:color w:val="auto"/>
                <w:spacing w:val="6"/>
                <w:sz w:val="24"/>
                <w:szCs w:val="24"/>
                <w:highlight w:val="none"/>
              </w:rPr>
              <w:t>/</w:t>
            </w:r>
            <w:r>
              <w:rPr>
                <w:rFonts w:hint="default" w:ascii="Times New Roman" w:hAnsi="Times New Roman" w:eastAsia="宋体" w:cs="Times New Roman"/>
                <w:color w:val="auto"/>
                <w:spacing w:val="6"/>
                <w:sz w:val="24"/>
                <w:szCs w:val="24"/>
                <w:highlight w:val="none"/>
              </w:rPr>
              <w:t xml:space="preserve"> m</w:t>
            </w:r>
            <w:r>
              <w:rPr>
                <w:rFonts w:hint="default" w:ascii="Times New Roman" w:hAnsi="Times New Roman" w:eastAsia="宋体" w:cs="Times New Roman"/>
                <w:color w:val="auto"/>
                <w:spacing w:val="6"/>
                <w:sz w:val="24"/>
                <w:szCs w:val="24"/>
                <w:highlight w:val="none"/>
                <w:vertAlign w:val="superscript"/>
              </w:rPr>
              <w:t>3</w:t>
            </w:r>
            <w:r>
              <w:rPr>
                <w:rFonts w:hint="default" w:ascii="Times New Roman" w:hAnsi="Times New Roman" w:eastAsia="宋体" w:cs="Times New Roman"/>
                <w:color w:val="auto"/>
                <w:spacing w:val="6"/>
                <w:sz w:val="24"/>
                <w:szCs w:val="24"/>
                <w:highlight w:val="none"/>
              </w:rPr>
              <w:t>。</w:t>
            </w:r>
          </w:p>
          <w:p w14:paraId="1AA973A7">
            <w:pPr>
              <w:keepNext w:val="0"/>
              <w:keepLines w:val="0"/>
              <w:suppressLineNumbers w:val="0"/>
              <w:snapToGrid w:val="0"/>
              <w:spacing w:before="0" w:beforeAutospacing="0" w:after="0" w:afterAutospacing="0" w:line="360" w:lineRule="auto"/>
              <w:ind w:left="0" w:right="0" w:firstLine="424" w:firstLineChars="177"/>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C</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各燃烧产物基础体积</w:t>
            </w:r>
          </w:p>
          <w:p w14:paraId="4CC1645D">
            <w:pPr>
              <w:keepNext w:val="0"/>
              <w:keepLines w:val="0"/>
              <w:suppressLineNumbers w:val="0"/>
              <w:snapToGrid w:val="0"/>
              <w:spacing w:before="0" w:beforeAutospacing="0" w:after="0" w:afterAutospacing="0" w:line="360" w:lineRule="auto"/>
              <w:ind w:left="0" w:right="0" w:firstLine="424" w:firstLineChars="177"/>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CO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vertAlign w:val="baseline"/>
                <w:lang w:val="en-US" w:eastAsia="zh-CN"/>
              </w:rPr>
              <w:t>燃烧</w:t>
            </w:r>
            <w:r>
              <w:rPr>
                <w:rFonts w:hint="default" w:ascii="Times New Roman" w:hAnsi="Times New Roman" w:eastAsia="宋体" w:cs="Times New Roman"/>
                <w:color w:val="auto"/>
                <w:sz w:val="24"/>
                <w:szCs w:val="24"/>
                <w:highlight w:val="none"/>
                <w:lang w:val="en-US" w:eastAsia="zh-CN"/>
              </w:rPr>
              <w:t>生成量为0.13447</w:t>
            </w:r>
            <w:r>
              <w:rPr>
                <w:rFonts w:hint="default" w:ascii="Times New Roman" w:hAnsi="Times New Roman" w:eastAsia="宋体" w:cs="Times New Roman"/>
                <w:color w:val="auto"/>
                <w:spacing w:val="6"/>
                <w:sz w:val="24"/>
                <w:szCs w:val="24"/>
                <w:highlight w:val="none"/>
              </w:rPr>
              <w:t>m</w:t>
            </w:r>
            <w:r>
              <w:rPr>
                <w:rFonts w:hint="default" w:ascii="Times New Roman" w:hAnsi="Times New Roman" w:eastAsia="宋体" w:cs="Times New Roman"/>
                <w:color w:val="auto"/>
                <w:spacing w:val="6"/>
                <w:sz w:val="24"/>
                <w:szCs w:val="24"/>
                <w:highlight w:val="none"/>
                <w:vertAlign w:val="superscript"/>
              </w:rPr>
              <w:t>3</w:t>
            </w:r>
            <w:r>
              <w:rPr>
                <w:rFonts w:hint="default" w:ascii="Times New Roman" w:hAnsi="Times New Roman" w:eastAsia="宋体" w:cs="Times New Roman"/>
                <w:color w:val="auto"/>
                <w:spacing w:val="6"/>
                <w:sz w:val="24"/>
                <w:szCs w:val="24"/>
                <w:highlight w:val="none"/>
                <w:vertAlign w:val="baseline"/>
                <w:lang w:eastAsia="zh-CN"/>
              </w:rPr>
              <w:t>（</w:t>
            </w:r>
            <w:r>
              <w:rPr>
                <w:rFonts w:hint="default" w:ascii="Times New Roman" w:hAnsi="Times New Roman" w:eastAsia="宋体" w:cs="Times New Roman"/>
                <w:color w:val="auto"/>
                <w:spacing w:val="6"/>
                <w:sz w:val="24"/>
                <w:szCs w:val="24"/>
                <w:highlight w:val="none"/>
                <w:vertAlign w:val="baseline"/>
                <w:lang w:val="en-US" w:eastAsia="zh-CN"/>
              </w:rPr>
              <w:t>其中甲烷燃烧生成0.125m</w:t>
            </w:r>
            <w:r>
              <w:rPr>
                <w:rFonts w:hint="default" w:ascii="Times New Roman" w:hAnsi="Times New Roman" w:eastAsia="宋体" w:cs="Times New Roman"/>
                <w:color w:val="auto"/>
                <w:spacing w:val="6"/>
                <w:sz w:val="24"/>
                <w:szCs w:val="24"/>
                <w:highlight w:val="none"/>
                <w:vertAlign w:val="superscript"/>
                <w:lang w:val="en-US" w:eastAsia="zh-CN"/>
              </w:rPr>
              <w:t>3</w:t>
            </w:r>
            <w:r>
              <w:rPr>
                <w:rFonts w:hint="default" w:ascii="Times New Roman" w:hAnsi="Times New Roman" w:eastAsia="宋体" w:cs="Times New Roman"/>
                <w:color w:val="auto"/>
                <w:spacing w:val="6"/>
                <w:sz w:val="24"/>
                <w:szCs w:val="24"/>
                <w:highlight w:val="none"/>
                <w:vertAlign w:val="baseline"/>
                <w:lang w:val="en-US" w:eastAsia="zh-CN"/>
              </w:rPr>
              <w:t>，乙烷燃烧生成0.00024m</w:t>
            </w:r>
            <w:r>
              <w:rPr>
                <w:rFonts w:hint="default" w:ascii="Times New Roman" w:hAnsi="Times New Roman" w:eastAsia="宋体" w:cs="Times New Roman"/>
                <w:color w:val="auto"/>
                <w:spacing w:val="6"/>
                <w:sz w:val="24"/>
                <w:szCs w:val="24"/>
                <w:highlight w:val="none"/>
                <w:vertAlign w:val="superscript"/>
                <w:lang w:val="en-US" w:eastAsia="zh-CN"/>
              </w:rPr>
              <w:t>3</w:t>
            </w:r>
            <w:r>
              <w:rPr>
                <w:rFonts w:hint="default" w:ascii="Times New Roman" w:hAnsi="Times New Roman" w:eastAsia="宋体" w:cs="Times New Roman"/>
                <w:color w:val="auto"/>
                <w:spacing w:val="6"/>
                <w:sz w:val="24"/>
                <w:szCs w:val="24"/>
                <w:highlight w:val="none"/>
                <w:vertAlign w:val="baseline"/>
                <w:lang w:val="en-US" w:eastAsia="zh-CN"/>
              </w:rPr>
              <w:t>，燃料自带0.00923m</w:t>
            </w:r>
            <w:r>
              <w:rPr>
                <w:rFonts w:hint="default" w:ascii="Times New Roman" w:hAnsi="Times New Roman" w:eastAsia="宋体" w:cs="Times New Roman"/>
                <w:color w:val="auto"/>
                <w:spacing w:val="6"/>
                <w:sz w:val="24"/>
                <w:szCs w:val="24"/>
                <w:highlight w:val="none"/>
                <w:vertAlign w:val="superscript"/>
                <w:lang w:val="en-US" w:eastAsia="zh-CN"/>
              </w:rPr>
              <w:t>3</w:t>
            </w:r>
            <w:r>
              <w:rPr>
                <w:rFonts w:hint="default" w:ascii="Times New Roman" w:hAnsi="Times New Roman" w:eastAsia="宋体" w:cs="Times New Roman"/>
                <w:color w:val="auto"/>
                <w:spacing w:val="6"/>
                <w:sz w:val="24"/>
                <w:szCs w:val="24"/>
                <w:highlight w:val="none"/>
                <w:vertAlign w:val="baseline"/>
                <w:lang w:eastAsia="zh-CN"/>
              </w:rPr>
              <w:t>）；</w:t>
            </w:r>
          </w:p>
          <w:p w14:paraId="6977BF6C">
            <w:pPr>
              <w:keepNext w:val="0"/>
              <w:keepLines w:val="0"/>
              <w:suppressLineNumbers w:val="0"/>
              <w:snapToGrid w:val="0"/>
              <w:spacing w:before="0" w:beforeAutospacing="0" w:after="0" w:afterAutospacing="0" w:line="360" w:lineRule="auto"/>
              <w:ind w:left="0" w:right="0" w:firstLine="424" w:firstLineChars="177"/>
              <w:rPr>
                <w:rFonts w:hint="default" w:ascii="Times New Roman" w:hAnsi="Times New Roman" w:eastAsia="宋体" w:cs="Times New Roman"/>
                <w:color w:val="auto"/>
                <w:spacing w:val="6"/>
                <w:sz w:val="24"/>
                <w:szCs w:val="24"/>
                <w:highlight w:val="none"/>
                <w:vertAlign w:val="superscript"/>
              </w:rPr>
            </w:pPr>
            <w:r>
              <w:rPr>
                <w:rFonts w:hint="default" w:ascii="Times New Roman" w:hAnsi="Times New Roman" w:eastAsia="宋体" w:cs="Times New Roman"/>
                <w:color w:val="auto"/>
                <w:sz w:val="24"/>
                <w:szCs w:val="24"/>
                <w:highlight w:val="none"/>
                <w:lang w:val="en-US" w:eastAsia="zh-CN"/>
              </w:rPr>
              <w:t>H</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O</w:t>
            </w:r>
            <w:r>
              <w:rPr>
                <w:rFonts w:hint="default" w:ascii="Times New Roman" w:hAnsi="Times New Roman" w:eastAsia="宋体" w:cs="Times New Roman"/>
                <w:color w:val="auto"/>
                <w:sz w:val="24"/>
                <w:szCs w:val="24"/>
                <w:highlight w:val="none"/>
                <w:vertAlign w:val="baseline"/>
                <w:lang w:val="en-US" w:eastAsia="zh-CN"/>
              </w:rPr>
              <w:t>燃烧</w:t>
            </w:r>
            <w:r>
              <w:rPr>
                <w:rFonts w:hint="default" w:ascii="Times New Roman" w:hAnsi="Times New Roman" w:eastAsia="宋体" w:cs="Times New Roman"/>
                <w:color w:val="auto"/>
                <w:sz w:val="24"/>
                <w:szCs w:val="24"/>
                <w:highlight w:val="none"/>
                <w:lang w:val="en-US" w:eastAsia="zh-CN"/>
              </w:rPr>
              <w:t>生成量为0.25036</w:t>
            </w:r>
            <w:r>
              <w:rPr>
                <w:rFonts w:hint="default" w:ascii="Times New Roman" w:hAnsi="Times New Roman" w:eastAsia="宋体" w:cs="Times New Roman"/>
                <w:color w:val="auto"/>
                <w:spacing w:val="6"/>
                <w:sz w:val="24"/>
                <w:szCs w:val="24"/>
                <w:highlight w:val="none"/>
              </w:rPr>
              <w:t>m</w:t>
            </w:r>
            <w:r>
              <w:rPr>
                <w:rFonts w:hint="default" w:ascii="Times New Roman" w:hAnsi="Times New Roman" w:eastAsia="宋体" w:cs="Times New Roman"/>
                <w:color w:val="auto"/>
                <w:spacing w:val="6"/>
                <w:sz w:val="24"/>
                <w:szCs w:val="24"/>
                <w:highlight w:val="none"/>
                <w:vertAlign w:val="superscript"/>
              </w:rPr>
              <w:t>3</w:t>
            </w:r>
            <w:r>
              <w:rPr>
                <w:rFonts w:hint="default" w:ascii="Times New Roman" w:hAnsi="Times New Roman" w:eastAsia="宋体" w:cs="Times New Roman"/>
                <w:color w:val="auto"/>
                <w:spacing w:val="6"/>
                <w:sz w:val="24"/>
                <w:szCs w:val="24"/>
                <w:highlight w:val="none"/>
                <w:vertAlign w:val="baseline"/>
                <w:lang w:eastAsia="zh-CN"/>
              </w:rPr>
              <w:t>（</w:t>
            </w:r>
            <w:r>
              <w:rPr>
                <w:rFonts w:hint="default" w:ascii="Times New Roman" w:hAnsi="Times New Roman" w:eastAsia="宋体" w:cs="Times New Roman"/>
                <w:color w:val="auto"/>
                <w:spacing w:val="6"/>
                <w:sz w:val="24"/>
                <w:szCs w:val="24"/>
                <w:highlight w:val="none"/>
                <w:vertAlign w:val="baseline"/>
                <w:lang w:val="en-US" w:eastAsia="zh-CN"/>
              </w:rPr>
              <w:t>其中甲烷燃烧生成0.25m</w:t>
            </w:r>
            <w:r>
              <w:rPr>
                <w:rFonts w:hint="default" w:ascii="Times New Roman" w:hAnsi="Times New Roman" w:eastAsia="宋体" w:cs="Times New Roman"/>
                <w:color w:val="auto"/>
                <w:spacing w:val="6"/>
                <w:sz w:val="24"/>
                <w:szCs w:val="24"/>
                <w:highlight w:val="none"/>
                <w:vertAlign w:val="superscript"/>
                <w:lang w:val="en-US" w:eastAsia="zh-CN"/>
              </w:rPr>
              <w:t>3</w:t>
            </w:r>
            <w:r>
              <w:rPr>
                <w:rFonts w:hint="default" w:ascii="Times New Roman" w:hAnsi="Times New Roman" w:eastAsia="宋体" w:cs="Times New Roman"/>
                <w:color w:val="auto"/>
                <w:spacing w:val="6"/>
                <w:sz w:val="24"/>
                <w:szCs w:val="24"/>
                <w:highlight w:val="none"/>
                <w:vertAlign w:val="baseline"/>
                <w:lang w:val="en-US" w:eastAsia="zh-CN"/>
              </w:rPr>
              <w:t>，乙烷燃烧生成0.00036m</w:t>
            </w:r>
            <w:r>
              <w:rPr>
                <w:rFonts w:hint="default" w:ascii="Times New Roman" w:hAnsi="Times New Roman" w:eastAsia="宋体" w:cs="Times New Roman"/>
                <w:color w:val="auto"/>
                <w:spacing w:val="6"/>
                <w:sz w:val="24"/>
                <w:szCs w:val="24"/>
                <w:highlight w:val="none"/>
                <w:vertAlign w:val="superscript"/>
                <w:lang w:val="en-US" w:eastAsia="zh-CN"/>
              </w:rPr>
              <w:t>3</w:t>
            </w:r>
            <w:r>
              <w:rPr>
                <w:rFonts w:hint="default" w:ascii="Times New Roman" w:hAnsi="Times New Roman" w:eastAsia="宋体" w:cs="Times New Roman"/>
                <w:color w:val="auto"/>
                <w:spacing w:val="6"/>
                <w:sz w:val="24"/>
                <w:szCs w:val="24"/>
                <w:highlight w:val="none"/>
                <w:vertAlign w:val="baseline"/>
                <w:lang w:eastAsia="zh-CN"/>
              </w:rPr>
              <w:t>）；</w:t>
            </w:r>
          </w:p>
          <w:p w14:paraId="5B513F0E">
            <w:pPr>
              <w:keepNext w:val="0"/>
              <w:keepLines w:val="0"/>
              <w:suppressLineNumbers w:val="0"/>
              <w:snapToGrid w:val="0"/>
              <w:spacing w:before="0" w:beforeAutospacing="0" w:after="0" w:afterAutospacing="0" w:line="360" w:lineRule="auto"/>
              <w:ind w:left="0" w:right="0" w:firstLine="424" w:firstLineChars="177"/>
              <w:rPr>
                <w:rFonts w:hint="default" w:ascii="Times New Roman" w:hAnsi="Times New Roman" w:eastAsia="宋体" w:cs="Times New Roman"/>
                <w:color w:val="auto"/>
                <w:spacing w:val="6"/>
                <w:sz w:val="24"/>
                <w:szCs w:val="24"/>
                <w:highlight w:val="none"/>
                <w:vertAlign w:val="superscript"/>
              </w:rPr>
            </w:pPr>
            <w:r>
              <w:rPr>
                <w:rFonts w:hint="default" w:ascii="Times New Roman" w:hAnsi="Times New Roman" w:eastAsia="宋体" w:cs="Times New Roman"/>
                <w:color w:val="auto"/>
                <w:sz w:val="24"/>
                <w:szCs w:val="24"/>
                <w:highlight w:val="none"/>
                <w:lang w:val="en-US" w:eastAsia="zh-CN"/>
              </w:rPr>
              <w:t>N</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量为</w:t>
            </w:r>
            <w:r>
              <w:rPr>
                <w:rFonts w:hint="eastAsia" w:cs="Times New Roman"/>
                <w:color w:val="auto"/>
                <w:sz w:val="24"/>
                <w:szCs w:val="24"/>
                <w:highlight w:val="none"/>
                <w:lang w:val="en-US" w:eastAsia="zh-CN"/>
              </w:rPr>
              <w:t>1.63531</w:t>
            </w:r>
            <w:r>
              <w:rPr>
                <w:rFonts w:hint="default" w:ascii="Times New Roman" w:hAnsi="Times New Roman" w:eastAsia="宋体" w:cs="Times New Roman"/>
                <w:color w:val="auto"/>
                <w:spacing w:val="6"/>
                <w:sz w:val="24"/>
                <w:szCs w:val="24"/>
                <w:highlight w:val="none"/>
              </w:rPr>
              <w:t>m</w:t>
            </w:r>
            <w:r>
              <w:rPr>
                <w:rFonts w:hint="default" w:ascii="Times New Roman" w:hAnsi="Times New Roman" w:eastAsia="宋体" w:cs="Times New Roman"/>
                <w:color w:val="auto"/>
                <w:spacing w:val="6"/>
                <w:sz w:val="24"/>
                <w:szCs w:val="24"/>
                <w:highlight w:val="none"/>
                <w:vertAlign w:val="superscript"/>
              </w:rPr>
              <w:t>3</w:t>
            </w:r>
            <w:r>
              <w:rPr>
                <w:rFonts w:hint="default" w:ascii="Times New Roman" w:hAnsi="Times New Roman" w:eastAsia="宋体" w:cs="Times New Roman"/>
                <w:color w:val="auto"/>
                <w:spacing w:val="6"/>
                <w:sz w:val="24"/>
                <w:szCs w:val="24"/>
                <w:highlight w:val="none"/>
                <w:vertAlign w:val="baseline"/>
                <w:lang w:eastAsia="zh-CN"/>
              </w:rPr>
              <w:t>（</w:t>
            </w:r>
            <w:r>
              <w:rPr>
                <w:rFonts w:hint="default" w:ascii="Times New Roman" w:hAnsi="Times New Roman" w:eastAsia="宋体" w:cs="Times New Roman"/>
                <w:color w:val="auto"/>
                <w:spacing w:val="6"/>
                <w:sz w:val="24"/>
                <w:szCs w:val="24"/>
                <w:highlight w:val="none"/>
                <w:vertAlign w:val="baseline"/>
                <w:lang w:val="en-US" w:eastAsia="zh-CN"/>
              </w:rPr>
              <w:t>其中燃料自带0.696m</w:t>
            </w:r>
            <w:r>
              <w:rPr>
                <w:rFonts w:hint="default" w:ascii="Times New Roman" w:hAnsi="Times New Roman" w:eastAsia="宋体" w:cs="Times New Roman"/>
                <w:color w:val="auto"/>
                <w:spacing w:val="6"/>
                <w:sz w:val="24"/>
                <w:szCs w:val="24"/>
                <w:highlight w:val="none"/>
                <w:vertAlign w:val="superscript"/>
                <w:lang w:val="en-US" w:eastAsia="zh-CN"/>
              </w:rPr>
              <w:t>3</w:t>
            </w:r>
            <w:r>
              <w:rPr>
                <w:rFonts w:hint="default" w:ascii="Times New Roman" w:hAnsi="Times New Roman" w:eastAsia="宋体" w:cs="Times New Roman"/>
                <w:color w:val="auto"/>
                <w:spacing w:val="6"/>
                <w:sz w:val="24"/>
                <w:szCs w:val="24"/>
                <w:highlight w:val="none"/>
                <w:vertAlign w:val="baseline"/>
                <w:lang w:val="en-US" w:eastAsia="zh-CN"/>
              </w:rPr>
              <w:t>，需补充空气量带入</w:t>
            </w:r>
            <w:r>
              <w:rPr>
                <w:rFonts w:hint="eastAsia" w:cs="Times New Roman"/>
                <w:color w:val="auto"/>
                <w:spacing w:val="6"/>
                <w:sz w:val="24"/>
                <w:szCs w:val="24"/>
                <w:highlight w:val="none"/>
                <w:vertAlign w:val="baseline"/>
                <w:lang w:val="en-US" w:eastAsia="zh-CN"/>
              </w:rPr>
              <w:t>0.93931</w:t>
            </w:r>
            <w:r>
              <w:rPr>
                <w:rFonts w:hint="default" w:ascii="Times New Roman" w:hAnsi="Times New Roman" w:eastAsia="宋体" w:cs="Times New Roman"/>
                <w:color w:val="auto"/>
                <w:spacing w:val="6"/>
                <w:sz w:val="24"/>
                <w:szCs w:val="24"/>
                <w:highlight w:val="none"/>
                <w:vertAlign w:val="baseline"/>
                <w:lang w:val="en-US" w:eastAsia="zh-CN"/>
              </w:rPr>
              <w:t>m</w:t>
            </w:r>
            <w:r>
              <w:rPr>
                <w:rFonts w:hint="default" w:ascii="Times New Roman" w:hAnsi="Times New Roman" w:eastAsia="宋体" w:cs="Times New Roman"/>
                <w:color w:val="auto"/>
                <w:spacing w:val="6"/>
                <w:sz w:val="24"/>
                <w:szCs w:val="24"/>
                <w:highlight w:val="none"/>
                <w:vertAlign w:val="superscript"/>
                <w:lang w:val="en-US" w:eastAsia="zh-CN"/>
              </w:rPr>
              <w:t>3</w:t>
            </w:r>
            <w:r>
              <w:rPr>
                <w:rFonts w:hint="default" w:ascii="Times New Roman" w:hAnsi="Times New Roman" w:eastAsia="宋体" w:cs="Times New Roman"/>
                <w:color w:val="auto"/>
                <w:spacing w:val="6"/>
                <w:sz w:val="24"/>
                <w:szCs w:val="24"/>
                <w:highlight w:val="none"/>
                <w:vertAlign w:val="baseline"/>
                <w:lang w:eastAsia="zh-CN"/>
              </w:rPr>
              <w:t>）；</w:t>
            </w:r>
          </w:p>
          <w:p w14:paraId="46A36033">
            <w:pPr>
              <w:keepNext w:val="0"/>
              <w:keepLines w:val="0"/>
              <w:suppressLineNumbers w:val="0"/>
              <w:snapToGrid w:val="0"/>
              <w:spacing w:before="0" w:beforeAutospacing="0" w:after="0" w:afterAutospacing="0" w:line="360" w:lineRule="auto"/>
              <w:ind w:left="0" w:right="0" w:firstLine="446" w:firstLineChars="177"/>
              <w:rPr>
                <w:rFonts w:hint="default" w:ascii="Times New Roman" w:hAnsi="Times New Roman" w:eastAsia="宋体" w:cs="Times New Roman"/>
                <w:color w:val="auto"/>
                <w:spacing w:val="6"/>
                <w:sz w:val="24"/>
                <w:szCs w:val="24"/>
                <w:highlight w:val="none"/>
                <w:vertAlign w:val="baseline"/>
                <w:lang w:val="en-US" w:eastAsia="zh-CN"/>
              </w:rPr>
            </w:pPr>
            <w:r>
              <w:rPr>
                <w:rFonts w:hint="default" w:ascii="Times New Roman" w:hAnsi="Times New Roman" w:eastAsia="宋体" w:cs="Times New Roman"/>
                <w:color w:val="auto"/>
                <w:spacing w:val="6"/>
                <w:sz w:val="24"/>
                <w:szCs w:val="24"/>
                <w:highlight w:val="none"/>
                <w:vertAlign w:val="baseline"/>
                <w:lang w:val="en-US" w:eastAsia="zh-CN"/>
              </w:rPr>
              <w:t>过剩O</w:t>
            </w:r>
            <w:r>
              <w:rPr>
                <w:rFonts w:hint="default" w:ascii="Times New Roman" w:hAnsi="Times New Roman" w:eastAsia="宋体" w:cs="Times New Roman"/>
                <w:color w:val="auto"/>
                <w:spacing w:val="6"/>
                <w:sz w:val="24"/>
                <w:szCs w:val="24"/>
                <w:highlight w:val="none"/>
                <w:vertAlign w:val="subscript"/>
                <w:lang w:val="en-US" w:eastAsia="zh-CN"/>
              </w:rPr>
              <w:t>2</w:t>
            </w:r>
            <w:r>
              <w:rPr>
                <w:rFonts w:hint="default" w:ascii="Times New Roman" w:hAnsi="Times New Roman" w:eastAsia="宋体" w:cs="Times New Roman"/>
                <w:color w:val="auto"/>
                <w:spacing w:val="6"/>
                <w:sz w:val="24"/>
                <w:szCs w:val="24"/>
                <w:highlight w:val="none"/>
                <w:vertAlign w:val="baseline"/>
                <w:lang w:val="en-US" w:eastAsia="zh-CN"/>
              </w:rPr>
              <w:t>量为</w:t>
            </w:r>
            <w:r>
              <w:rPr>
                <w:rFonts w:hint="eastAsia" w:cs="Times New Roman"/>
                <w:color w:val="auto"/>
                <w:spacing w:val="6"/>
                <w:sz w:val="24"/>
                <w:szCs w:val="24"/>
                <w:highlight w:val="none"/>
                <w:vertAlign w:val="baseline"/>
                <w:lang w:val="en-US" w:eastAsia="zh-CN"/>
              </w:rPr>
              <w:t>0.15</w:t>
            </w:r>
            <w:r>
              <w:rPr>
                <w:rFonts w:hint="default" w:ascii="Times New Roman" w:hAnsi="Times New Roman" w:eastAsia="宋体" w:cs="Times New Roman"/>
                <w:color w:val="auto"/>
                <w:spacing w:val="6"/>
                <w:sz w:val="24"/>
                <w:szCs w:val="24"/>
                <w:highlight w:val="none"/>
                <w:vertAlign w:val="baseline"/>
                <w:lang w:val="en-US" w:eastAsia="zh-CN"/>
              </w:rPr>
              <w:t>m</w:t>
            </w:r>
            <w:r>
              <w:rPr>
                <w:rFonts w:hint="default" w:ascii="Times New Roman" w:hAnsi="Times New Roman" w:eastAsia="宋体" w:cs="Times New Roman"/>
                <w:color w:val="auto"/>
                <w:spacing w:val="6"/>
                <w:sz w:val="24"/>
                <w:szCs w:val="24"/>
                <w:highlight w:val="none"/>
                <w:vertAlign w:val="superscript"/>
                <w:lang w:val="en-US" w:eastAsia="zh-CN"/>
              </w:rPr>
              <w:t>3</w:t>
            </w:r>
            <w:r>
              <w:rPr>
                <w:rFonts w:hint="default" w:ascii="Times New Roman" w:hAnsi="Times New Roman" w:eastAsia="宋体" w:cs="Times New Roman"/>
                <w:color w:val="auto"/>
                <w:spacing w:val="6"/>
                <w:sz w:val="24"/>
                <w:szCs w:val="24"/>
                <w:highlight w:val="none"/>
                <w:vertAlign w:val="baseline"/>
                <w:lang w:val="en-US" w:eastAsia="zh-CN"/>
              </w:rPr>
              <w:t>；</w:t>
            </w:r>
          </w:p>
          <w:p w14:paraId="71814AA7">
            <w:pPr>
              <w:keepNext w:val="0"/>
              <w:keepLines w:val="0"/>
              <w:suppressLineNumbers w:val="0"/>
              <w:snapToGrid w:val="0"/>
              <w:spacing w:before="0" w:beforeAutospacing="0" w:after="0" w:afterAutospacing="0" w:line="360" w:lineRule="auto"/>
              <w:ind w:left="0" w:right="0" w:firstLine="424" w:firstLineChars="177"/>
              <w:rPr>
                <w:rFonts w:hint="eastAsia" w:ascii="Times New Roman" w:hAnsi="Times New Roman" w:eastAsia="宋体" w:cs="Times New Roman"/>
                <w:color w:val="auto"/>
                <w:sz w:val="24"/>
                <w:highlight w:val="none"/>
                <w:lang w:val="en-US" w:eastAsia="zh-CN"/>
              </w:rPr>
            </w:pPr>
            <w:r>
              <w:rPr>
                <w:rFonts w:hint="eastAsia"/>
                <w:color w:val="auto"/>
                <w:sz w:val="24"/>
                <w:highlight w:val="none"/>
                <w:lang w:val="en-US" w:eastAsia="zh-CN"/>
              </w:rPr>
              <w:t>标干烟气量由CO</w:t>
            </w:r>
            <w:r>
              <w:rPr>
                <w:rFonts w:hint="eastAsia"/>
                <w:color w:val="auto"/>
                <w:sz w:val="24"/>
                <w:highlight w:val="none"/>
                <w:vertAlign w:val="subscript"/>
                <w:lang w:val="en-US" w:eastAsia="zh-CN"/>
              </w:rPr>
              <w:t>2</w:t>
            </w:r>
            <w:r>
              <w:rPr>
                <w:rFonts w:hint="eastAsia"/>
                <w:color w:val="auto"/>
                <w:sz w:val="24"/>
                <w:highlight w:val="none"/>
                <w:vertAlign w:val="baseline"/>
                <w:lang w:val="en-US" w:eastAsia="zh-CN"/>
              </w:rPr>
              <w:t>燃烧</w:t>
            </w:r>
            <w:r>
              <w:rPr>
                <w:rFonts w:hint="eastAsia"/>
                <w:color w:val="auto"/>
                <w:sz w:val="24"/>
                <w:highlight w:val="none"/>
                <w:lang w:val="en-US" w:eastAsia="zh-CN"/>
              </w:rPr>
              <w:t>生成量、</w:t>
            </w:r>
            <w:r>
              <w:rPr>
                <w:rFonts w:hint="default" w:ascii="宋体" w:hAnsi="宋体" w:eastAsia="宋体" w:cs="宋体"/>
                <w:color w:val="auto"/>
                <w:sz w:val="24"/>
                <w:szCs w:val="24"/>
              </w:rPr>
              <w:t>氮气（N₂）</w:t>
            </w:r>
            <w:r>
              <w:rPr>
                <w:rFonts w:hint="eastAsia" w:ascii="宋体" w:hAnsi="宋体" w:cs="宋体"/>
                <w:color w:val="auto"/>
                <w:sz w:val="24"/>
                <w:szCs w:val="24"/>
                <w:lang w:val="en-US" w:eastAsia="zh-CN"/>
              </w:rPr>
              <w:t>及过剩</w:t>
            </w:r>
            <w:r>
              <w:rPr>
                <w:rFonts w:hint="default" w:ascii="宋体" w:hAnsi="宋体" w:eastAsia="宋体" w:cs="宋体"/>
                <w:color w:val="auto"/>
                <w:sz w:val="24"/>
                <w:szCs w:val="24"/>
              </w:rPr>
              <w:t>氧气（O₂）</w:t>
            </w:r>
            <w:r>
              <w:rPr>
                <w:rFonts w:hint="eastAsia" w:ascii="宋体" w:hAnsi="宋体" w:cs="宋体"/>
                <w:color w:val="auto"/>
                <w:sz w:val="24"/>
                <w:szCs w:val="24"/>
                <w:lang w:val="en-US" w:eastAsia="zh-CN"/>
              </w:rPr>
              <w:t>组成，故</w:t>
            </w:r>
            <w:r>
              <w:rPr>
                <w:rFonts w:hint="eastAsia"/>
                <w:color w:val="auto"/>
                <w:sz w:val="24"/>
                <w:highlight w:val="none"/>
                <w:lang w:val="en-US" w:eastAsia="zh-CN"/>
              </w:rPr>
              <w:t>标干烟气量为0.13447+</w:t>
            </w:r>
            <w:r>
              <w:rPr>
                <w:rFonts w:hint="eastAsia" w:cs="Times New Roman"/>
                <w:color w:val="auto"/>
                <w:sz w:val="24"/>
                <w:szCs w:val="24"/>
                <w:highlight w:val="none"/>
                <w:lang w:val="en-US" w:eastAsia="zh-CN"/>
              </w:rPr>
              <w:t>1.63531</w:t>
            </w:r>
            <w:r>
              <w:rPr>
                <w:rFonts w:hint="eastAsia"/>
                <w:color w:val="auto"/>
                <w:sz w:val="24"/>
                <w:highlight w:val="none"/>
                <w:lang w:val="en-US" w:eastAsia="zh-CN"/>
              </w:rPr>
              <w:t>+0.15=</w:t>
            </w:r>
            <w:r>
              <w:rPr>
                <w:rFonts w:hint="eastAsia" w:cs="Times New Roman"/>
                <w:color w:val="auto"/>
                <w:sz w:val="24"/>
                <w:highlight w:val="none"/>
                <w:lang w:val="en-US" w:eastAsia="zh-CN"/>
              </w:rPr>
              <w:t>1.91978</w:t>
            </w:r>
            <w:r>
              <w:rPr>
                <w:rFonts w:hint="default"/>
                <w:color w:val="auto"/>
                <w:spacing w:val="6"/>
                <w:sz w:val="24"/>
                <w:highlight w:val="none"/>
              </w:rPr>
              <w:t>m</w:t>
            </w:r>
            <w:r>
              <w:rPr>
                <w:rFonts w:hint="default"/>
                <w:color w:val="auto"/>
                <w:spacing w:val="6"/>
                <w:sz w:val="24"/>
                <w:highlight w:val="none"/>
                <w:vertAlign w:val="superscript"/>
              </w:rPr>
              <w:t>3</w:t>
            </w:r>
            <w:r>
              <w:rPr>
                <w:rFonts w:hint="eastAsia"/>
                <w:color w:val="auto"/>
                <w:spacing w:val="6"/>
                <w:sz w:val="24"/>
                <w:highlight w:val="none"/>
                <w:vertAlign w:val="baseline"/>
                <w:lang w:val="en-US" w:eastAsia="zh-CN"/>
              </w:rPr>
              <w:t>/</w:t>
            </w:r>
            <w:r>
              <w:rPr>
                <w:rFonts w:hint="eastAsia" w:hAnsi="宋体"/>
                <w:color w:val="auto"/>
                <w:sz w:val="24"/>
                <w:highlight w:val="none"/>
              </w:rPr>
              <w:t>m</w:t>
            </w:r>
            <w:r>
              <w:rPr>
                <w:rFonts w:hint="default" w:hAnsi="宋体"/>
                <w:color w:val="auto"/>
                <w:sz w:val="24"/>
                <w:highlight w:val="none"/>
                <w:vertAlign w:val="superscript"/>
              </w:rPr>
              <w:t>3</w:t>
            </w:r>
          </w:p>
          <w:p w14:paraId="4BF86BB0">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eastAsia"/>
                <w:color w:val="auto"/>
                <w:sz w:val="24"/>
                <w:highlight w:val="none"/>
              </w:rPr>
            </w:pPr>
            <w:r>
              <w:rPr>
                <w:rFonts w:hint="eastAsia"/>
                <w:color w:val="auto"/>
                <w:sz w:val="24"/>
                <w:highlight w:val="none"/>
              </w:rPr>
              <w:t>经计算，</w:t>
            </w:r>
            <w:r>
              <w:rPr>
                <w:rFonts w:hint="eastAsia"/>
                <w:color w:val="auto"/>
                <w:sz w:val="24"/>
                <w:highlight w:val="none"/>
                <w:lang w:val="en-US" w:eastAsia="zh-CN"/>
              </w:rPr>
              <w:t>瓦斯气基准</w:t>
            </w:r>
            <w:r>
              <w:rPr>
                <w:rFonts w:hint="eastAsia"/>
                <w:color w:val="auto"/>
                <w:sz w:val="24"/>
                <w:highlight w:val="none"/>
              </w:rPr>
              <w:t>烟气量为</w:t>
            </w:r>
            <w:r>
              <w:rPr>
                <w:rFonts w:hint="eastAsia" w:cs="Times New Roman"/>
                <w:color w:val="auto"/>
                <w:sz w:val="24"/>
                <w:highlight w:val="none"/>
                <w:lang w:val="en-US" w:eastAsia="zh-CN"/>
              </w:rPr>
              <w:t>1.91978</w:t>
            </w:r>
            <w:r>
              <w:rPr>
                <w:rFonts w:hint="eastAsia" w:hAnsi="宋体"/>
                <w:color w:val="auto"/>
                <w:sz w:val="24"/>
                <w:highlight w:val="none"/>
              </w:rPr>
              <w:t>m</w:t>
            </w:r>
            <w:r>
              <w:rPr>
                <w:rFonts w:hint="default" w:hAnsi="宋体"/>
                <w:color w:val="auto"/>
                <w:sz w:val="24"/>
                <w:highlight w:val="none"/>
                <w:vertAlign w:val="superscript"/>
              </w:rPr>
              <w:t>3</w:t>
            </w:r>
            <w:r>
              <w:rPr>
                <w:rFonts w:hint="default" w:hAnsi="宋体"/>
                <w:color w:val="auto"/>
                <w:sz w:val="24"/>
                <w:highlight w:val="none"/>
              </w:rPr>
              <w:t>/</w:t>
            </w:r>
            <w:r>
              <w:rPr>
                <w:rFonts w:hint="eastAsia" w:hAnsi="宋体"/>
                <w:color w:val="auto"/>
                <w:sz w:val="24"/>
                <w:highlight w:val="none"/>
              </w:rPr>
              <w:t>m</w:t>
            </w:r>
            <w:r>
              <w:rPr>
                <w:rFonts w:hint="default" w:hAnsi="宋体"/>
                <w:color w:val="auto"/>
                <w:sz w:val="24"/>
                <w:highlight w:val="none"/>
                <w:vertAlign w:val="superscript"/>
              </w:rPr>
              <w:t>3</w:t>
            </w:r>
            <w:r>
              <w:rPr>
                <w:rFonts w:hint="eastAsia"/>
                <w:color w:val="auto"/>
                <w:sz w:val="24"/>
                <w:highlight w:val="none"/>
              </w:rPr>
              <w:t>，本生产线</w:t>
            </w:r>
            <w:r>
              <w:rPr>
                <w:rFonts w:hint="eastAsia"/>
                <w:color w:val="auto"/>
                <w:sz w:val="24"/>
                <w:highlight w:val="none"/>
                <w:lang w:val="en-US" w:eastAsia="zh-CN"/>
              </w:rPr>
              <w:t>瓦斯气</w:t>
            </w:r>
            <w:r>
              <w:rPr>
                <w:rFonts w:hint="eastAsia"/>
                <w:color w:val="auto"/>
                <w:sz w:val="24"/>
                <w:highlight w:val="none"/>
              </w:rPr>
              <w:t>使用量为</w:t>
            </w:r>
            <w:r>
              <w:rPr>
                <w:rFonts w:hint="eastAsia"/>
                <w:color w:val="auto"/>
                <w:sz w:val="24"/>
                <w:highlight w:val="none"/>
                <w:lang w:val="en-US" w:eastAsia="zh-CN"/>
              </w:rPr>
              <w:t>7200</w:t>
            </w:r>
            <w:r>
              <w:rPr>
                <w:rFonts w:hint="default"/>
                <w:color w:val="auto"/>
                <w:sz w:val="24"/>
                <w:highlight w:val="none"/>
              </w:rPr>
              <w:t>m</w:t>
            </w:r>
            <w:r>
              <w:rPr>
                <w:rFonts w:hint="default"/>
                <w:color w:val="auto"/>
                <w:sz w:val="24"/>
                <w:highlight w:val="none"/>
                <w:vertAlign w:val="superscript"/>
              </w:rPr>
              <w:t>3</w:t>
            </w:r>
            <w:r>
              <w:rPr>
                <w:rFonts w:hint="default"/>
                <w:color w:val="auto"/>
                <w:sz w:val="24"/>
                <w:highlight w:val="none"/>
              </w:rPr>
              <w:t>/h</w:t>
            </w:r>
            <w:r>
              <w:rPr>
                <w:rFonts w:hint="eastAsia"/>
                <w:color w:val="auto"/>
                <w:sz w:val="24"/>
                <w:highlight w:val="none"/>
              </w:rPr>
              <w:t>，则</w:t>
            </w:r>
            <w:r>
              <w:rPr>
                <w:rFonts w:hint="eastAsia" w:hAnsi="宋体"/>
                <w:color w:val="auto"/>
                <w:sz w:val="24"/>
                <w:highlight w:val="none"/>
                <w:lang w:val="en-US" w:eastAsia="zh-CN"/>
              </w:rPr>
              <w:t>玻璃微珠烧制炉</w:t>
            </w:r>
            <w:r>
              <w:rPr>
                <w:rFonts w:hint="eastAsia"/>
                <w:color w:val="auto"/>
                <w:sz w:val="24"/>
                <w:highlight w:val="none"/>
                <w:lang w:val="en-US" w:eastAsia="zh-CN"/>
              </w:rPr>
              <w:t>瓦斯气标况</w:t>
            </w:r>
            <w:r>
              <w:rPr>
                <w:rFonts w:hint="eastAsia"/>
                <w:color w:val="auto"/>
                <w:sz w:val="24"/>
                <w:highlight w:val="none"/>
              </w:rPr>
              <w:t>燃烧废气量为</w:t>
            </w:r>
            <w:r>
              <w:rPr>
                <w:rFonts w:hint="eastAsia" w:cs="Times New Roman"/>
                <w:color w:val="auto"/>
                <w:sz w:val="24"/>
                <w:highlight w:val="none"/>
                <w:lang w:val="en-US" w:eastAsia="zh-CN"/>
              </w:rPr>
              <w:t>13822.416</w:t>
            </w:r>
            <w:r>
              <w:rPr>
                <w:rFonts w:hint="default"/>
                <w:color w:val="auto"/>
                <w:sz w:val="24"/>
                <w:highlight w:val="none"/>
              </w:rPr>
              <w:t>m</w:t>
            </w:r>
            <w:r>
              <w:rPr>
                <w:rFonts w:hint="default"/>
                <w:color w:val="auto"/>
                <w:sz w:val="24"/>
                <w:highlight w:val="none"/>
                <w:vertAlign w:val="superscript"/>
              </w:rPr>
              <w:t>3</w:t>
            </w:r>
            <w:r>
              <w:rPr>
                <w:rFonts w:hint="default"/>
                <w:color w:val="auto"/>
                <w:sz w:val="24"/>
                <w:highlight w:val="none"/>
              </w:rPr>
              <w:t>/</w:t>
            </w:r>
            <w:r>
              <w:rPr>
                <w:rFonts w:hint="eastAsia"/>
                <w:color w:val="auto"/>
                <w:sz w:val="24"/>
                <w:highlight w:val="none"/>
              </w:rPr>
              <w:t>h</w:t>
            </w:r>
            <w:r>
              <w:rPr>
                <w:rFonts w:hint="eastAsia"/>
                <w:color w:val="auto"/>
                <w:sz w:val="24"/>
                <w:highlight w:val="none"/>
                <w:lang w:eastAsia="zh-CN"/>
              </w:rPr>
              <w:t>（</w:t>
            </w:r>
            <w:r>
              <w:rPr>
                <w:rFonts w:hint="eastAsia"/>
                <w:color w:val="auto"/>
                <w:sz w:val="24"/>
                <w:highlight w:val="none"/>
                <w:lang w:val="en-US" w:eastAsia="zh-CN"/>
              </w:rPr>
              <w:t>含氧量为7.8</w:t>
            </w:r>
            <w:r>
              <w:rPr>
                <w:rFonts w:hint="eastAsia"/>
                <w:color w:val="auto"/>
                <w:sz w:val="24"/>
                <w:highlight w:val="none"/>
                <w:lang w:eastAsia="zh-CN"/>
              </w:rPr>
              <w:t>）</w:t>
            </w:r>
            <w:r>
              <w:rPr>
                <w:rFonts w:hint="eastAsia"/>
                <w:color w:val="auto"/>
                <w:sz w:val="24"/>
                <w:highlight w:val="none"/>
              </w:rPr>
              <w:t>。</w:t>
            </w:r>
          </w:p>
          <w:p w14:paraId="2C5EEE40">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②</w:t>
            </w:r>
            <w:r>
              <w:rPr>
                <w:rFonts w:hint="eastAsia" w:ascii="Times New Roman" w:hAnsi="Times New Roman" w:cs="Times New Roman"/>
                <w:color w:val="auto"/>
              </w:rPr>
              <w:t>烟（粉）尘</w:t>
            </w:r>
          </w:p>
          <w:p w14:paraId="667BBDE4">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项目使用瓦斯气作为燃料，原料在烧制炉内加热、熔化，一部分微颗粒随着高温烟气排出</w:t>
            </w:r>
            <w:r>
              <w:rPr>
                <w:rFonts w:hint="eastAsia" w:cs="Times New Roman"/>
                <w:color w:val="auto"/>
                <w:highlight w:val="none"/>
                <w:vertAlign w:val="baseline"/>
                <w:lang w:val="en-US" w:eastAsia="zh-CN"/>
              </w:rPr>
              <w:t>，根</w:t>
            </w:r>
            <w:r>
              <w:rPr>
                <w:rFonts w:hint="eastAsia" w:ascii="Times New Roman" w:hAnsi="Times New Roman" w:cs="Times New Roman"/>
                <w:color w:val="auto"/>
                <w:highlight w:val="none"/>
                <w:vertAlign w:val="baseline"/>
                <w:lang w:val="en-US" w:eastAsia="zh-CN"/>
              </w:rPr>
              <w:t>据《3059其他玻璃制品制造行业系数手册》，颗粒物产污系数为2.13kg/t-产品，</w:t>
            </w:r>
            <w:r>
              <w:rPr>
                <w:rFonts w:hint="eastAsia" w:ascii="Times New Roman" w:hAnsi="Times New Roman" w:cs="Times New Roman"/>
                <w:color w:val="auto"/>
                <w:sz w:val="24"/>
                <w:highlight w:val="none"/>
              </w:rPr>
              <w:t>本生产线</w:t>
            </w:r>
            <w:r>
              <w:rPr>
                <w:rFonts w:hint="eastAsia" w:ascii="Times New Roman" w:hAnsi="Times New Roman" w:cs="Times New Roman"/>
                <w:color w:val="auto"/>
                <w:sz w:val="24"/>
                <w:highlight w:val="none"/>
                <w:lang w:val="en-US" w:eastAsia="zh-CN"/>
              </w:rPr>
              <w:t>玻璃微珠</w:t>
            </w:r>
            <w:r>
              <w:rPr>
                <w:rFonts w:hint="eastAsia" w:ascii="Times New Roman" w:hAnsi="Times New Roman" w:cs="Times New Roman"/>
                <w:color w:val="auto"/>
                <w:sz w:val="24"/>
                <w:highlight w:val="none"/>
              </w:rPr>
              <w:t>产品</w:t>
            </w:r>
            <w:r>
              <w:rPr>
                <w:rFonts w:hint="eastAsia" w:ascii="Times New Roman" w:hAnsi="Times New Roman" w:cs="Times New Roman"/>
                <w:color w:val="auto"/>
                <w:sz w:val="24"/>
                <w:highlight w:val="none"/>
                <w:lang w:val="en-US" w:eastAsia="zh-CN"/>
              </w:rPr>
              <w:t>27000</w:t>
            </w:r>
            <w:r>
              <w:rPr>
                <w:rFonts w:hint="default" w:ascii="Times New Roman" w:hAnsi="Times New Roman" w:cs="Times New Roman"/>
                <w:color w:val="auto"/>
                <w:sz w:val="24"/>
                <w:highlight w:val="none"/>
              </w:rPr>
              <w:t>t/a</w:t>
            </w:r>
            <w:r>
              <w:rPr>
                <w:rFonts w:hint="default" w:ascii="Times New Roman" w:hAnsi="Times New Roman" w:cs="Times New Roman"/>
                <w:color w:val="auto"/>
                <w:sz w:val="24"/>
                <w:szCs w:val="20"/>
                <w:highlight w:val="none"/>
              </w:rPr>
              <w:t>，</w:t>
            </w:r>
            <w:r>
              <w:rPr>
                <w:rFonts w:hint="eastAsia" w:ascii="Times New Roman" w:hAnsi="Times New Roman" w:cs="Times New Roman"/>
                <w:color w:val="auto"/>
                <w:sz w:val="24"/>
                <w:szCs w:val="20"/>
                <w:highlight w:val="none"/>
              </w:rPr>
              <w:t>则</w:t>
            </w:r>
            <w:r>
              <w:rPr>
                <w:rFonts w:hint="eastAsia" w:ascii="Times New Roman" w:hAnsi="Times New Roman" w:cs="Times New Roman"/>
                <w:color w:val="auto"/>
                <w:sz w:val="24"/>
                <w:highlight w:val="none"/>
              </w:rPr>
              <w:t>烟（粉）尘</w:t>
            </w:r>
            <w:r>
              <w:rPr>
                <w:rFonts w:hint="default" w:ascii="Times New Roman" w:hAnsi="Times New Roman" w:cs="Times New Roman"/>
                <w:color w:val="auto"/>
                <w:sz w:val="24"/>
                <w:highlight w:val="none"/>
              </w:rPr>
              <w:t>产生量</w:t>
            </w:r>
            <w:r>
              <w:rPr>
                <w:rFonts w:hint="default" w:ascii="Times New Roman" w:hAnsi="Times New Roman" w:cs="Times New Roman"/>
                <w:bCs/>
                <w:color w:val="auto"/>
                <w:spacing w:val="4"/>
                <w:sz w:val="24"/>
                <w:highlight w:val="none"/>
              </w:rPr>
              <w:t>为</w:t>
            </w:r>
            <w:r>
              <w:rPr>
                <w:rFonts w:hint="eastAsia" w:ascii="Times New Roman" w:hAnsi="Times New Roman" w:cs="Times New Roman"/>
                <w:bCs/>
                <w:color w:val="auto"/>
                <w:spacing w:val="4"/>
                <w:sz w:val="24"/>
                <w:highlight w:val="none"/>
                <w:lang w:val="en-US" w:eastAsia="zh-CN"/>
              </w:rPr>
              <w:t>57.51</w:t>
            </w:r>
            <w:r>
              <w:rPr>
                <w:rFonts w:hint="default" w:ascii="Times New Roman" w:hAnsi="Times New Roman" w:cs="Times New Roman"/>
                <w:bCs/>
                <w:color w:val="auto"/>
                <w:spacing w:val="4"/>
                <w:sz w:val="24"/>
                <w:highlight w:val="none"/>
              </w:rPr>
              <w:t>t/a，产生浓度为</w:t>
            </w:r>
            <w:r>
              <w:rPr>
                <w:rFonts w:hint="eastAsia" w:cs="Times New Roman"/>
                <w:bCs/>
                <w:color w:val="auto"/>
                <w:spacing w:val="4"/>
                <w:sz w:val="24"/>
                <w:highlight w:val="none"/>
                <w:lang w:val="en-US" w:eastAsia="zh-CN"/>
              </w:rPr>
              <w:t>1576</w:t>
            </w:r>
            <w:r>
              <w:rPr>
                <w:rFonts w:hint="default" w:ascii="Times New Roman" w:hAnsi="Times New Roman" w:cs="Times New Roman"/>
                <w:color w:val="auto"/>
                <w:sz w:val="24"/>
                <w:highlight w:val="none"/>
              </w:rPr>
              <w:t>mg/m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rPr>
              <w:t>烟（粉）尘经布袋除尘器</w:t>
            </w:r>
            <w:r>
              <w:rPr>
                <w:rFonts w:hint="eastAsia" w:ascii="Times New Roman" w:hAnsi="Times New Roman" w:cs="Times New Roman"/>
                <w:color w:val="auto"/>
                <w:sz w:val="24"/>
                <w:highlight w:val="none"/>
                <w:lang w:eastAsia="zh-CN"/>
              </w:rPr>
              <w:t>（</w:t>
            </w:r>
            <w:r>
              <w:rPr>
                <w:rFonts w:hint="default" w:ascii="Times New Roman" w:hAnsi="Times New Roman" w:eastAsia="宋体" w:cs="Times New Roman"/>
                <w:b w:val="0"/>
                <w:bCs w:val="0"/>
                <w:color w:val="auto"/>
                <w:kern w:val="0"/>
                <w:sz w:val="24"/>
                <w:highlight w:val="none"/>
                <w:lang w:val="en-US" w:eastAsia="zh-CN" w:bidi="ar"/>
              </w:rPr>
              <w:t>除尘器过滤风速为0.6m/min，过滤面积为</w:t>
            </w:r>
            <w:r>
              <w:rPr>
                <w:rFonts w:hint="eastAsia" w:cs="Times New Roman"/>
                <w:b w:val="0"/>
                <w:bCs w:val="0"/>
                <w:color w:val="auto"/>
                <w:kern w:val="0"/>
                <w:sz w:val="24"/>
                <w:highlight w:val="none"/>
                <w:lang w:val="en-US" w:eastAsia="zh-CN" w:bidi="ar"/>
              </w:rPr>
              <w:t>383.956</w:t>
            </w:r>
            <w:r>
              <w:rPr>
                <w:rFonts w:hint="default" w:ascii="Times New Roman" w:hAnsi="Times New Roman" w:eastAsia="宋体" w:cs="Times New Roman"/>
                <w:b w:val="0"/>
                <w:bCs w:val="0"/>
                <w:color w:val="auto"/>
                <w:kern w:val="0"/>
                <w:sz w:val="24"/>
                <w:highlight w:val="none"/>
                <w:lang w:val="en-US" w:eastAsia="zh-CN" w:bidi="ar"/>
              </w:rPr>
              <w:t>m</w:t>
            </w:r>
            <w:r>
              <w:rPr>
                <w:rFonts w:hint="default" w:ascii="Times New Roman" w:hAnsi="Times New Roman" w:eastAsia="宋体" w:cs="Times New Roman"/>
                <w:b w:val="0"/>
                <w:bCs w:val="0"/>
                <w:color w:val="auto"/>
                <w:kern w:val="0"/>
                <w:sz w:val="24"/>
                <w:highlight w:val="none"/>
                <w:vertAlign w:val="superscript"/>
                <w:lang w:val="en-US" w:eastAsia="zh-CN" w:bidi="ar"/>
              </w:rPr>
              <w:t>2</w:t>
            </w:r>
            <w:r>
              <w:rPr>
                <w:rFonts w:hint="default" w:ascii="Times New Roman" w:hAnsi="Times New Roman" w:eastAsia="宋体" w:cs="Times New Roman"/>
                <w:b w:val="0"/>
                <w:bCs w:val="0"/>
                <w:color w:val="auto"/>
                <w:kern w:val="0"/>
                <w:sz w:val="24"/>
                <w:highlight w:val="none"/>
                <w:lang w:val="en-US" w:eastAsia="zh-CN" w:bidi="ar"/>
              </w:rPr>
              <w:t>，滤袋材质为</w:t>
            </w:r>
            <w:r>
              <w:rPr>
                <w:rFonts w:hint="default" w:ascii="Times New Roman" w:hAnsi="Times New Roman" w:eastAsia="宋体" w:cs="Times New Roman"/>
                <w:b w:val="0"/>
                <w:bCs w:val="0"/>
                <w:color w:val="auto"/>
                <w:kern w:val="0"/>
                <w:sz w:val="24"/>
                <w:szCs w:val="24"/>
                <w:highlight w:val="none"/>
                <w:lang w:val="en-US" w:eastAsia="zh-CN" w:bidi="ar"/>
              </w:rPr>
              <w:t>PPS覆膜</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rPr>
              <w:t>处理，则烟（粉）尘</w:t>
            </w:r>
            <w:r>
              <w:rPr>
                <w:rFonts w:hint="default" w:ascii="Times New Roman" w:hAnsi="Times New Roman" w:cs="Times New Roman"/>
                <w:color w:val="auto"/>
                <w:sz w:val="24"/>
                <w:highlight w:val="none"/>
              </w:rPr>
              <w:t>排放量为</w:t>
            </w:r>
            <w:r>
              <w:rPr>
                <w:rFonts w:hint="eastAsia" w:cs="Times New Roman"/>
                <w:color w:val="auto"/>
                <w:sz w:val="24"/>
                <w:highlight w:val="none"/>
                <w:lang w:val="en-US" w:eastAsia="zh-CN"/>
              </w:rPr>
              <w:t>0.365</w:t>
            </w:r>
            <w:r>
              <w:rPr>
                <w:rFonts w:hint="default" w:ascii="Times New Roman" w:hAnsi="Times New Roman" w:cs="Times New Roman"/>
                <w:bCs/>
                <w:color w:val="auto"/>
                <w:spacing w:val="4"/>
                <w:sz w:val="24"/>
                <w:highlight w:val="none"/>
              </w:rPr>
              <w:t>t/a，</w:t>
            </w:r>
            <w:r>
              <w:rPr>
                <w:rFonts w:hint="eastAsia" w:ascii="Times New Roman" w:hAnsi="Times New Roman" w:cs="Times New Roman"/>
                <w:bCs/>
                <w:color w:val="auto"/>
                <w:spacing w:val="4"/>
                <w:sz w:val="24"/>
                <w:highlight w:val="none"/>
              </w:rPr>
              <w:t>排放浓度为</w:t>
            </w:r>
            <w:r>
              <w:rPr>
                <w:rFonts w:hint="default" w:ascii="Times New Roman" w:hAnsi="Times New Roman" w:cs="Times New Roman"/>
                <w:bCs/>
                <w:color w:val="auto"/>
                <w:spacing w:val="4"/>
                <w:sz w:val="24"/>
                <w:highlight w:val="none"/>
              </w:rPr>
              <w:t>10</w:t>
            </w:r>
            <w:r>
              <w:rPr>
                <w:rFonts w:hint="default" w:ascii="Times New Roman" w:hAnsi="Times New Roman" w:cs="Times New Roman"/>
                <w:color w:val="auto"/>
                <w:sz w:val="24"/>
                <w:highlight w:val="none"/>
              </w:rPr>
              <w:t>mg/m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highlight w:val="none"/>
              </w:rPr>
              <w:t>。</w:t>
            </w:r>
            <w:r>
              <w:rPr>
                <w:rFonts w:hint="eastAsia" w:ascii="Times New Roman" w:hAnsi="Times New Roman" w:cs="Times New Roman"/>
                <w:color w:val="auto"/>
                <w:sz w:val="24"/>
                <w:highlight w:val="none"/>
              </w:rPr>
              <w:t>集气效率为100</w:t>
            </w:r>
            <w:r>
              <w:rPr>
                <w:rFonts w:hint="default" w:ascii="Times New Roman" w:hAnsi="Times New Roman" w:cs="Times New Roman"/>
                <w:bCs/>
                <w:color w:val="auto"/>
                <w:sz w:val="24"/>
                <w:highlight w:val="none"/>
              </w:rPr>
              <w:t>%</w:t>
            </w:r>
            <w:r>
              <w:rPr>
                <w:rFonts w:hint="eastAsia" w:ascii="Times New Roman" w:hAnsi="Times New Roman" w:cs="Times New Roman"/>
                <w:bCs/>
                <w:color w:val="auto"/>
                <w:sz w:val="24"/>
                <w:highlight w:val="none"/>
              </w:rPr>
              <w:t>，</w:t>
            </w:r>
            <w:r>
              <w:rPr>
                <w:rFonts w:hint="default" w:ascii="Times New Roman" w:hAnsi="Times New Roman" w:cs="Times New Roman"/>
                <w:bCs/>
                <w:color w:val="auto"/>
                <w:sz w:val="24"/>
                <w:highlight w:val="none"/>
              </w:rPr>
              <w:t>综合除尘效率</w:t>
            </w:r>
            <w:r>
              <w:rPr>
                <w:rFonts w:hint="eastAsia" w:ascii="Times New Roman" w:hAnsi="Times New Roman" w:cs="Times New Roman"/>
                <w:bCs/>
                <w:color w:val="auto"/>
                <w:sz w:val="24"/>
                <w:highlight w:val="none"/>
                <w:lang w:val="en-US" w:eastAsia="zh-CN"/>
              </w:rPr>
              <w:t>不低于99.</w:t>
            </w:r>
            <w:r>
              <w:rPr>
                <w:rFonts w:hint="eastAsia" w:cs="Times New Roman"/>
                <w:bCs/>
                <w:color w:val="auto"/>
                <w:sz w:val="24"/>
                <w:highlight w:val="none"/>
                <w:lang w:val="en-US" w:eastAsia="zh-CN"/>
              </w:rPr>
              <w:t>5</w:t>
            </w:r>
            <w:r>
              <w:rPr>
                <w:rFonts w:hint="default" w:ascii="Times New Roman" w:hAnsi="Times New Roman" w:cs="Times New Roman"/>
                <w:bCs/>
                <w:color w:val="auto"/>
                <w:sz w:val="24"/>
                <w:highlight w:val="none"/>
              </w:rPr>
              <w:t>%</w:t>
            </w:r>
            <w:r>
              <w:rPr>
                <w:rFonts w:hint="eastAsia" w:ascii="Times New Roman" w:hAnsi="Times New Roman" w:cs="Times New Roman"/>
                <w:bCs/>
                <w:color w:val="auto"/>
                <w:sz w:val="24"/>
                <w:highlight w:val="none"/>
                <w:lang w:eastAsia="zh-CN"/>
              </w:rPr>
              <w:t>。</w:t>
            </w:r>
            <w:r>
              <w:rPr>
                <w:rFonts w:hint="eastAsia" w:cs="Times New Roman"/>
                <w:color w:val="auto"/>
                <w:sz w:val="24"/>
                <w:highlight w:val="none"/>
                <w:lang w:eastAsia="zh-CN"/>
              </w:rPr>
              <w:t>（</w:t>
            </w:r>
            <w:r>
              <w:rPr>
                <w:rFonts w:hint="eastAsia" w:cs="Times New Roman"/>
                <w:color w:val="auto"/>
                <w:sz w:val="24"/>
                <w:highlight w:val="none"/>
                <w:lang w:val="en-US" w:eastAsia="zh-CN"/>
              </w:rPr>
              <w:t>按基准含氧量为8%，折算</w:t>
            </w:r>
            <w:r>
              <w:rPr>
                <w:rFonts w:hint="default" w:ascii="Times New Roman" w:hAnsi="Times New Roman" w:eastAsia="宋体" w:cs="Times New Roman"/>
                <w:bCs/>
                <w:color w:val="auto"/>
                <w:spacing w:val="4"/>
                <w:sz w:val="24"/>
                <w:highlight w:val="none"/>
              </w:rPr>
              <w:t>排放浓度为</w:t>
            </w:r>
            <w:r>
              <w:rPr>
                <w:rFonts w:hint="eastAsia" w:cs="Times New Roman"/>
                <w:color w:val="auto"/>
                <w:sz w:val="24"/>
                <w:highlight w:val="none"/>
                <w:lang w:val="en-US" w:eastAsia="zh-CN"/>
              </w:rPr>
              <w:t>9.85</w:t>
            </w:r>
            <w:r>
              <w:rPr>
                <w:rFonts w:hint="default" w:ascii="Times New Roman" w:hAnsi="Times New Roman" w:eastAsia="宋体" w:cs="Times New Roman"/>
                <w:color w:val="auto"/>
                <w:sz w:val="24"/>
                <w:highlight w:val="none"/>
              </w:rPr>
              <w:t>mg/m</w:t>
            </w:r>
            <w:r>
              <w:rPr>
                <w:rFonts w:hint="default" w:ascii="Times New Roman" w:hAnsi="Times New Roman" w:eastAsia="宋体" w:cs="Times New Roman"/>
                <w:color w:val="auto"/>
                <w:sz w:val="24"/>
                <w:highlight w:val="none"/>
                <w:vertAlign w:val="superscript"/>
              </w:rPr>
              <w:t>3</w:t>
            </w:r>
            <w:r>
              <w:rPr>
                <w:rFonts w:hint="eastAsia" w:cs="Times New Roman"/>
                <w:color w:val="auto"/>
                <w:sz w:val="24"/>
                <w:highlight w:val="none"/>
                <w:lang w:eastAsia="zh-CN"/>
              </w:rPr>
              <w:t>），</w:t>
            </w:r>
            <w:r>
              <w:rPr>
                <w:rFonts w:hint="eastAsia" w:cs="Times New Roman"/>
                <w:color w:val="auto"/>
                <w:sz w:val="24"/>
                <w:highlight w:val="none"/>
                <w:lang w:val="en-US" w:eastAsia="zh-CN"/>
              </w:rPr>
              <w:t>满足</w:t>
            </w:r>
            <w:r>
              <w:rPr>
                <w:rFonts w:hint="default"/>
                <w:b w:val="0"/>
                <w:color w:val="auto"/>
                <w:sz w:val="24"/>
                <w:highlight w:val="none"/>
                <w:lang w:eastAsia="zh-CN"/>
              </w:rPr>
              <w:t>《山西省工业炉窑大气污染综合治理实施方案》（晋环大气</w:t>
            </w:r>
            <w:r>
              <w:rPr>
                <w:rFonts w:hint="default"/>
                <w:b w:val="0"/>
                <w:color w:val="auto"/>
                <w:sz w:val="24"/>
                <w:highlight w:val="none"/>
              </w:rPr>
              <w:t>〔</w:t>
            </w:r>
            <w:r>
              <w:rPr>
                <w:rFonts w:hint="default"/>
                <w:b w:val="0"/>
                <w:color w:val="auto"/>
                <w:sz w:val="24"/>
                <w:highlight w:val="none"/>
                <w:lang w:val="en-US" w:eastAsia="zh-CN"/>
              </w:rPr>
              <w:t>2019</w:t>
            </w:r>
            <w:r>
              <w:rPr>
                <w:rFonts w:hint="default"/>
                <w:b w:val="0"/>
                <w:color w:val="auto"/>
                <w:sz w:val="24"/>
                <w:highlight w:val="none"/>
              </w:rPr>
              <w:t>〕</w:t>
            </w:r>
            <w:r>
              <w:rPr>
                <w:rFonts w:hint="default"/>
                <w:b w:val="0"/>
                <w:color w:val="auto"/>
                <w:sz w:val="24"/>
                <w:highlight w:val="none"/>
                <w:lang w:val="en-US" w:eastAsia="zh-CN"/>
              </w:rPr>
              <w:t>164号</w:t>
            </w:r>
            <w:r>
              <w:rPr>
                <w:rFonts w:hint="default"/>
                <w:b w:val="0"/>
                <w:color w:val="auto"/>
                <w:sz w:val="24"/>
                <w:highlight w:val="none"/>
                <w:lang w:eastAsia="zh-CN"/>
              </w:rPr>
              <w:t>）</w:t>
            </w:r>
            <w:r>
              <w:rPr>
                <w:rFonts w:hint="eastAsia"/>
                <w:b w:val="0"/>
                <w:color w:val="auto"/>
                <w:sz w:val="24"/>
                <w:highlight w:val="none"/>
                <w:lang w:val="en-US" w:eastAsia="zh-CN"/>
              </w:rPr>
              <w:t>的有关规定及</w:t>
            </w:r>
            <w:r>
              <w:rPr>
                <w:rFonts w:hint="default" w:ascii="Times New Roman" w:hAnsi="Times New Roman" w:eastAsia="宋体" w:cs="Times New Roman"/>
                <w:bCs/>
                <w:color w:val="auto"/>
                <w:sz w:val="24"/>
                <w:highlight w:val="none"/>
                <w:lang w:eastAsia="zh-CN"/>
              </w:rPr>
              <w:t>《玻璃工业大气污染物排放标准》（</w:t>
            </w:r>
            <w:r>
              <w:rPr>
                <w:rFonts w:hint="default" w:ascii="Times New Roman" w:hAnsi="Times New Roman" w:eastAsia="宋体" w:cs="Times New Roman"/>
                <w:bCs/>
                <w:color w:val="auto"/>
                <w:sz w:val="24"/>
                <w:highlight w:val="none"/>
                <w:lang w:val="en-US" w:eastAsia="zh-CN"/>
              </w:rPr>
              <w:t>GB26453-2022</w:t>
            </w:r>
            <w:r>
              <w:rPr>
                <w:rFonts w:hint="default" w:ascii="Times New Roman" w:hAnsi="Times New Roman" w:eastAsia="宋体" w:cs="Times New Roman"/>
                <w:bCs/>
                <w:color w:val="auto"/>
                <w:sz w:val="24"/>
                <w:highlight w:val="none"/>
                <w:lang w:eastAsia="zh-CN"/>
              </w:rPr>
              <w:t>）表</w:t>
            </w:r>
            <w:r>
              <w:rPr>
                <w:rFonts w:hint="default" w:ascii="Times New Roman" w:hAnsi="Times New Roman" w:eastAsia="宋体" w:cs="Times New Roman"/>
                <w:bCs/>
                <w:color w:val="auto"/>
                <w:sz w:val="24"/>
                <w:highlight w:val="none"/>
                <w:lang w:val="en-US" w:eastAsia="zh-CN"/>
              </w:rPr>
              <w:t>1</w:t>
            </w:r>
            <w:r>
              <w:rPr>
                <w:rFonts w:hint="default" w:ascii="Times New Roman" w:hAnsi="Times New Roman" w:eastAsia="宋体" w:cs="Times New Roman"/>
                <w:bCs/>
                <w:color w:val="auto"/>
                <w:sz w:val="24"/>
                <w:highlight w:val="none"/>
                <w:lang w:eastAsia="zh-CN"/>
              </w:rPr>
              <w:t>标准限值要求</w:t>
            </w:r>
            <w:r>
              <w:rPr>
                <w:rFonts w:hint="eastAsia"/>
                <w:b w:val="0"/>
                <w:color w:val="auto"/>
                <w:sz w:val="24"/>
                <w:highlight w:val="none"/>
                <w:lang w:val="en-US" w:eastAsia="zh-CN"/>
              </w:rPr>
              <w:t>。</w:t>
            </w:r>
          </w:p>
          <w:p w14:paraId="1F5825CE">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③二氧化硫</w:t>
            </w:r>
          </w:p>
          <w:p w14:paraId="715684BE">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default"/>
                <w:color w:val="auto"/>
                <w:highlight w:val="none"/>
                <w:vertAlign w:val="baseline"/>
                <w:lang w:val="en-US" w:eastAsia="zh-CN"/>
              </w:rPr>
            </w:pPr>
            <w:r>
              <w:rPr>
                <w:rFonts w:hint="eastAsia"/>
                <w:color w:val="auto"/>
                <w:highlight w:val="none"/>
                <w:vertAlign w:val="baseline"/>
                <w:lang w:val="en-US" w:eastAsia="zh-CN"/>
              </w:rPr>
              <w:t>根据气体成分分析，本项目所使用的燃料中H</w:t>
            </w:r>
            <w:r>
              <w:rPr>
                <w:rFonts w:hint="eastAsia"/>
                <w:color w:val="auto"/>
                <w:highlight w:val="none"/>
                <w:vertAlign w:val="subscript"/>
                <w:lang w:val="en-US" w:eastAsia="zh-CN"/>
              </w:rPr>
              <w:t>2</w:t>
            </w:r>
            <w:r>
              <w:rPr>
                <w:rFonts w:hint="eastAsia"/>
                <w:color w:val="auto"/>
                <w:highlight w:val="none"/>
                <w:vertAlign w:val="baseline"/>
                <w:lang w:val="en-US" w:eastAsia="zh-CN"/>
              </w:rPr>
              <w:t>S未检出，本次按照《固定污染源废气 二氧化硫的测定定电位电解法》HJ57-2017中检出限的1/2进行核算，检出限为3mg/m</w:t>
            </w:r>
            <w:r>
              <w:rPr>
                <w:rFonts w:hint="eastAsia"/>
                <w:color w:val="auto"/>
                <w:highlight w:val="none"/>
                <w:vertAlign w:val="superscript"/>
                <w:lang w:val="en-US" w:eastAsia="zh-CN"/>
              </w:rPr>
              <w:t>3</w:t>
            </w:r>
            <w:r>
              <w:rPr>
                <w:rFonts w:hint="eastAsia"/>
                <w:color w:val="auto"/>
                <w:highlight w:val="none"/>
                <w:vertAlign w:val="baseline"/>
                <w:lang w:val="en-US" w:eastAsia="zh-CN"/>
              </w:rPr>
              <w:t>，本次计算取1.5mg/m</w:t>
            </w:r>
            <w:r>
              <w:rPr>
                <w:rFonts w:hint="eastAsia"/>
                <w:color w:val="auto"/>
                <w:highlight w:val="none"/>
                <w:vertAlign w:val="superscript"/>
                <w:lang w:val="en-US" w:eastAsia="zh-CN"/>
              </w:rPr>
              <w:t>3</w:t>
            </w:r>
            <w:r>
              <w:rPr>
                <w:rFonts w:hint="eastAsia"/>
                <w:color w:val="auto"/>
                <w:highlight w:val="none"/>
                <w:vertAlign w:val="baseline"/>
                <w:lang w:val="en-US" w:eastAsia="zh-CN"/>
              </w:rPr>
              <w:t>。</w:t>
            </w:r>
          </w:p>
          <w:p w14:paraId="1A6D83D5">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vertAlign w:val="baseline"/>
                <w:lang w:val="en-US" w:eastAsia="zh-CN"/>
              </w:rPr>
            </w:pPr>
            <w:r>
              <w:rPr>
                <w:rFonts w:hint="eastAsia"/>
                <w:color w:val="auto"/>
                <w:highlight w:val="none"/>
                <w:vertAlign w:val="baseline"/>
                <w:lang w:val="en-US" w:eastAsia="zh-CN"/>
              </w:rPr>
              <w:t>本项目二氧化硫核算参照《4430工业锅炉（热力供应）行业系数手册》中燃用天然气产排污系数进行核算，二氧化硫产物系数为0.02Skg/万m</w:t>
            </w:r>
            <w:r>
              <w:rPr>
                <w:rFonts w:hint="eastAsia"/>
                <w:color w:val="auto"/>
                <w:highlight w:val="none"/>
                <w:vertAlign w:val="superscript"/>
                <w:lang w:val="en-US" w:eastAsia="zh-CN"/>
              </w:rPr>
              <w:t>3－</w:t>
            </w:r>
            <w:r>
              <w:rPr>
                <w:rFonts w:hint="eastAsia"/>
                <w:color w:val="auto"/>
                <w:highlight w:val="none"/>
                <w:vertAlign w:val="baseline"/>
                <w:lang w:val="en-US" w:eastAsia="zh-CN"/>
              </w:rPr>
              <w:t>原料，则玻璃微珠烧制炉二氧化硫产生量为0.057t/a，产生浓度为1.5mg/m</w:t>
            </w:r>
            <w:r>
              <w:rPr>
                <w:rFonts w:hint="eastAsia"/>
                <w:color w:val="auto"/>
                <w:highlight w:val="none"/>
                <w:vertAlign w:val="superscript"/>
                <w:lang w:val="en-US" w:eastAsia="zh-CN"/>
              </w:rPr>
              <w:t>3</w:t>
            </w:r>
            <w:r>
              <w:rPr>
                <w:rFonts w:hint="eastAsia"/>
                <w:color w:val="auto"/>
                <w:highlight w:val="none"/>
                <w:vertAlign w:val="baseline"/>
                <w:lang w:val="en-US" w:eastAsia="zh-CN"/>
              </w:rPr>
              <w:t>。</w:t>
            </w:r>
            <w:r>
              <w:rPr>
                <w:rFonts w:hint="eastAsia" w:cs="Times New Roman"/>
                <w:color w:val="auto"/>
                <w:sz w:val="24"/>
                <w:highlight w:val="none"/>
                <w:lang w:eastAsia="zh-CN"/>
              </w:rPr>
              <w:t>（</w:t>
            </w:r>
            <w:r>
              <w:rPr>
                <w:rFonts w:hint="eastAsia" w:cs="Times New Roman"/>
                <w:color w:val="auto"/>
                <w:sz w:val="24"/>
                <w:highlight w:val="none"/>
                <w:lang w:val="en-US" w:eastAsia="zh-CN"/>
              </w:rPr>
              <w:t>按基准含氧量为8%，折算</w:t>
            </w:r>
            <w:r>
              <w:rPr>
                <w:rFonts w:hint="default" w:ascii="Times New Roman" w:hAnsi="Times New Roman" w:eastAsia="宋体" w:cs="Times New Roman"/>
                <w:bCs/>
                <w:color w:val="auto"/>
                <w:spacing w:val="4"/>
                <w:sz w:val="24"/>
                <w:highlight w:val="none"/>
              </w:rPr>
              <w:t>排放浓度为</w:t>
            </w:r>
            <w:r>
              <w:rPr>
                <w:rFonts w:hint="eastAsia" w:cs="Times New Roman"/>
                <w:color w:val="auto"/>
                <w:sz w:val="24"/>
                <w:highlight w:val="none"/>
                <w:lang w:val="en-US" w:eastAsia="zh-CN"/>
              </w:rPr>
              <w:t>1.478</w:t>
            </w:r>
            <w:r>
              <w:rPr>
                <w:rFonts w:hint="default" w:ascii="Times New Roman" w:hAnsi="Times New Roman" w:eastAsia="宋体" w:cs="Times New Roman"/>
                <w:color w:val="auto"/>
                <w:sz w:val="24"/>
                <w:highlight w:val="none"/>
              </w:rPr>
              <w:t>mg/m</w:t>
            </w:r>
            <w:r>
              <w:rPr>
                <w:rFonts w:hint="default" w:ascii="Times New Roman" w:hAnsi="Times New Roman" w:eastAsia="宋体" w:cs="Times New Roman"/>
                <w:color w:val="auto"/>
                <w:sz w:val="24"/>
                <w:highlight w:val="none"/>
                <w:vertAlign w:val="superscript"/>
              </w:rPr>
              <w:t>3</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满足</w:t>
            </w:r>
            <w:r>
              <w:rPr>
                <w:rFonts w:hint="default"/>
                <w:b w:val="0"/>
                <w:color w:val="auto"/>
                <w:sz w:val="24"/>
                <w:highlight w:val="none"/>
                <w:lang w:eastAsia="zh-CN"/>
              </w:rPr>
              <w:t>《山西省工业炉窑大气污染综合治理实施方案》（晋环大气</w:t>
            </w:r>
            <w:r>
              <w:rPr>
                <w:rFonts w:hint="default"/>
                <w:b w:val="0"/>
                <w:color w:val="auto"/>
                <w:sz w:val="24"/>
                <w:highlight w:val="none"/>
              </w:rPr>
              <w:t>〔</w:t>
            </w:r>
            <w:r>
              <w:rPr>
                <w:rFonts w:hint="default"/>
                <w:b w:val="0"/>
                <w:color w:val="auto"/>
                <w:sz w:val="24"/>
                <w:highlight w:val="none"/>
                <w:lang w:val="en-US" w:eastAsia="zh-CN"/>
              </w:rPr>
              <w:t>2019</w:t>
            </w:r>
            <w:r>
              <w:rPr>
                <w:rFonts w:hint="default"/>
                <w:b w:val="0"/>
                <w:color w:val="auto"/>
                <w:sz w:val="24"/>
                <w:highlight w:val="none"/>
              </w:rPr>
              <w:t>〕</w:t>
            </w:r>
            <w:r>
              <w:rPr>
                <w:rFonts w:hint="default"/>
                <w:b w:val="0"/>
                <w:color w:val="auto"/>
                <w:sz w:val="24"/>
                <w:highlight w:val="none"/>
                <w:lang w:val="en-US" w:eastAsia="zh-CN"/>
              </w:rPr>
              <w:t>164号</w:t>
            </w:r>
            <w:r>
              <w:rPr>
                <w:rFonts w:hint="default"/>
                <w:b w:val="0"/>
                <w:color w:val="auto"/>
                <w:sz w:val="24"/>
                <w:highlight w:val="none"/>
                <w:lang w:eastAsia="zh-CN"/>
              </w:rPr>
              <w:t>）</w:t>
            </w:r>
            <w:r>
              <w:rPr>
                <w:rFonts w:hint="eastAsia"/>
                <w:b w:val="0"/>
                <w:color w:val="auto"/>
                <w:sz w:val="24"/>
                <w:highlight w:val="none"/>
                <w:lang w:val="en-US" w:eastAsia="zh-CN"/>
              </w:rPr>
              <w:t>的有关规定及</w:t>
            </w:r>
            <w:r>
              <w:rPr>
                <w:rFonts w:hint="default" w:ascii="Times New Roman" w:hAnsi="Times New Roman" w:eastAsia="宋体" w:cs="Times New Roman"/>
                <w:bCs/>
                <w:color w:val="auto"/>
                <w:sz w:val="24"/>
                <w:highlight w:val="none"/>
                <w:lang w:eastAsia="zh-CN"/>
              </w:rPr>
              <w:t>《玻璃工业大气污染物排放标准》（</w:t>
            </w:r>
            <w:r>
              <w:rPr>
                <w:rFonts w:hint="default" w:ascii="Times New Roman" w:hAnsi="Times New Roman" w:eastAsia="宋体" w:cs="Times New Roman"/>
                <w:bCs/>
                <w:color w:val="auto"/>
                <w:sz w:val="24"/>
                <w:highlight w:val="none"/>
                <w:lang w:val="en-US" w:eastAsia="zh-CN"/>
              </w:rPr>
              <w:t>GB26453-2022</w:t>
            </w:r>
            <w:r>
              <w:rPr>
                <w:rFonts w:hint="default" w:ascii="Times New Roman" w:hAnsi="Times New Roman" w:eastAsia="宋体" w:cs="Times New Roman"/>
                <w:bCs/>
                <w:color w:val="auto"/>
                <w:sz w:val="24"/>
                <w:highlight w:val="none"/>
                <w:lang w:eastAsia="zh-CN"/>
              </w:rPr>
              <w:t>）表</w:t>
            </w:r>
            <w:r>
              <w:rPr>
                <w:rFonts w:hint="default" w:ascii="Times New Roman" w:hAnsi="Times New Roman" w:eastAsia="宋体" w:cs="Times New Roman"/>
                <w:bCs/>
                <w:color w:val="auto"/>
                <w:sz w:val="24"/>
                <w:highlight w:val="none"/>
                <w:lang w:val="en-US" w:eastAsia="zh-CN"/>
              </w:rPr>
              <w:t>1</w:t>
            </w:r>
            <w:r>
              <w:rPr>
                <w:rFonts w:hint="default" w:ascii="Times New Roman" w:hAnsi="Times New Roman" w:eastAsia="宋体" w:cs="Times New Roman"/>
                <w:bCs/>
                <w:color w:val="auto"/>
                <w:sz w:val="24"/>
                <w:highlight w:val="none"/>
                <w:lang w:eastAsia="zh-CN"/>
              </w:rPr>
              <w:t>标准限值要求</w:t>
            </w:r>
            <w:r>
              <w:rPr>
                <w:rFonts w:hint="eastAsia"/>
                <w:b w:val="0"/>
                <w:color w:val="auto"/>
                <w:sz w:val="24"/>
                <w:highlight w:val="none"/>
                <w:lang w:val="en-US" w:eastAsia="zh-CN"/>
              </w:rPr>
              <w:t>。</w:t>
            </w:r>
          </w:p>
          <w:p w14:paraId="716AFB3C">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Cs w:val="24"/>
                <w:highlight w:val="none"/>
                <w:vertAlign w:val="baseline"/>
                <w:lang w:val="en-US" w:eastAsia="zh-CN"/>
              </w:rPr>
            </w:pPr>
            <w:r>
              <w:rPr>
                <w:rFonts w:hint="default" w:ascii="Times New Roman" w:hAnsi="Times New Roman" w:eastAsia="宋体" w:cs="Times New Roman"/>
                <w:color w:val="auto"/>
                <w:szCs w:val="24"/>
                <w:highlight w:val="none"/>
                <w:vertAlign w:val="baseline"/>
                <w:lang w:val="en-US" w:eastAsia="zh-CN"/>
              </w:rPr>
              <w:t>④氮氧化物</w:t>
            </w:r>
          </w:p>
          <w:p w14:paraId="20995949">
            <w:pPr>
              <w:keepNext w:val="0"/>
              <w:keepLines w:val="0"/>
              <w:widowControl/>
              <w:suppressLineNumbers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yellow"/>
                <w:vertAlign w:val="baseline"/>
                <w:lang w:val="en-US" w:eastAsia="zh-CN"/>
              </w:rPr>
            </w:pPr>
            <w:r>
              <w:rPr>
                <w:rFonts w:hint="default" w:ascii="宋体" w:hAnsi="宋体" w:eastAsia="宋体" w:cs="宋体"/>
                <w:color w:val="auto"/>
                <w:sz w:val="24"/>
                <w:szCs w:val="24"/>
              </w:rPr>
              <w:t>现有产排污系数手册未发布瓦斯气燃烧相关核算系数</w:t>
            </w:r>
            <w:r>
              <w:rPr>
                <w:rFonts w:hint="eastAsia" w:cs="Times New Roman"/>
                <w:bCs/>
                <w:color w:val="auto"/>
                <w:kern w:val="0"/>
                <w:sz w:val="24"/>
                <w:szCs w:val="24"/>
                <w:highlight w:val="none"/>
                <w:lang w:val="en-US" w:eastAsia="zh-CN" w:bidi="ar"/>
              </w:rPr>
              <w:t>，本次环评</w:t>
            </w:r>
            <w:r>
              <w:rPr>
                <w:rFonts w:hint="default" w:ascii="Times New Roman" w:hAnsi="Times New Roman" w:eastAsia="宋体" w:cs="Times New Roman"/>
                <w:bCs/>
                <w:color w:val="auto"/>
                <w:kern w:val="0"/>
                <w:sz w:val="24"/>
                <w:szCs w:val="24"/>
                <w:highlight w:val="none"/>
                <w:lang w:val="en-US" w:eastAsia="zh-CN" w:bidi="ar"/>
              </w:rPr>
              <w:t>氮氧化物</w:t>
            </w:r>
            <w:r>
              <w:rPr>
                <w:rFonts w:hint="eastAsia" w:cs="Times New Roman"/>
                <w:bCs/>
                <w:color w:val="auto"/>
                <w:kern w:val="0"/>
                <w:sz w:val="24"/>
                <w:szCs w:val="24"/>
                <w:highlight w:val="none"/>
                <w:lang w:val="en-US" w:eastAsia="zh-CN" w:bidi="ar"/>
              </w:rPr>
              <w:t>参照</w:t>
            </w:r>
            <w:r>
              <w:rPr>
                <w:rFonts w:hint="default" w:ascii="Times New Roman" w:hAnsi="Times New Roman" w:eastAsia="宋体" w:cs="Times New Roman"/>
                <w:bCs/>
                <w:color w:val="auto"/>
                <w:kern w:val="0"/>
                <w:sz w:val="24"/>
                <w:szCs w:val="24"/>
                <w:highlight w:val="none"/>
                <w:lang w:val="en-US" w:eastAsia="zh-CN" w:bidi="ar"/>
              </w:rPr>
              <w:t>《排放源统计调查产排污核算方法和系数手册》</w:t>
            </w:r>
            <w:r>
              <w:rPr>
                <w:rFonts w:hint="eastAsia" w:cs="Times New Roman"/>
                <w:bCs/>
                <w:color w:val="auto"/>
                <w:kern w:val="0"/>
                <w:sz w:val="24"/>
                <w:szCs w:val="24"/>
                <w:highlight w:val="none"/>
                <w:lang w:val="en-US" w:eastAsia="zh-CN" w:bidi="ar"/>
              </w:rPr>
              <w:t>－</w:t>
            </w:r>
            <w:r>
              <w:rPr>
                <w:rFonts w:hint="default" w:ascii="Times New Roman" w:hAnsi="Times New Roman" w:eastAsia="宋体" w:cs="Times New Roman"/>
                <w:bCs/>
                <w:color w:val="auto"/>
                <w:kern w:val="0"/>
                <w:sz w:val="24"/>
                <w:szCs w:val="24"/>
                <w:highlight w:val="none"/>
                <w:lang w:val="en-US" w:eastAsia="zh-CN" w:bidi="ar"/>
              </w:rPr>
              <w:t>锅炉产排污系数手册</w:t>
            </w:r>
            <w:r>
              <w:rPr>
                <w:rFonts w:hint="eastAsia" w:cs="Times New Roman"/>
                <w:bCs/>
                <w:color w:val="auto"/>
                <w:kern w:val="0"/>
                <w:sz w:val="24"/>
                <w:szCs w:val="24"/>
                <w:highlight w:val="none"/>
                <w:lang w:val="en-US" w:eastAsia="zh-CN" w:bidi="ar"/>
              </w:rPr>
              <w:t xml:space="preserve">－天然气 </w:t>
            </w:r>
            <w:r>
              <w:rPr>
                <w:rFonts w:hint="default" w:ascii="Times New Roman" w:hAnsi="Times New Roman" w:eastAsia="宋体" w:cs="Times New Roman"/>
                <w:bCs/>
                <w:color w:val="auto"/>
                <w:kern w:val="0"/>
                <w:sz w:val="24"/>
                <w:szCs w:val="24"/>
                <w:highlight w:val="none"/>
                <w:lang w:val="en-US" w:eastAsia="zh-CN" w:bidi="ar"/>
              </w:rPr>
              <w:t>：</w:t>
            </w:r>
            <w:r>
              <w:rPr>
                <w:rFonts w:hint="eastAsia" w:cs="Times New Roman"/>
                <w:bCs/>
                <w:color w:val="auto"/>
                <w:kern w:val="0"/>
                <w:sz w:val="24"/>
                <w:szCs w:val="24"/>
                <w:highlight w:val="none"/>
                <w:lang w:val="en-US" w:eastAsia="zh-CN" w:bidi="ar"/>
              </w:rPr>
              <w:t>6.97</w:t>
            </w:r>
            <w:r>
              <w:rPr>
                <w:rFonts w:hint="default" w:ascii="Times New Roman" w:hAnsi="Times New Roman" w:eastAsia="宋体" w:cs="Times New Roman"/>
                <w:bCs/>
                <w:color w:val="auto"/>
                <w:kern w:val="0"/>
                <w:sz w:val="24"/>
                <w:szCs w:val="24"/>
                <w:highlight w:val="none"/>
                <w:lang w:val="en-US" w:eastAsia="zh-CN" w:bidi="ar"/>
              </w:rPr>
              <w:t>kg/万m</w:t>
            </w:r>
            <w:r>
              <w:rPr>
                <w:rFonts w:hint="default" w:ascii="Times New Roman" w:hAnsi="Times New Roman" w:eastAsia="宋体" w:cs="Times New Roman"/>
                <w:bCs/>
                <w:color w:val="auto"/>
                <w:kern w:val="0"/>
                <w:sz w:val="24"/>
                <w:szCs w:val="24"/>
                <w:highlight w:val="none"/>
                <w:vertAlign w:val="superscript"/>
                <w:lang w:val="en-US" w:eastAsia="zh-CN" w:bidi="ar"/>
              </w:rPr>
              <w:t>3</w:t>
            </w:r>
            <w:r>
              <w:rPr>
                <w:rFonts w:hint="eastAsia" w:cs="Times New Roman"/>
                <w:bCs/>
                <w:color w:val="auto"/>
                <w:kern w:val="0"/>
                <w:sz w:val="24"/>
                <w:szCs w:val="24"/>
                <w:highlight w:val="none"/>
                <w:vertAlign w:val="superscript"/>
                <w:lang w:val="en-US" w:eastAsia="zh-CN" w:bidi="ar"/>
              </w:rPr>
              <w:t>－</w:t>
            </w:r>
            <w:r>
              <w:rPr>
                <w:rFonts w:hint="default" w:ascii="Times New Roman" w:hAnsi="Times New Roman" w:eastAsia="宋体" w:cs="Times New Roman"/>
                <w:bCs/>
                <w:color w:val="auto"/>
                <w:kern w:val="0"/>
                <w:sz w:val="24"/>
                <w:szCs w:val="24"/>
                <w:highlight w:val="none"/>
                <w:lang w:val="en-US" w:eastAsia="zh-CN" w:bidi="ar"/>
              </w:rPr>
              <w:t>原料</w:t>
            </w:r>
            <w:r>
              <w:rPr>
                <w:rFonts w:hint="eastAsia" w:cs="Times New Roman"/>
                <w:bCs/>
                <w:color w:val="auto"/>
                <w:kern w:val="0"/>
                <w:sz w:val="24"/>
                <w:szCs w:val="24"/>
                <w:highlight w:val="none"/>
                <w:lang w:val="en-US" w:eastAsia="zh-CN" w:bidi="ar"/>
              </w:rPr>
              <w:t>（低氮燃烧）</w:t>
            </w:r>
            <w:r>
              <w:rPr>
                <w:rFonts w:hint="default" w:ascii="Times New Roman" w:hAnsi="Times New Roman" w:eastAsia="宋体" w:cs="Times New Roman"/>
                <w:bCs/>
                <w:color w:val="auto"/>
                <w:spacing w:val="4"/>
                <w:sz w:val="24"/>
                <w:szCs w:val="24"/>
                <w:highlight w:val="none"/>
              </w:rPr>
              <w:t>，</w:t>
            </w:r>
            <w:r>
              <w:rPr>
                <w:rFonts w:hint="eastAsia" w:ascii="Times New Roman" w:hAnsi="Times New Roman" w:eastAsia="宋体" w:cs="Times New Roman"/>
                <w:color w:val="auto"/>
                <w:sz w:val="24"/>
                <w:highlight w:val="none"/>
                <w:lang w:val="en-US" w:eastAsia="zh-CN"/>
              </w:rPr>
              <w:t>瓦斯气使用量为</w:t>
            </w:r>
            <w:r>
              <w:rPr>
                <w:rFonts w:hint="eastAsia" w:cs="Times New Roman"/>
                <w:color w:val="auto"/>
                <w:sz w:val="24"/>
                <w:highlight w:val="none"/>
                <w:lang w:val="en-US" w:eastAsia="zh-CN"/>
              </w:rPr>
              <w:t>1900.8</w:t>
            </w:r>
            <w:r>
              <w:rPr>
                <w:rFonts w:hint="default" w:ascii="Times New Roman" w:hAnsi="Times New Roman" w:eastAsia="宋体" w:cs="Times New Roman"/>
                <w:bCs/>
                <w:color w:val="auto"/>
                <w:kern w:val="0"/>
                <w:sz w:val="24"/>
                <w:szCs w:val="24"/>
                <w:highlight w:val="none"/>
                <w:lang w:val="en-US" w:eastAsia="zh-CN" w:bidi="ar"/>
              </w:rPr>
              <w:t>万m</w:t>
            </w:r>
            <w:r>
              <w:rPr>
                <w:rFonts w:hint="default" w:ascii="Times New Roman" w:hAnsi="Times New Roman" w:eastAsia="宋体" w:cs="Times New Roman"/>
                <w:bCs/>
                <w:color w:val="auto"/>
                <w:kern w:val="0"/>
                <w:sz w:val="24"/>
                <w:szCs w:val="24"/>
                <w:highlight w:val="none"/>
                <w:vertAlign w:val="superscript"/>
                <w:lang w:val="en-US" w:eastAsia="zh-CN" w:bidi="ar"/>
              </w:rPr>
              <w:t>3</w:t>
            </w:r>
            <w:r>
              <w:rPr>
                <w:rFonts w:hint="default" w:ascii="Times New Roman" w:hAnsi="Times New Roman" w:eastAsia="宋体" w:cs="Times New Roman"/>
                <w:color w:val="auto"/>
                <w:sz w:val="24"/>
                <w:szCs w:val="20"/>
                <w:highlight w:val="none"/>
              </w:rPr>
              <w:t>，则</w:t>
            </w:r>
            <w:r>
              <w:rPr>
                <w:rFonts w:hint="default" w:ascii="Times New Roman" w:hAnsi="Times New Roman" w:eastAsia="宋体" w:cs="Times New Roman"/>
                <w:color w:val="auto"/>
                <w:sz w:val="24"/>
                <w:highlight w:val="none"/>
              </w:rPr>
              <w:t>NOx产生量为</w:t>
            </w:r>
            <w:r>
              <w:rPr>
                <w:rFonts w:hint="eastAsia" w:cs="Times New Roman"/>
                <w:color w:val="auto"/>
                <w:sz w:val="24"/>
                <w:highlight w:val="none"/>
                <w:lang w:val="en-US" w:eastAsia="zh-CN"/>
              </w:rPr>
              <w:t>13.25</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bCs/>
                <w:color w:val="auto"/>
                <w:spacing w:val="4"/>
                <w:sz w:val="24"/>
                <w:szCs w:val="24"/>
                <w:highlight w:val="none"/>
              </w:rPr>
              <w:t>NOx</w:t>
            </w:r>
            <w:r>
              <w:rPr>
                <w:rFonts w:hint="default" w:ascii="Times New Roman" w:hAnsi="Times New Roman" w:eastAsia="宋体" w:cs="Times New Roman"/>
                <w:bCs/>
                <w:color w:val="auto"/>
                <w:spacing w:val="4"/>
                <w:sz w:val="24"/>
                <w:szCs w:val="24"/>
                <w:highlight w:val="none"/>
                <w:lang w:val="en-US" w:eastAsia="zh-CN"/>
              </w:rPr>
              <w:t>产生</w:t>
            </w:r>
            <w:r>
              <w:rPr>
                <w:rFonts w:hint="default" w:ascii="Times New Roman" w:hAnsi="Times New Roman" w:eastAsia="宋体" w:cs="Times New Roman"/>
                <w:bCs/>
                <w:color w:val="auto"/>
                <w:spacing w:val="4"/>
                <w:sz w:val="24"/>
                <w:szCs w:val="24"/>
                <w:highlight w:val="none"/>
              </w:rPr>
              <w:t>浓度为</w:t>
            </w:r>
            <w:r>
              <w:rPr>
                <w:rFonts w:hint="eastAsia" w:cs="Times New Roman"/>
                <w:bCs/>
                <w:color w:val="auto"/>
                <w:spacing w:val="4"/>
                <w:sz w:val="24"/>
                <w:szCs w:val="24"/>
                <w:highlight w:val="none"/>
                <w:lang w:val="en-US" w:eastAsia="zh-CN"/>
              </w:rPr>
              <w:t>363.1</w:t>
            </w:r>
            <w:r>
              <w:rPr>
                <w:rFonts w:hint="default" w:ascii="Times New Roman" w:hAnsi="Times New Roman" w:eastAsia="宋体" w:cs="Times New Roman"/>
                <w:bCs/>
                <w:color w:val="auto"/>
                <w:spacing w:val="4"/>
                <w:sz w:val="24"/>
                <w:szCs w:val="24"/>
                <w:highlight w:val="none"/>
              </w:rPr>
              <w:t>mg/m</w:t>
            </w:r>
            <w:r>
              <w:rPr>
                <w:rFonts w:hint="default" w:ascii="Times New Roman" w:hAnsi="Times New Roman" w:eastAsia="宋体" w:cs="Times New Roman"/>
                <w:bCs/>
                <w:color w:val="auto"/>
                <w:spacing w:val="4"/>
                <w:sz w:val="24"/>
                <w:szCs w:val="24"/>
                <w:highlight w:val="none"/>
                <w:vertAlign w:val="superscript"/>
              </w:rPr>
              <w:t>3</w:t>
            </w:r>
            <w:r>
              <w:rPr>
                <w:rFonts w:hint="default" w:ascii="Times New Roman" w:hAnsi="Times New Roman" w:eastAsia="宋体" w:cs="Times New Roman"/>
                <w:color w:val="auto"/>
                <w:sz w:val="24"/>
                <w:highlight w:val="none"/>
              </w:rPr>
              <w:t>，本生产线采用SCR脱硝工艺处理，脱硝效率为</w:t>
            </w:r>
            <w:r>
              <w:rPr>
                <w:rFonts w:hint="eastAsia" w:cs="Times New Roman"/>
                <w:color w:val="auto"/>
                <w:sz w:val="24"/>
                <w:highlight w:val="none"/>
                <w:lang w:val="en-US" w:eastAsia="zh-CN"/>
              </w:rPr>
              <w:t>80</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则NOx排放量为</w:t>
            </w:r>
            <w:r>
              <w:rPr>
                <w:rFonts w:hint="eastAsia" w:cs="Times New Roman"/>
                <w:color w:val="auto"/>
                <w:sz w:val="24"/>
                <w:highlight w:val="none"/>
                <w:lang w:val="en-US" w:eastAsia="zh-CN"/>
              </w:rPr>
              <w:t>2.65</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bCs/>
                <w:color w:val="auto"/>
                <w:spacing w:val="4"/>
                <w:sz w:val="24"/>
                <w:highlight w:val="none"/>
              </w:rPr>
              <w:t>排放浓度为</w:t>
            </w:r>
            <w:r>
              <w:rPr>
                <w:rFonts w:hint="eastAsia" w:cs="Times New Roman"/>
                <w:color w:val="auto"/>
                <w:sz w:val="24"/>
                <w:highlight w:val="none"/>
                <w:lang w:val="en-US" w:eastAsia="zh-CN"/>
              </w:rPr>
              <w:t>72.62</w:t>
            </w:r>
            <w:r>
              <w:rPr>
                <w:rFonts w:hint="default" w:ascii="Times New Roman" w:hAnsi="Times New Roman" w:eastAsia="宋体" w:cs="Times New Roman"/>
                <w:color w:val="auto"/>
                <w:sz w:val="24"/>
                <w:highlight w:val="none"/>
              </w:rPr>
              <w:t>mg/m</w:t>
            </w:r>
            <w:r>
              <w:rPr>
                <w:rFonts w:hint="default" w:ascii="Times New Roman" w:hAnsi="Times New Roman" w:eastAsia="宋体" w:cs="Times New Roman"/>
                <w:color w:val="auto"/>
                <w:sz w:val="24"/>
                <w:highlight w:val="none"/>
                <w:vertAlign w:val="superscript"/>
              </w:rPr>
              <w:t>3</w:t>
            </w:r>
            <w:r>
              <w:rPr>
                <w:rFonts w:hint="eastAsia" w:cs="Times New Roman"/>
                <w:color w:val="auto"/>
                <w:sz w:val="24"/>
                <w:highlight w:val="none"/>
                <w:lang w:eastAsia="zh-CN"/>
              </w:rPr>
              <w:t>（</w:t>
            </w:r>
            <w:r>
              <w:rPr>
                <w:rFonts w:hint="eastAsia" w:cs="Times New Roman"/>
                <w:color w:val="auto"/>
                <w:sz w:val="24"/>
                <w:highlight w:val="none"/>
                <w:lang w:val="en-US" w:eastAsia="zh-CN"/>
              </w:rPr>
              <w:t>按基准含氧量为8%，折算</w:t>
            </w:r>
            <w:r>
              <w:rPr>
                <w:rFonts w:hint="default" w:ascii="Times New Roman" w:hAnsi="Times New Roman" w:eastAsia="宋体" w:cs="Times New Roman"/>
                <w:bCs/>
                <w:color w:val="auto"/>
                <w:spacing w:val="4"/>
                <w:sz w:val="24"/>
                <w:highlight w:val="none"/>
              </w:rPr>
              <w:t>排放浓度为</w:t>
            </w:r>
            <w:r>
              <w:rPr>
                <w:rFonts w:hint="eastAsia" w:cs="Times New Roman"/>
                <w:color w:val="auto"/>
                <w:sz w:val="24"/>
                <w:highlight w:val="none"/>
                <w:lang w:val="en-US" w:eastAsia="zh-CN"/>
              </w:rPr>
              <w:t>71.53</w:t>
            </w:r>
            <w:r>
              <w:rPr>
                <w:rFonts w:hint="default" w:ascii="Times New Roman" w:hAnsi="Times New Roman" w:eastAsia="宋体" w:cs="Times New Roman"/>
                <w:color w:val="auto"/>
                <w:sz w:val="24"/>
                <w:highlight w:val="none"/>
              </w:rPr>
              <w:t>mg/m</w:t>
            </w:r>
            <w:r>
              <w:rPr>
                <w:rFonts w:hint="default" w:ascii="Times New Roman" w:hAnsi="Times New Roman" w:eastAsia="宋体" w:cs="Times New Roman"/>
                <w:color w:val="auto"/>
                <w:sz w:val="24"/>
                <w:highlight w:val="none"/>
                <w:vertAlign w:val="superscript"/>
              </w:rPr>
              <w:t>3</w:t>
            </w:r>
            <w:r>
              <w:rPr>
                <w:rFonts w:hint="eastAsia" w:cs="Times New Roman"/>
                <w:color w:val="auto"/>
                <w:sz w:val="24"/>
                <w:highlight w:val="none"/>
                <w:lang w:eastAsia="zh-CN"/>
              </w:rPr>
              <w:t>），</w:t>
            </w:r>
            <w:r>
              <w:rPr>
                <w:rFonts w:hint="eastAsia" w:cs="Times New Roman"/>
                <w:color w:val="auto"/>
                <w:sz w:val="24"/>
                <w:highlight w:val="none"/>
                <w:lang w:val="en-US" w:eastAsia="zh-CN"/>
              </w:rPr>
              <w:t>满足</w:t>
            </w:r>
            <w:r>
              <w:rPr>
                <w:rFonts w:hint="default"/>
                <w:b w:val="0"/>
                <w:color w:val="auto"/>
                <w:sz w:val="24"/>
                <w:highlight w:val="none"/>
                <w:lang w:eastAsia="zh-CN"/>
              </w:rPr>
              <w:t>《山西省工业炉窑大气污染综合治理实施方案》（晋环大气</w:t>
            </w:r>
            <w:r>
              <w:rPr>
                <w:rFonts w:hint="default"/>
                <w:b w:val="0"/>
                <w:color w:val="auto"/>
                <w:sz w:val="24"/>
                <w:highlight w:val="none"/>
              </w:rPr>
              <w:t>〔</w:t>
            </w:r>
            <w:r>
              <w:rPr>
                <w:rFonts w:hint="default"/>
                <w:b w:val="0"/>
                <w:color w:val="auto"/>
                <w:sz w:val="24"/>
                <w:highlight w:val="none"/>
                <w:lang w:val="en-US" w:eastAsia="zh-CN"/>
              </w:rPr>
              <w:t>2019</w:t>
            </w:r>
            <w:r>
              <w:rPr>
                <w:rFonts w:hint="default"/>
                <w:b w:val="0"/>
                <w:color w:val="auto"/>
                <w:sz w:val="24"/>
                <w:highlight w:val="none"/>
              </w:rPr>
              <w:t>〕</w:t>
            </w:r>
            <w:r>
              <w:rPr>
                <w:rFonts w:hint="default"/>
                <w:b w:val="0"/>
                <w:color w:val="auto"/>
                <w:sz w:val="24"/>
                <w:highlight w:val="none"/>
                <w:lang w:val="en-US" w:eastAsia="zh-CN"/>
              </w:rPr>
              <w:t>164号</w:t>
            </w:r>
            <w:r>
              <w:rPr>
                <w:rFonts w:hint="default"/>
                <w:b w:val="0"/>
                <w:color w:val="auto"/>
                <w:sz w:val="24"/>
                <w:highlight w:val="none"/>
                <w:lang w:eastAsia="zh-CN"/>
              </w:rPr>
              <w:t>）</w:t>
            </w:r>
            <w:r>
              <w:rPr>
                <w:rFonts w:hint="eastAsia"/>
                <w:b w:val="0"/>
                <w:color w:val="auto"/>
                <w:sz w:val="24"/>
                <w:highlight w:val="none"/>
                <w:lang w:val="en-US" w:eastAsia="zh-CN"/>
              </w:rPr>
              <w:t>的有关规定及</w:t>
            </w:r>
            <w:r>
              <w:rPr>
                <w:rFonts w:hint="default" w:ascii="Times New Roman" w:hAnsi="Times New Roman" w:eastAsia="宋体" w:cs="Times New Roman"/>
                <w:bCs/>
                <w:color w:val="auto"/>
                <w:sz w:val="24"/>
                <w:highlight w:val="none"/>
                <w:lang w:eastAsia="zh-CN"/>
              </w:rPr>
              <w:t>《玻璃工业大气污染物排放标准》（</w:t>
            </w:r>
            <w:r>
              <w:rPr>
                <w:rFonts w:hint="default" w:ascii="Times New Roman" w:hAnsi="Times New Roman" w:eastAsia="宋体" w:cs="Times New Roman"/>
                <w:bCs/>
                <w:color w:val="auto"/>
                <w:sz w:val="24"/>
                <w:highlight w:val="none"/>
                <w:lang w:val="en-US" w:eastAsia="zh-CN"/>
              </w:rPr>
              <w:t>GB26453-2022</w:t>
            </w:r>
            <w:r>
              <w:rPr>
                <w:rFonts w:hint="default" w:ascii="Times New Roman" w:hAnsi="Times New Roman" w:eastAsia="宋体" w:cs="Times New Roman"/>
                <w:bCs/>
                <w:color w:val="auto"/>
                <w:sz w:val="24"/>
                <w:highlight w:val="none"/>
                <w:lang w:eastAsia="zh-CN"/>
              </w:rPr>
              <w:t>）表</w:t>
            </w:r>
            <w:r>
              <w:rPr>
                <w:rFonts w:hint="default" w:ascii="Times New Roman" w:hAnsi="Times New Roman" w:eastAsia="宋体" w:cs="Times New Roman"/>
                <w:bCs/>
                <w:color w:val="auto"/>
                <w:sz w:val="24"/>
                <w:highlight w:val="none"/>
                <w:lang w:val="en-US" w:eastAsia="zh-CN"/>
              </w:rPr>
              <w:t>1</w:t>
            </w:r>
            <w:r>
              <w:rPr>
                <w:rFonts w:hint="default" w:ascii="Times New Roman" w:hAnsi="Times New Roman" w:eastAsia="宋体" w:cs="Times New Roman"/>
                <w:bCs/>
                <w:color w:val="auto"/>
                <w:sz w:val="24"/>
                <w:highlight w:val="none"/>
                <w:lang w:eastAsia="zh-CN"/>
              </w:rPr>
              <w:t>标准限值要求</w:t>
            </w:r>
            <w:r>
              <w:rPr>
                <w:rFonts w:hint="eastAsia"/>
                <w:b w:val="0"/>
                <w:color w:val="auto"/>
                <w:sz w:val="24"/>
                <w:highlight w:val="none"/>
                <w:lang w:val="en-US" w:eastAsia="zh-CN"/>
              </w:rPr>
              <w:t>。</w:t>
            </w:r>
          </w:p>
          <w:p w14:paraId="3025C27B">
            <w:pPr>
              <w:keepNext w:val="0"/>
              <w:keepLines w:val="0"/>
              <w:widowControl/>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kern w:val="0"/>
                <w:sz w:val="24"/>
                <w:highlight w:val="none"/>
                <w:vertAlign w:val="baseline"/>
                <w:lang w:val="en-US" w:eastAsia="zh-CN" w:bidi="ar"/>
              </w:rPr>
            </w:pPr>
            <w:r>
              <w:rPr>
                <w:rFonts w:hint="default" w:ascii="Times New Roman" w:hAnsi="Times New Roman" w:eastAsia="宋体" w:cs="Times New Roman"/>
                <w:b w:val="0"/>
                <w:bCs w:val="0"/>
                <w:color w:val="auto"/>
                <w:kern w:val="0"/>
                <w:sz w:val="24"/>
                <w:highlight w:val="none"/>
                <w:vertAlign w:val="baseline"/>
                <w:lang w:val="en-US" w:eastAsia="zh-CN" w:bidi="ar"/>
              </w:rPr>
              <w:fldChar w:fldCharType="begin"/>
            </w:r>
            <w:r>
              <w:rPr>
                <w:rFonts w:hint="default" w:ascii="Times New Roman" w:hAnsi="Times New Roman" w:eastAsia="宋体" w:cs="Times New Roman"/>
                <w:b w:val="0"/>
                <w:bCs w:val="0"/>
                <w:color w:val="auto"/>
                <w:kern w:val="0"/>
                <w:sz w:val="24"/>
                <w:highlight w:val="none"/>
                <w:vertAlign w:val="baseline"/>
                <w:lang w:val="en-US" w:eastAsia="zh-CN" w:bidi="ar"/>
              </w:rPr>
              <w:instrText xml:space="preserve"> = 4 \* GB3 \* MERGEFORMAT </w:instrText>
            </w:r>
            <w:r>
              <w:rPr>
                <w:rFonts w:hint="default" w:ascii="Times New Roman" w:hAnsi="Times New Roman" w:eastAsia="宋体" w:cs="Times New Roman"/>
                <w:b w:val="0"/>
                <w:bCs w:val="0"/>
                <w:color w:val="auto"/>
                <w:kern w:val="0"/>
                <w:sz w:val="24"/>
                <w:highlight w:val="none"/>
                <w:vertAlign w:val="baseline"/>
                <w:lang w:val="en-US" w:eastAsia="zh-CN" w:bidi="ar"/>
              </w:rPr>
              <w:fldChar w:fldCharType="separate"/>
            </w:r>
            <w:r>
              <w:rPr>
                <w:rFonts w:hint="default" w:ascii="Times New Roman" w:hAnsi="Times New Roman" w:eastAsia="宋体" w:cs="Times New Roman"/>
                <w:color w:val="auto"/>
                <w:sz w:val="24"/>
                <w:highlight w:val="none"/>
              </w:rPr>
              <w:t>④</w:t>
            </w:r>
            <w:r>
              <w:rPr>
                <w:rFonts w:hint="default" w:ascii="Times New Roman" w:hAnsi="Times New Roman" w:eastAsia="宋体" w:cs="Times New Roman"/>
                <w:b w:val="0"/>
                <w:bCs w:val="0"/>
                <w:color w:val="auto"/>
                <w:kern w:val="0"/>
                <w:sz w:val="24"/>
                <w:highlight w:val="none"/>
                <w:vertAlign w:val="baseline"/>
                <w:lang w:val="en-US" w:eastAsia="zh-CN" w:bidi="ar"/>
              </w:rPr>
              <w:fldChar w:fldCharType="end"/>
            </w:r>
            <w:r>
              <w:rPr>
                <w:rFonts w:hint="default" w:ascii="Times New Roman" w:hAnsi="Times New Roman" w:eastAsia="宋体" w:cs="Times New Roman"/>
                <w:b w:val="0"/>
                <w:bCs w:val="0"/>
                <w:color w:val="auto"/>
                <w:kern w:val="0"/>
                <w:sz w:val="24"/>
                <w:highlight w:val="none"/>
                <w:vertAlign w:val="baseline"/>
                <w:lang w:val="en-US" w:eastAsia="zh-CN" w:bidi="ar"/>
              </w:rPr>
              <w:t>氨</w:t>
            </w:r>
          </w:p>
          <w:p w14:paraId="56ED5397">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vertAlign w:val="baseline"/>
                <w:lang w:val="en-US" w:eastAsia="zh-CN"/>
              </w:rPr>
            </w:pPr>
            <w:r>
              <w:rPr>
                <w:rFonts w:hint="eastAsia" w:ascii="Times New Roman" w:hAnsi="Times New Roman" w:eastAsia="宋体" w:cs="Times New Roman"/>
                <w:b w:val="0"/>
                <w:bCs w:val="0"/>
                <w:color w:val="auto"/>
                <w:kern w:val="0"/>
                <w:sz w:val="24"/>
                <w:highlight w:val="none"/>
                <w:vertAlign w:val="baseline"/>
                <w:lang w:val="en-US" w:eastAsia="zh-CN" w:bidi="ar"/>
              </w:rPr>
              <w:t>项目在</w:t>
            </w:r>
            <w:r>
              <w:rPr>
                <w:rFonts w:hint="eastAsia" w:ascii="Times New Roman" w:hAnsi="Times New Roman" w:cs="Times New Roman"/>
                <w:b w:val="0"/>
                <w:bCs w:val="0"/>
                <w:color w:val="auto"/>
                <w:kern w:val="0"/>
                <w:sz w:val="24"/>
                <w:highlight w:val="none"/>
                <w:vertAlign w:val="baseline"/>
                <w:lang w:val="en-US" w:eastAsia="zh-CN" w:bidi="ar"/>
              </w:rPr>
              <w:t>玻璃微珠烧制炉</w:t>
            </w:r>
            <w:r>
              <w:rPr>
                <w:rFonts w:hint="eastAsia" w:ascii="Times New Roman" w:hAnsi="Times New Roman" w:eastAsia="宋体" w:cs="Times New Roman"/>
                <w:b w:val="0"/>
                <w:bCs w:val="0"/>
                <w:color w:val="auto"/>
                <w:kern w:val="0"/>
                <w:sz w:val="24"/>
                <w:highlight w:val="none"/>
                <w:vertAlign w:val="baseline"/>
                <w:lang w:val="en-US" w:eastAsia="zh-CN" w:bidi="ar"/>
              </w:rPr>
              <w:t>废气经SCR进行处理，拟采用尿素作为脱硝剂</w:t>
            </w:r>
            <w:r>
              <w:rPr>
                <w:rFonts w:hint="eastAsia" w:cs="Times New Roman"/>
                <w:b w:val="0"/>
                <w:bCs w:val="0"/>
                <w:color w:val="auto"/>
                <w:kern w:val="0"/>
                <w:sz w:val="24"/>
                <w:highlight w:val="none"/>
                <w:vertAlign w:val="baseline"/>
                <w:lang w:val="en-US" w:eastAsia="zh-CN" w:bidi="ar"/>
              </w:rPr>
              <w:t>（50%质量分数的尿素溶液）</w:t>
            </w:r>
            <w:r>
              <w:rPr>
                <w:rFonts w:hint="eastAsia" w:ascii="Times New Roman" w:hAnsi="Times New Roman" w:eastAsia="宋体" w:cs="Times New Roman"/>
                <w:b w:val="0"/>
                <w:bCs w:val="0"/>
                <w:color w:val="auto"/>
                <w:kern w:val="0"/>
                <w:sz w:val="24"/>
                <w:highlight w:val="none"/>
                <w:vertAlign w:val="baseline"/>
                <w:lang w:val="en-US" w:eastAsia="zh-CN" w:bidi="ar"/>
              </w:rPr>
              <w:t>，脱硝过程中会有少量氨逃逸，氨排放浓度能够控制在</w:t>
            </w:r>
            <w:r>
              <w:rPr>
                <w:rFonts w:hint="eastAsia" w:ascii="Times New Roman" w:hAnsi="Times New Roman" w:cs="Times New Roman"/>
                <w:b w:val="0"/>
                <w:bCs w:val="0"/>
                <w:color w:val="auto"/>
                <w:kern w:val="0"/>
                <w:sz w:val="24"/>
                <w:highlight w:val="none"/>
                <w:vertAlign w:val="baseline"/>
                <w:lang w:val="en-US" w:eastAsia="zh-CN" w:bidi="ar"/>
              </w:rPr>
              <w:t>8</w:t>
            </w:r>
            <w:r>
              <w:rPr>
                <w:rFonts w:hint="eastAsia" w:ascii="Times New Roman" w:hAnsi="Times New Roman" w:eastAsia="宋体" w:cs="Times New Roman"/>
                <w:b w:val="0"/>
                <w:bCs w:val="0"/>
                <w:color w:val="auto"/>
                <w:kern w:val="0"/>
                <w:sz w:val="24"/>
                <w:highlight w:val="none"/>
                <w:vertAlign w:val="baseline"/>
                <w:lang w:val="en-US" w:eastAsia="zh-CN" w:bidi="ar"/>
              </w:rPr>
              <w:t>mg/m</w:t>
            </w:r>
            <w:r>
              <w:rPr>
                <w:rFonts w:hint="eastAsia" w:ascii="Times New Roman" w:hAnsi="Times New Roman" w:eastAsia="宋体" w:cs="Times New Roman"/>
                <w:b w:val="0"/>
                <w:bCs w:val="0"/>
                <w:color w:val="auto"/>
                <w:kern w:val="0"/>
                <w:sz w:val="24"/>
                <w:highlight w:val="none"/>
                <w:vertAlign w:val="superscript"/>
                <w:lang w:val="en-US" w:eastAsia="zh-CN" w:bidi="ar"/>
              </w:rPr>
              <w:t>3</w:t>
            </w:r>
            <w:r>
              <w:rPr>
                <w:rFonts w:hint="eastAsia" w:ascii="Times New Roman" w:hAnsi="Times New Roman" w:eastAsia="宋体" w:cs="Times New Roman"/>
                <w:b w:val="0"/>
                <w:bCs w:val="0"/>
                <w:color w:val="auto"/>
                <w:kern w:val="0"/>
                <w:sz w:val="24"/>
                <w:highlight w:val="none"/>
                <w:vertAlign w:val="baseline"/>
                <w:lang w:val="en-US" w:eastAsia="zh-CN" w:bidi="ar"/>
              </w:rPr>
              <w:t>以下，本项目氨排放浓度按</w:t>
            </w:r>
            <w:r>
              <w:rPr>
                <w:rFonts w:hint="eastAsia" w:cs="Times New Roman"/>
                <w:b w:val="0"/>
                <w:bCs w:val="0"/>
                <w:color w:val="auto"/>
                <w:kern w:val="0"/>
                <w:sz w:val="24"/>
                <w:highlight w:val="none"/>
                <w:vertAlign w:val="baseline"/>
                <w:lang w:val="en-US" w:eastAsia="zh-CN" w:bidi="ar"/>
              </w:rPr>
              <w:t>8</w:t>
            </w:r>
            <w:r>
              <w:rPr>
                <w:rFonts w:hint="eastAsia" w:ascii="Times New Roman" w:hAnsi="Times New Roman" w:eastAsia="宋体" w:cs="Times New Roman"/>
                <w:b w:val="0"/>
                <w:bCs w:val="0"/>
                <w:color w:val="auto"/>
                <w:kern w:val="0"/>
                <w:sz w:val="24"/>
                <w:highlight w:val="none"/>
                <w:vertAlign w:val="baseline"/>
                <w:lang w:val="en-US" w:eastAsia="zh-CN" w:bidi="ar"/>
              </w:rPr>
              <w:t>mg/m</w:t>
            </w:r>
            <w:r>
              <w:rPr>
                <w:rFonts w:hint="eastAsia" w:ascii="Times New Roman" w:hAnsi="Times New Roman" w:eastAsia="宋体" w:cs="Times New Roman"/>
                <w:b w:val="0"/>
                <w:bCs w:val="0"/>
                <w:color w:val="auto"/>
                <w:kern w:val="0"/>
                <w:sz w:val="24"/>
                <w:highlight w:val="none"/>
                <w:vertAlign w:val="superscript"/>
                <w:lang w:val="en-US" w:eastAsia="zh-CN" w:bidi="ar"/>
              </w:rPr>
              <w:t>3</w:t>
            </w:r>
            <w:r>
              <w:rPr>
                <w:rFonts w:hint="eastAsia" w:ascii="Times New Roman" w:hAnsi="Times New Roman" w:eastAsia="宋体" w:cs="Times New Roman"/>
                <w:b w:val="0"/>
                <w:bCs w:val="0"/>
                <w:color w:val="auto"/>
                <w:kern w:val="0"/>
                <w:sz w:val="24"/>
                <w:highlight w:val="none"/>
                <w:vertAlign w:val="baseline"/>
                <w:lang w:val="en-US" w:eastAsia="zh-CN" w:bidi="ar"/>
              </w:rPr>
              <w:t>计，则</w:t>
            </w:r>
            <w:r>
              <w:rPr>
                <w:rFonts w:hint="eastAsia" w:ascii="Times New Roman" w:hAnsi="Times New Roman" w:cs="Times New Roman"/>
                <w:b w:val="0"/>
                <w:bCs w:val="0"/>
                <w:color w:val="auto"/>
                <w:kern w:val="0"/>
                <w:sz w:val="24"/>
                <w:highlight w:val="none"/>
                <w:vertAlign w:val="baseline"/>
                <w:lang w:val="en-US" w:eastAsia="zh-CN" w:bidi="ar"/>
              </w:rPr>
              <w:t>玻璃微珠烧制炉</w:t>
            </w:r>
            <w:r>
              <w:rPr>
                <w:rFonts w:hint="eastAsia" w:ascii="Times New Roman" w:hAnsi="Times New Roman" w:eastAsia="宋体" w:cs="Times New Roman"/>
                <w:b w:val="0"/>
                <w:bCs w:val="0"/>
                <w:color w:val="auto"/>
                <w:kern w:val="0"/>
                <w:sz w:val="24"/>
                <w:highlight w:val="none"/>
                <w:vertAlign w:val="baseline"/>
                <w:lang w:val="en-US" w:eastAsia="zh-CN" w:bidi="ar"/>
              </w:rPr>
              <w:t>废气中氨排放量为</w:t>
            </w:r>
            <w:r>
              <w:rPr>
                <w:rFonts w:hint="eastAsia" w:cs="Times New Roman"/>
                <w:b w:val="0"/>
                <w:bCs w:val="0"/>
                <w:color w:val="auto"/>
                <w:kern w:val="0"/>
                <w:sz w:val="24"/>
                <w:highlight w:val="none"/>
                <w:vertAlign w:val="baseline"/>
                <w:lang w:val="en-US" w:eastAsia="zh-CN" w:bidi="ar"/>
              </w:rPr>
              <w:t>0.292</w:t>
            </w:r>
            <w:r>
              <w:rPr>
                <w:rFonts w:hint="eastAsia" w:ascii="Times New Roman" w:hAnsi="Times New Roman" w:eastAsia="宋体" w:cs="Times New Roman"/>
                <w:b w:val="0"/>
                <w:bCs w:val="0"/>
                <w:color w:val="auto"/>
                <w:kern w:val="0"/>
                <w:sz w:val="24"/>
                <w:highlight w:val="none"/>
                <w:vertAlign w:val="baseline"/>
                <w:lang w:val="en-US" w:eastAsia="zh-CN" w:bidi="ar"/>
              </w:rPr>
              <w:t>t/a。</w:t>
            </w:r>
            <w:r>
              <w:rPr>
                <w:rFonts w:hint="eastAsia" w:cs="Times New Roman"/>
                <w:color w:val="auto"/>
                <w:sz w:val="24"/>
                <w:highlight w:val="none"/>
                <w:lang w:eastAsia="zh-CN"/>
              </w:rPr>
              <w:t>（</w:t>
            </w:r>
            <w:r>
              <w:rPr>
                <w:rFonts w:hint="eastAsia" w:cs="Times New Roman"/>
                <w:color w:val="auto"/>
                <w:sz w:val="24"/>
                <w:highlight w:val="none"/>
                <w:lang w:val="en-US" w:eastAsia="zh-CN"/>
              </w:rPr>
              <w:t>按基准含氧量为8%，折算</w:t>
            </w:r>
            <w:r>
              <w:rPr>
                <w:rFonts w:hint="default" w:ascii="Times New Roman" w:hAnsi="Times New Roman" w:eastAsia="宋体" w:cs="Times New Roman"/>
                <w:bCs/>
                <w:color w:val="auto"/>
                <w:spacing w:val="4"/>
                <w:sz w:val="24"/>
                <w:highlight w:val="none"/>
              </w:rPr>
              <w:t>排放浓度为</w:t>
            </w:r>
            <w:r>
              <w:rPr>
                <w:rFonts w:hint="eastAsia" w:cs="Times New Roman"/>
                <w:color w:val="auto"/>
                <w:sz w:val="24"/>
                <w:highlight w:val="none"/>
                <w:lang w:val="en-US" w:eastAsia="zh-CN"/>
              </w:rPr>
              <w:t>7.88</w:t>
            </w:r>
            <w:r>
              <w:rPr>
                <w:rFonts w:hint="default" w:ascii="Times New Roman" w:hAnsi="Times New Roman" w:eastAsia="宋体" w:cs="Times New Roman"/>
                <w:color w:val="auto"/>
                <w:sz w:val="24"/>
                <w:highlight w:val="none"/>
              </w:rPr>
              <w:t>mg/m</w:t>
            </w:r>
            <w:r>
              <w:rPr>
                <w:rFonts w:hint="default" w:ascii="Times New Roman" w:hAnsi="Times New Roman" w:eastAsia="宋体" w:cs="Times New Roman"/>
                <w:color w:val="auto"/>
                <w:sz w:val="24"/>
                <w:highlight w:val="none"/>
                <w:vertAlign w:val="superscript"/>
              </w:rPr>
              <w:t>3</w:t>
            </w:r>
            <w:r>
              <w:rPr>
                <w:rFonts w:hint="eastAsia" w:cs="Times New Roman"/>
                <w:color w:val="auto"/>
                <w:sz w:val="24"/>
                <w:highlight w:val="none"/>
                <w:lang w:eastAsia="zh-CN"/>
              </w:rPr>
              <w:t>）。</w:t>
            </w:r>
            <w:r>
              <w:rPr>
                <w:rFonts w:hint="eastAsia" w:cs="Times New Roman"/>
                <w:color w:val="auto"/>
                <w:sz w:val="24"/>
                <w:highlight w:val="none"/>
                <w:lang w:val="en-US" w:eastAsia="zh-CN"/>
              </w:rPr>
              <w:t>满足</w:t>
            </w:r>
            <w:r>
              <w:rPr>
                <w:rFonts w:hint="default" w:ascii="Times New Roman" w:hAnsi="Times New Roman" w:eastAsia="宋体" w:cs="Times New Roman"/>
                <w:bCs/>
                <w:color w:val="auto"/>
                <w:sz w:val="24"/>
                <w:highlight w:val="none"/>
                <w:lang w:eastAsia="zh-CN"/>
              </w:rPr>
              <w:t>《玻璃工业大气污染物排放标准》（</w:t>
            </w:r>
            <w:r>
              <w:rPr>
                <w:rFonts w:hint="default" w:ascii="Times New Roman" w:hAnsi="Times New Roman" w:eastAsia="宋体" w:cs="Times New Roman"/>
                <w:bCs/>
                <w:color w:val="auto"/>
                <w:sz w:val="24"/>
                <w:highlight w:val="none"/>
                <w:lang w:val="en-US" w:eastAsia="zh-CN"/>
              </w:rPr>
              <w:t>GB26453-2022</w:t>
            </w:r>
            <w:r>
              <w:rPr>
                <w:rFonts w:hint="default" w:ascii="Times New Roman" w:hAnsi="Times New Roman" w:eastAsia="宋体" w:cs="Times New Roman"/>
                <w:bCs/>
                <w:color w:val="auto"/>
                <w:sz w:val="24"/>
                <w:highlight w:val="none"/>
                <w:lang w:eastAsia="zh-CN"/>
              </w:rPr>
              <w:t>）表</w:t>
            </w:r>
            <w:r>
              <w:rPr>
                <w:rFonts w:hint="default" w:ascii="Times New Roman" w:hAnsi="Times New Roman" w:eastAsia="宋体" w:cs="Times New Roman"/>
                <w:bCs/>
                <w:color w:val="auto"/>
                <w:sz w:val="24"/>
                <w:highlight w:val="none"/>
                <w:lang w:val="en-US" w:eastAsia="zh-CN"/>
              </w:rPr>
              <w:t>1</w:t>
            </w:r>
            <w:r>
              <w:rPr>
                <w:rFonts w:hint="default" w:ascii="Times New Roman" w:hAnsi="Times New Roman" w:eastAsia="宋体" w:cs="Times New Roman"/>
                <w:bCs/>
                <w:color w:val="auto"/>
                <w:sz w:val="24"/>
                <w:highlight w:val="none"/>
                <w:lang w:eastAsia="zh-CN"/>
              </w:rPr>
              <w:t>标准限值要求</w:t>
            </w:r>
            <w:r>
              <w:rPr>
                <w:rFonts w:hint="eastAsia" w:cs="Times New Roman"/>
                <w:bCs/>
                <w:color w:val="auto"/>
                <w:sz w:val="24"/>
                <w:highlight w:val="none"/>
                <w:lang w:eastAsia="zh-CN"/>
              </w:rPr>
              <w:t>。</w:t>
            </w:r>
          </w:p>
          <w:p w14:paraId="2BBB1753">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本项目</w:t>
            </w:r>
            <w:r>
              <w:rPr>
                <w:rFonts w:hint="eastAsia" w:ascii="Times New Roman" w:hAnsi="Times New Roman" w:eastAsia="宋体" w:cs="Times New Roman"/>
                <w:color w:val="auto"/>
                <w:highlight w:val="none"/>
                <w:vertAlign w:val="baseline"/>
                <w:lang w:val="en-US" w:eastAsia="zh-CN"/>
              </w:rPr>
              <w:t>玻璃微珠烧制炉煅烧废气</w:t>
            </w:r>
            <w:r>
              <w:rPr>
                <w:rFonts w:hint="eastAsia" w:ascii="Times New Roman" w:hAnsi="Times New Roman" w:cs="Times New Roman"/>
                <w:color w:val="auto"/>
                <w:sz w:val="24"/>
              </w:rPr>
              <w:t>经</w:t>
            </w:r>
            <w:r>
              <w:rPr>
                <w:rFonts w:hint="eastAsia" w:ascii="Times New Roman" w:hAnsi="Times New Roman" w:cs="Times New Roman"/>
                <w:color w:val="auto"/>
                <w:sz w:val="24"/>
                <w:lang w:eastAsia="zh-CN"/>
              </w:rPr>
              <w:t>SCR脱硝+袋式除尘器</w:t>
            </w:r>
            <w:r>
              <w:rPr>
                <w:rFonts w:hint="eastAsia" w:ascii="Times New Roman" w:hAnsi="Times New Roman" w:cs="Times New Roman"/>
                <w:color w:val="auto"/>
                <w:sz w:val="24"/>
              </w:rPr>
              <w:t>处理后</w:t>
            </w:r>
            <w:r>
              <w:rPr>
                <w:rFonts w:hint="eastAsia" w:ascii="Times New Roman" w:hAnsi="Times New Roman" w:cs="Times New Roman"/>
                <w:color w:val="auto"/>
                <w:sz w:val="24"/>
                <w:lang w:val="en-US" w:eastAsia="zh-CN"/>
              </w:rPr>
              <w:t>通</w:t>
            </w:r>
            <w:r>
              <w:rPr>
                <w:rFonts w:hint="eastAsia" w:ascii="Times New Roman" w:hAnsi="Times New Roman" w:eastAsia="宋体" w:cs="Times New Roman"/>
                <w:color w:val="auto"/>
                <w:highlight w:val="none"/>
                <w:vertAlign w:val="baseline"/>
                <w:lang w:val="en-US" w:eastAsia="zh-CN"/>
              </w:rPr>
              <w:t>过1根15m高排气筒排放，则玻璃微珠烧制炉污染物排放情况详见下</w:t>
            </w:r>
            <w:r>
              <w:rPr>
                <w:rFonts w:hint="eastAsia" w:ascii="Times New Roman" w:hAnsi="Times New Roman" w:cs="Times New Roman"/>
                <w:color w:val="auto"/>
                <w:highlight w:val="none"/>
                <w:vertAlign w:val="baseline"/>
                <w:lang w:val="en-US" w:eastAsia="zh-CN"/>
              </w:rPr>
              <w:t>表。</w:t>
            </w:r>
          </w:p>
          <w:p w14:paraId="0E8A31C0">
            <w:pPr>
              <w:pStyle w:val="6"/>
              <w:numPr>
                <w:ilvl w:val="0"/>
                <w:numId w:val="0"/>
              </w:numPr>
              <w:adjustRightInd w:val="0"/>
              <w:snapToGrid w:val="0"/>
              <w:spacing w:line="460" w:lineRule="exact"/>
              <w:ind w:firstLine="482" w:firstLineChars="200"/>
              <w:jc w:val="center"/>
              <w:rPr>
                <w:rFonts w:hint="default" w:ascii="Times New Roman" w:hAnsi="Times New Roman" w:cs="Times New Roman"/>
                <w:b/>
                <w:bCs/>
                <w:color w:val="auto"/>
                <w:sz w:val="21"/>
                <w:szCs w:val="21"/>
                <w:highlight w:val="none"/>
                <w:lang w:val="en-US" w:eastAsia="zh-CN"/>
              </w:rPr>
            </w:pPr>
            <w:r>
              <w:rPr>
                <w:rFonts w:hint="eastAsia" w:ascii="宋体" w:hAnsi="宋体" w:eastAsia="宋体" w:cs="宋体"/>
                <w:b/>
                <w:bCs/>
                <w:color w:val="auto"/>
                <w:sz w:val="24"/>
                <w:szCs w:val="24"/>
                <w:highlight w:val="none"/>
              </w:rPr>
              <w:t xml:space="preserve">表 </w:t>
            </w:r>
            <w:r>
              <w:rPr>
                <w:rFonts w:hint="eastAsia" w:ascii="宋体" w:hAnsi="宋体" w:eastAsia="宋体" w:cs="宋体"/>
                <w:b/>
                <w:bCs/>
                <w:color w:val="auto"/>
                <w:sz w:val="24"/>
                <w:szCs w:val="24"/>
                <w:highlight w:val="none"/>
                <w:lang w:val="en-US" w:eastAsia="zh-CN"/>
              </w:rPr>
              <w:t>4-2玻璃微珠烧制炉污染物排放情况一览表</w:t>
            </w:r>
          </w:p>
          <w:tbl>
            <w:tblPr>
              <w:tblStyle w:val="24"/>
              <w:tblW w:w="4996"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673"/>
              <w:gridCol w:w="1193"/>
              <w:gridCol w:w="1079"/>
              <w:gridCol w:w="1193"/>
              <w:gridCol w:w="1193"/>
              <w:gridCol w:w="1088"/>
            </w:tblGrid>
            <w:tr w14:paraId="16C3E3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4" w:type="pct"/>
                  <w:tcBorders>
                    <w:tl2br w:val="nil"/>
                    <w:tr2bl w:val="nil"/>
                  </w:tcBorders>
                  <w:noWrap w:val="0"/>
                  <w:vAlign w:val="center"/>
                </w:tcPr>
                <w:p w14:paraId="00F15A80">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序号</w:t>
                  </w:r>
                </w:p>
              </w:tc>
              <w:tc>
                <w:tcPr>
                  <w:tcW w:w="1059" w:type="pct"/>
                  <w:tcBorders>
                    <w:tl2br w:val="nil"/>
                    <w:tr2bl w:val="nil"/>
                  </w:tcBorders>
                  <w:noWrap w:val="0"/>
                  <w:vAlign w:val="center"/>
                </w:tcPr>
                <w:p w14:paraId="6C65D827">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排放口名称</w:t>
                  </w:r>
                </w:p>
              </w:tc>
              <w:tc>
                <w:tcPr>
                  <w:tcW w:w="755" w:type="pct"/>
                  <w:tcBorders>
                    <w:tl2br w:val="nil"/>
                    <w:tr2bl w:val="nil"/>
                  </w:tcBorders>
                  <w:noWrap w:val="0"/>
                  <w:vAlign w:val="center"/>
                </w:tcPr>
                <w:p w14:paraId="7C3CEE08">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标干</w:t>
                  </w:r>
                  <w:r>
                    <w:rPr>
                      <w:rFonts w:hint="eastAsia" w:ascii="Times New Roman" w:hAnsi="Times New Roman" w:eastAsia="宋体" w:cs="Times New Roman"/>
                      <w:color w:val="auto"/>
                      <w:szCs w:val="21"/>
                      <w:highlight w:val="none"/>
                      <w:lang w:val="en-US" w:eastAsia="zh-CN"/>
                    </w:rPr>
                    <w:t>烟气量（mg/m</w:t>
                  </w:r>
                  <w:r>
                    <w:rPr>
                      <w:rFonts w:hint="eastAsia" w:ascii="Times New Roman" w:hAnsi="Times New Roman" w:eastAsia="宋体" w:cs="Times New Roman"/>
                      <w:color w:val="auto"/>
                      <w:szCs w:val="21"/>
                      <w:highlight w:val="none"/>
                      <w:vertAlign w:val="superscript"/>
                      <w:lang w:val="en-US" w:eastAsia="zh-CN"/>
                    </w:rPr>
                    <w:t>3</w:t>
                  </w:r>
                  <w:r>
                    <w:rPr>
                      <w:rFonts w:hint="eastAsia" w:ascii="Times New Roman" w:hAnsi="Times New Roman" w:eastAsia="宋体" w:cs="Times New Roman"/>
                      <w:color w:val="auto"/>
                      <w:szCs w:val="21"/>
                      <w:highlight w:val="none"/>
                      <w:lang w:val="en-US" w:eastAsia="zh-CN"/>
                    </w:rPr>
                    <w:t>）</w:t>
                  </w:r>
                </w:p>
              </w:tc>
              <w:tc>
                <w:tcPr>
                  <w:tcW w:w="683" w:type="pct"/>
                  <w:tcBorders>
                    <w:tl2br w:val="nil"/>
                    <w:tr2bl w:val="nil"/>
                  </w:tcBorders>
                  <w:noWrap w:val="0"/>
                  <w:vAlign w:val="center"/>
                </w:tcPr>
                <w:p w14:paraId="4B26D205">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污染物种类</w:t>
                  </w:r>
                </w:p>
              </w:tc>
              <w:tc>
                <w:tcPr>
                  <w:tcW w:w="755" w:type="pct"/>
                  <w:tcBorders>
                    <w:tl2br w:val="nil"/>
                    <w:tr2bl w:val="nil"/>
                  </w:tcBorders>
                  <w:noWrap w:val="0"/>
                  <w:vAlign w:val="center"/>
                </w:tcPr>
                <w:p w14:paraId="3EF9854C">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折算</w:t>
                  </w:r>
                  <w:r>
                    <w:rPr>
                      <w:rFonts w:hint="eastAsia" w:ascii="Times New Roman" w:hAnsi="Times New Roman" w:eastAsia="宋体" w:cs="Times New Roman"/>
                      <w:color w:val="auto"/>
                      <w:szCs w:val="21"/>
                      <w:highlight w:val="none"/>
                      <w:lang w:val="en-US" w:eastAsia="zh-CN"/>
                    </w:rPr>
                    <w:t>排放浓度（mg/m</w:t>
                  </w:r>
                  <w:r>
                    <w:rPr>
                      <w:rFonts w:hint="eastAsia" w:ascii="Times New Roman" w:hAnsi="Times New Roman" w:eastAsia="宋体" w:cs="Times New Roman"/>
                      <w:color w:val="auto"/>
                      <w:szCs w:val="21"/>
                      <w:highlight w:val="none"/>
                      <w:vertAlign w:val="superscript"/>
                      <w:lang w:val="en-US" w:eastAsia="zh-CN"/>
                    </w:rPr>
                    <w:t>3</w:t>
                  </w:r>
                  <w:r>
                    <w:rPr>
                      <w:rFonts w:hint="eastAsia" w:ascii="Times New Roman" w:hAnsi="Times New Roman" w:eastAsia="宋体" w:cs="Times New Roman"/>
                      <w:color w:val="auto"/>
                      <w:szCs w:val="21"/>
                      <w:highlight w:val="none"/>
                      <w:lang w:val="en-US" w:eastAsia="zh-CN"/>
                    </w:rPr>
                    <w:t>）</w:t>
                  </w:r>
                </w:p>
              </w:tc>
              <w:tc>
                <w:tcPr>
                  <w:tcW w:w="755" w:type="pct"/>
                  <w:tcBorders>
                    <w:tl2br w:val="nil"/>
                    <w:tr2bl w:val="nil"/>
                  </w:tcBorders>
                  <w:noWrap w:val="0"/>
                  <w:vAlign w:val="center"/>
                </w:tcPr>
                <w:p w14:paraId="7D7473FE">
                  <w:pPr>
                    <w:keepNext w:val="0"/>
                    <w:keepLines w:val="0"/>
                    <w:suppressLineNumbers w:val="0"/>
                    <w:adjustRightInd w:val="0"/>
                    <w:snapToGrid w:val="0"/>
                    <w:spacing w:before="0" w:beforeAutospacing="0" w:after="0" w:afterAutospacing="0" w:line="320" w:lineRule="exact"/>
                    <w:ind w:left="0" w:right="0"/>
                    <w:jc w:val="center"/>
                    <w:rPr>
                      <w:rFonts w:hint="default"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排放浓度（mg/m</w:t>
                  </w:r>
                  <w:r>
                    <w:rPr>
                      <w:rFonts w:hint="eastAsia" w:ascii="Times New Roman" w:hAnsi="Times New Roman" w:eastAsia="宋体" w:cs="Times New Roman"/>
                      <w:color w:val="auto"/>
                      <w:szCs w:val="21"/>
                      <w:highlight w:val="none"/>
                      <w:vertAlign w:val="superscript"/>
                      <w:lang w:val="en-US" w:eastAsia="zh-CN"/>
                    </w:rPr>
                    <w:t>3</w:t>
                  </w:r>
                  <w:r>
                    <w:rPr>
                      <w:rFonts w:hint="eastAsia" w:ascii="Times New Roman" w:hAnsi="Times New Roman" w:eastAsia="宋体" w:cs="Times New Roman"/>
                      <w:color w:val="auto"/>
                      <w:szCs w:val="21"/>
                      <w:highlight w:val="none"/>
                      <w:lang w:val="en-US" w:eastAsia="zh-CN"/>
                    </w:rPr>
                    <w:t>）</w:t>
                  </w:r>
                </w:p>
              </w:tc>
              <w:tc>
                <w:tcPr>
                  <w:tcW w:w="683" w:type="pct"/>
                  <w:tcBorders>
                    <w:tl2br w:val="nil"/>
                    <w:tr2bl w:val="nil"/>
                  </w:tcBorders>
                  <w:noWrap w:val="0"/>
                  <w:vAlign w:val="center"/>
                </w:tcPr>
                <w:p w14:paraId="0C612731">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排放量（t/a）</w:t>
                  </w:r>
                </w:p>
              </w:tc>
            </w:tr>
            <w:tr w14:paraId="5AEB4D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04" w:type="pct"/>
                  <w:vMerge w:val="restart"/>
                  <w:tcBorders>
                    <w:tl2br w:val="nil"/>
                    <w:tr2bl w:val="nil"/>
                  </w:tcBorders>
                  <w:noWrap w:val="0"/>
                  <w:vAlign w:val="center"/>
                </w:tcPr>
                <w:p w14:paraId="1AE90282">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c>
                <w:tcPr>
                  <w:tcW w:w="1059" w:type="pct"/>
                  <w:vMerge w:val="restart"/>
                  <w:tcBorders>
                    <w:tl2br w:val="nil"/>
                    <w:tr2bl w:val="nil"/>
                  </w:tcBorders>
                  <w:noWrap w:val="0"/>
                  <w:vAlign w:val="center"/>
                </w:tcPr>
                <w:p w14:paraId="67A05EF5">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玻璃微珠烧制炉排气筒（DA001）</w:t>
                  </w:r>
                </w:p>
              </w:tc>
              <w:tc>
                <w:tcPr>
                  <w:tcW w:w="755" w:type="pct"/>
                  <w:vMerge w:val="restart"/>
                  <w:tcBorders>
                    <w:tl2br w:val="nil"/>
                    <w:tr2bl w:val="nil"/>
                  </w:tcBorders>
                  <w:noWrap w:val="0"/>
                  <w:vAlign w:val="center"/>
                </w:tcPr>
                <w:p w14:paraId="377F6124">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13822.416</w:t>
                  </w:r>
                </w:p>
              </w:tc>
              <w:tc>
                <w:tcPr>
                  <w:tcW w:w="683" w:type="pct"/>
                  <w:tcBorders>
                    <w:tl2br w:val="nil"/>
                    <w:tr2bl w:val="nil"/>
                  </w:tcBorders>
                  <w:noWrap w:val="0"/>
                  <w:vAlign w:val="center"/>
                </w:tcPr>
                <w:p w14:paraId="5CB975EC">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颗粒物</w:t>
                  </w:r>
                </w:p>
              </w:tc>
              <w:tc>
                <w:tcPr>
                  <w:tcW w:w="755" w:type="pct"/>
                  <w:tcBorders>
                    <w:tl2br w:val="nil"/>
                    <w:tr2bl w:val="nil"/>
                  </w:tcBorders>
                  <w:noWrap w:val="0"/>
                  <w:vAlign w:val="center"/>
                </w:tcPr>
                <w:p w14:paraId="63FAADEA">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9.85</w:t>
                  </w:r>
                </w:p>
              </w:tc>
              <w:tc>
                <w:tcPr>
                  <w:tcW w:w="755" w:type="pct"/>
                  <w:tcBorders>
                    <w:tl2br w:val="nil"/>
                    <w:tr2bl w:val="nil"/>
                  </w:tcBorders>
                  <w:noWrap w:val="0"/>
                  <w:vAlign w:val="center"/>
                </w:tcPr>
                <w:p w14:paraId="6D1B3C91">
                  <w:pPr>
                    <w:keepNext w:val="0"/>
                    <w:keepLines w:val="0"/>
                    <w:suppressLineNumbers w:val="0"/>
                    <w:adjustRightInd w:val="0"/>
                    <w:snapToGrid w:val="0"/>
                    <w:spacing w:before="0" w:beforeAutospacing="0" w:after="0" w:afterAutospacing="0" w:line="320" w:lineRule="exact"/>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10</w:t>
                  </w:r>
                </w:p>
              </w:tc>
              <w:tc>
                <w:tcPr>
                  <w:tcW w:w="683" w:type="pct"/>
                  <w:tcBorders>
                    <w:tl2br w:val="nil"/>
                    <w:tr2bl w:val="nil"/>
                  </w:tcBorders>
                  <w:noWrap w:val="0"/>
                  <w:vAlign w:val="center"/>
                </w:tcPr>
                <w:p w14:paraId="01A1FC3C">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0.365</w:t>
                  </w:r>
                </w:p>
              </w:tc>
            </w:tr>
            <w:tr w14:paraId="70BA30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4" w:type="pct"/>
                  <w:vMerge w:val="continue"/>
                  <w:tcBorders>
                    <w:tl2br w:val="nil"/>
                    <w:tr2bl w:val="nil"/>
                  </w:tcBorders>
                  <w:noWrap w:val="0"/>
                  <w:vAlign w:val="center"/>
                </w:tcPr>
                <w:p w14:paraId="02DE756E">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p>
              </w:tc>
              <w:tc>
                <w:tcPr>
                  <w:tcW w:w="1059" w:type="pct"/>
                  <w:vMerge w:val="continue"/>
                  <w:tcBorders>
                    <w:tl2br w:val="nil"/>
                    <w:tr2bl w:val="nil"/>
                  </w:tcBorders>
                  <w:noWrap w:val="0"/>
                  <w:vAlign w:val="center"/>
                </w:tcPr>
                <w:p w14:paraId="4DD093FA">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p>
              </w:tc>
              <w:tc>
                <w:tcPr>
                  <w:tcW w:w="755" w:type="pct"/>
                  <w:vMerge w:val="continue"/>
                  <w:tcBorders>
                    <w:tl2br w:val="nil"/>
                    <w:tr2bl w:val="nil"/>
                  </w:tcBorders>
                  <w:noWrap w:val="0"/>
                  <w:vAlign w:val="center"/>
                </w:tcPr>
                <w:p w14:paraId="20088F78">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p>
              </w:tc>
              <w:tc>
                <w:tcPr>
                  <w:tcW w:w="683" w:type="pct"/>
                  <w:tcBorders>
                    <w:tl2br w:val="nil"/>
                    <w:tr2bl w:val="nil"/>
                  </w:tcBorders>
                  <w:noWrap w:val="0"/>
                  <w:vAlign w:val="center"/>
                </w:tcPr>
                <w:p w14:paraId="147F1E82">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二氧化硫</w:t>
                  </w:r>
                </w:p>
              </w:tc>
              <w:tc>
                <w:tcPr>
                  <w:tcW w:w="755" w:type="pct"/>
                  <w:tcBorders>
                    <w:tl2br w:val="nil"/>
                    <w:tr2bl w:val="nil"/>
                  </w:tcBorders>
                  <w:noWrap w:val="0"/>
                  <w:vAlign w:val="center"/>
                </w:tcPr>
                <w:p w14:paraId="05DA8489">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1.478</w:t>
                  </w:r>
                </w:p>
              </w:tc>
              <w:tc>
                <w:tcPr>
                  <w:tcW w:w="755" w:type="pct"/>
                  <w:tcBorders>
                    <w:tl2br w:val="nil"/>
                    <w:tr2bl w:val="nil"/>
                  </w:tcBorders>
                  <w:noWrap w:val="0"/>
                  <w:vAlign w:val="center"/>
                </w:tcPr>
                <w:p w14:paraId="3978A2CC">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c>
                <w:tcPr>
                  <w:tcW w:w="683" w:type="pct"/>
                  <w:tcBorders>
                    <w:tl2br w:val="nil"/>
                    <w:tr2bl w:val="nil"/>
                  </w:tcBorders>
                  <w:noWrap w:val="0"/>
                  <w:vAlign w:val="center"/>
                </w:tcPr>
                <w:p w14:paraId="5E6D03B7">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0.057</w:t>
                  </w:r>
                </w:p>
              </w:tc>
            </w:tr>
            <w:tr w14:paraId="5E74A9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4" w:type="pct"/>
                  <w:vMerge w:val="continue"/>
                  <w:tcBorders>
                    <w:tl2br w:val="nil"/>
                    <w:tr2bl w:val="nil"/>
                  </w:tcBorders>
                  <w:noWrap w:val="0"/>
                  <w:vAlign w:val="center"/>
                </w:tcPr>
                <w:p w14:paraId="650B5A14">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p>
              </w:tc>
              <w:tc>
                <w:tcPr>
                  <w:tcW w:w="1059" w:type="pct"/>
                  <w:vMerge w:val="continue"/>
                  <w:tcBorders>
                    <w:tl2br w:val="nil"/>
                    <w:tr2bl w:val="nil"/>
                  </w:tcBorders>
                  <w:noWrap w:val="0"/>
                  <w:vAlign w:val="center"/>
                </w:tcPr>
                <w:p w14:paraId="737B006E">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p>
              </w:tc>
              <w:tc>
                <w:tcPr>
                  <w:tcW w:w="755" w:type="pct"/>
                  <w:vMerge w:val="continue"/>
                  <w:tcBorders>
                    <w:tl2br w:val="nil"/>
                    <w:tr2bl w:val="nil"/>
                  </w:tcBorders>
                  <w:noWrap w:val="0"/>
                  <w:vAlign w:val="center"/>
                </w:tcPr>
                <w:p w14:paraId="104AF246">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p>
              </w:tc>
              <w:tc>
                <w:tcPr>
                  <w:tcW w:w="683" w:type="pct"/>
                  <w:tcBorders>
                    <w:tl2br w:val="nil"/>
                    <w:tr2bl w:val="nil"/>
                  </w:tcBorders>
                  <w:noWrap w:val="0"/>
                  <w:vAlign w:val="center"/>
                </w:tcPr>
                <w:p w14:paraId="5C32B996">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氮氧化物</w:t>
                  </w:r>
                </w:p>
              </w:tc>
              <w:tc>
                <w:tcPr>
                  <w:tcW w:w="755" w:type="pct"/>
                  <w:tcBorders>
                    <w:tl2br w:val="nil"/>
                    <w:tr2bl w:val="nil"/>
                  </w:tcBorders>
                  <w:noWrap w:val="0"/>
                  <w:vAlign w:val="center"/>
                </w:tcPr>
                <w:p w14:paraId="2781262B">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71.53</w:t>
                  </w:r>
                </w:p>
              </w:tc>
              <w:tc>
                <w:tcPr>
                  <w:tcW w:w="755" w:type="pct"/>
                  <w:tcBorders>
                    <w:tl2br w:val="nil"/>
                    <w:tr2bl w:val="nil"/>
                  </w:tcBorders>
                  <w:noWrap w:val="0"/>
                  <w:vAlign w:val="center"/>
                </w:tcPr>
                <w:p w14:paraId="2027FD59">
                  <w:pPr>
                    <w:keepNext w:val="0"/>
                    <w:keepLines w:val="0"/>
                    <w:suppressLineNumbers w:val="0"/>
                    <w:adjustRightInd w:val="0"/>
                    <w:snapToGrid w:val="0"/>
                    <w:spacing w:before="0" w:beforeAutospacing="0" w:after="0" w:afterAutospacing="0" w:line="320" w:lineRule="exact"/>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72.62</w:t>
                  </w:r>
                </w:p>
              </w:tc>
              <w:tc>
                <w:tcPr>
                  <w:tcW w:w="683" w:type="pct"/>
                  <w:tcBorders>
                    <w:tl2br w:val="nil"/>
                    <w:tr2bl w:val="nil"/>
                  </w:tcBorders>
                  <w:noWrap w:val="0"/>
                  <w:vAlign w:val="center"/>
                </w:tcPr>
                <w:p w14:paraId="6F4C936A">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2.65</w:t>
                  </w:r>
                </w:p>
              </w:tc>
            </w:tr>
            <w:tr w14:paraId="48F891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4" w:type="pct"/>
                  <w:vMerge w:val="continue"/>
                  <w:tcBorders>
                    <w:tl2br w:val="nil"/>
                    <w:tr2bl w:val="nil"/>
                  </w:tcBorders>
                  <w:noWrap w:val="0"/>
                  <w:vAlign w:val="center"/>
                </w:tcPr>
                <w:p w14:paraId="4D4AD9BA">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p>
              </w:tc>
              <w:tc>
                <w:tcPr>
                  <w:tcW w:w="1059" w:type="pct"/>
                  <w:vMerge w:val="continue"/>
                  <w:tcBorders>
                    <w:tl2br w:val="nil"/>
                    <w:tr2bl w:val="nil"/>
                  </w:tcBorders>
                  <w:noWrap w:val="0"/>
                  <w:vAlign w:val="center"/>
                </w:tcPr>
                <w:p w14:paraId="38BCFE24">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p>
              </w:tc>
              <w:tc>
                <w:tcPr>
                  <w:tcW w:w="755" w:type="pct"/>
                  <w:vMerge w:val="continue"/>
                  <w:tcBorders>
                    <w:tl2br w:val="nil"/>
                    <w:tr2bl w:val="nil"/>
                  </w:tcBorders>
                  <w:noWrap w:val="0"/>
                  <w:vAlign w:val="center"/>
                </w:tcPr>
                <w:p w14:paraId="642F2105">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p>
              </w:tc>
              <w:tc>
                <w:tcPr>
                  <w:tcW w:w="683" w:type="pct"/>
                  <w:tcBorders>
                    <w:tl2br w:val="nil"/>
                    <w:tr2bl w:val="nil"/>
                  </w:tcBorders>
                  <w:noWrap w:val="0"/>
                  <w:vAlign w:val="center"/>
                </w:tcPr>
                <w:p w14:paraId="094EA67A">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氨</w:t>
                  </w:r>
                </w:p>
              </w:tc>
              <w:tc>
                <w:tcPr>
                  <w:tcW w:w="755" w:type="pct"/>
                  <w:tcBorders>
                    <w:tl2br w:val="nil"/>
                    <w:tr2bl w:val="nil"/>
                  </w:tcBorders>
                  <w:noWrap w:val="0"/>
                  <w:vAlign w:val="center"/>
                </w:tcPr>
                <w:p w14:paraId="3BED1B7B">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7.88</w:t>
                  </w:r>
                </w:p>
              </w:tc>
              <w:tc>
                <w:tcPr>
                  <w:tcW w:w="755" w:type="pct"/>
                  <w:tcBorders>
                    <w:tl2br w:val="nil"/>
                    <w:tr2bl w:val="nil"/>
                  </w:tcBorders>
                  <w:noWrap w:val="0"/>
                  <w:vAlign w:val="center"/>
                </w:tcPr>
                <w:p w14:paraId="4D84616A">
                  <w:pPr>
                    <w:keepNext w:val="0"/>
                    <w:keepLines w:val="0"/>
                    <w:suppressLineNumbers w:val="0"/>
                    <w:adjustRightInd w:val="0"/>
                    <w:snapToGrid w:val="0"/>
                    <w:spacing w:before="0" w:beforeAutospacing="0" w:after="0" w:afterAutospacing="0" w:line="320" w:lineRule="exact"/>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8</w:t>
                  </w:r>
                </w:p>
              </w:tc>
              <w:tc>
                <w:tcPr>
                  <w:tcW w:w="683" w:type="pct"/>
                  <w:tcBorders>
                    <w:tl2br w:val="nil"/>
                    <w:tr2bl w:val="nil"/>
                  </w:tcBorders>
                  <w:noWrap w:val="0"/>
                  <w:vAlign w:val="center"/>
                </w:tcPr>
                <w:p w14:paraId="067535A3">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0.292</w:t>
                  </w:r>
                </w:p>
              </w:tc>
            </w:tr>
            <w:tr w14:paraId="6D4042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7"/>
                  <w:tcBorders>
                    <w:tl2br w:val="nil"/>
                    <w:tr2bl w:val="nil"/>
                  </w:tcBorders>
                  <w:noWrap w:val="0"/>
                  <w:vAlign w:val="center"/>
                </w:tcPr>
                <w:p w14:paraId="4538E073">
                  <w:pPr>
                    <w:keepNext w:val="0"/>
                    <w:keepLines w:val="0"/>
                    <w:suppressLineNumbers w:val="0"/>
                    <w:adjustRightInd w:val="0"/>
                    <w:snapToGrid w:val="0"/>
                    <w:spacing w:before="0" w:beforeAutospacing="0" w:after="0" w:afterAutospacing="0" w:line="320" w:lineRule="exact"/>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备注：</w:t>
                  </w:r>
                  <w:r>
                    <w:rPr>
                      <w:rFonts w:hint="eastAsia"/>
                      <w:color w:val="auto"/>
                      <w:highlight w:val="none"/>
                    </w:rPr>
                    <w:t>依据《玻璃工业大气污染物排放标准》（GB 26453‑2022）第4.3条要求，非纯氧燃烧工况下，烟气污染物实测排放浓度应换算为基准含氧量8%条件下的基准排放浓度，以此作为达标判定依据</w:t>
                  </w:r>
                </w:p>
              </w:tc>
            </w:tr>
          </w:tbl>
          <w:p w14:paraId="04E75542">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cs="Times New Roman"/>
                <w:color w:val="auto"/>
                <w:szCs w:val="24"/>
                <w:highlight w:val="none"/>
                <w:lang w:val="en-US" w:eastAsia="zh-CN"/>
              </w:rPr>
            </w:pPr>
            <w:r>
              <w:rPr>
                <w:rFonts w:hint="eastAsia" w:ascii="Times New Roman" w:hAnsi="Times New Roman" w:cs="Times New Roman"/>
                <w:color w:val="auto"/>
                <w:kern w:val="0"/>
                <w:sz w:val="24"/>
                <w:szCs w:val="24"/>
                <w:highlight w:val="none"/>
                <w:lang w:val="en-US" w:eastAsia="zh-CN" w:bidi="ar-SA"/>
              </w:rPr>
              <w:t>（2）</w:t>
            </w:r>
            <w:r>
              <w:rPr>
                <w:rFonts w:hint="eastAsia" w:ascii="Times New Roman" w:hAnsi="Times New Roman" w:cs="Times New Roman"/>
                <w:color w:val="auto"/>
                <w:szCs w:val="24"/>
                <w:highlight w:val="none"/>
                <w:lang w:val="en-US" w:eastAsia="zh-CN"/>
              </w:rPr>
              <w:t>玻璃微珠生产线投料、筛分产生的粉尘</w:t>
            </w:r>
          </w:p>
          <w:p w14:paraId="3D702604">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color w:val="auto"/>
                <w:szCs w:val="24"/>
                <w:highlight w:val="none"/>
                <w:lang w:val="en-US" w:eastAsia="zh-CN"/>
              </w:rPr>
            </w:pPr>
            <w:r>
              <w:rPr>
                <w:rFonts w:hint="eastAsia" w:ascii="Times New Roman" w:hAnsi="Times New Roman" w:cs="Times New Roman"/>
                <w:color w:val="auto"/>
                <w:szCs w:val="24"/>
                <w:highlight w:val="none"/>
                <w:lang w:val="en-US" w:eastAsia="zh-CN"/>
              </w:rPr>
              <w:t>本项目原料采用吨包的方式进行储存，储存在全封闭</w:t>
            </w:r>
            <w:r>
              <w:rPr>
                <w:rFonts w:hint="eastAsia" w:cs="Times New Roman"/>
                <w:color w:val="auto"/>
                <w:szCs w:val="24"/>
                <w:highlight w:val="none"/>
                <w:lang w:val="en-US" w:eastAsia="zh-CN"/>
              </w:rPr>
              <w:t>原料库</w:t>
            </w:r>
            <w:r>
              <w:rPr>
                <w:rFonts w:hint="eastAsia" w:ascii="Times New Roman" w:hAnsi="Times New Roman" w:cs="Times New Roman"/>
                <w:color w:val="auto"/>
                <w:szCs w:val="24"/>
                <w:highlight w:val="none"/>
                <w:lang w:val="en-US" w:eastAsia="zh-CN"/>
              </w:rPr>
              <w:t>内，通过叉车转运至受料仓，在落料过程中会产生粉尘，粉尘参照《</w:t>
            </w:r>
            <w:r>
              <w:rPr>
                <w:rFonts w:hint="default" w:ascii="Times New Roman" w:hAnsi="Times New Roman" w:eastAsia="宋体" w:cs="Times New Roman"/>
                <w:bCs/>
                <w:color w:val="auto"/>
                <w:kern w:val="0"/>
                <w:sz w:val="24"/>
                <w:szCs w:val="24"/>
                <w:highlight w:val="none"/>
                <w:lang w:val="en-US" w:eastAsia="zh-CN" w:bidi="ar"/>
              </w:rPr>
              <w:t>排放源统计调查产排污核算方法和系数手册</w:t>
            </w:r>
            <w:r>
              <w:rPr>
                <w:rFonts w:hint="eastAsia" w:ascii="Times New Roman" w:hAnsi="Times New Roman" w:cs="Times New Roman"/>
                <w:color w:val="auto"/>
                <w:szCs w:val="24"/>
                <w:highlight w:val="none"/>
                <w:lang w:val="en-US" w:eastAsia="zh-CN"/>
              </w:rPr>
              <w:t>》</w:t>
            </w:r>
            <w:r>
              <w:rPr>
                <w:rFonts w:hint="eastAsia" w:cs="Times New Roman"/>
                <w:color w:val="auto"/>
                <w:szCs w:val="24"/>
                <w:highlight w:val="none"/>
                <w:lang w:val="en-US" w:eastAsia="zh-CN"/>
              </w:rPr>
              <w:t>－</w:t>
            </w:r>
            <w:r>
              <w:rPr>
                <w:rFonts w:hint="eastAsia" w:ascii="Times New Roman" w:hAnsi="Times New Roman" w:cs="Times New Roman"/>
                <w:color w:val="auto"/>
                <w:szCs w:val="24"/>
                <w:highlight w:val="none"/>
                <w:lang w:val="en-US" w:eastAsia="zh-CN"/>
              </w:rPr>
              <w:t>玻璃制造行业系数手册中工艺颗粒物产污系数2.64kg/吨</w:t>
            </w:r>
            <w:r>
              <w:rPr>
                <w:rFonts w:hint="eastAsia" w:cs="Times New Roman"/>
                <w:color w:val="auto"/>
                <w:szCs w:val="24"/>
                <w:highlight w:val="none"/>
                <w:lang w:val="en-US" w:eastAsia="zh-CN"/>
              </w:rPr>
              <w:t>－</w:t>
            </w:r>
            <w:r>
              <w:rPr>
                <w:rFonts w:hint="eastAsia" w:ascii="Times New Roman" w:hAnsi="Times New Roman" w:cs="Times New Roman"/>
                <w:color w:val="auto"/>
                <w:szCs w:val="24"/>
                <w:highlight w:val="none"/>
                <w:lang w:val="en-US" w:eastAsia="zh-CN"/>
              </w:rPr>
              <w:t>产品进行核算，每条生产线生产能力为9000t，则每条生产线落料过程中粉尘产生量为23.76t。</w:t>
            </w:r>
            <w:r>
              <w:rPr>
                <w:rFonts w:hint="eastAsia" w:cs="Times New Roman"/>
                <w:color w:val="auto"/>
                <w:szCs w:val="24"/>
                <w:highlight w:val="none"/>
                <w:lang w:val="en-US" w:eastAsia="zh-CN"/>
              </w:rPr>
              <w:t>集气效率90%，</w:t>
            </w:r>
            <w:r>
              <w:rPr>
                <w:rFonts w:hint="default" w:ascii="Times New Roman" w:hAnsi="Times New Roman" w:eastAsia="宋体" w:cs="Times New Roman"/>
                <w:b w:val="0"/>
                <w:bCs w:val="0"/>
                <w:color w:val="auto"/>
                <w:kern w:val="0"/>
                <w:sz w:val="24"/>
                <w:szCs w:val="24"/>
                <w:highlight w:val="none"/>
                <w:lang w:val="en-US" w:eastAsia="zh-CN" w:bidi="ar"/>
              </w:rPr>
              <w:t>捕集量</w:t>
            </w:r>
            <w:r>
              <w:rPr>
                <w:rFonts w:hint="eastAsia" w:cs="Times New Roman"/>
                <w:b w:val="0"/>
                <w:bCs w:val="0"/>
                <w:color w:val="auto"/>
                <w:kern w:val="0"/>
                <w:sz w:val="24"/>
                <w:szCs w:val="24"/>
                <w:highlight w:val="none"/>
                <w:lang w:val="en-US" w:eastAsia="zh-CN" w:bidi="ar"/>
              </w:rPr>
              <w:t>为21.384t/a。</w:t>
            </w:r>
          </w:p>
          <w:p w14:paraId="0D7BD2B5">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cs="Times New Roman"/>
                <w:color w:val="auto"/>
                <w:szCs w:val="24"/>
                <w:highlight w:val="none"/>
                <w:lang w:val="en-US" w:eastAsia="zh-CN"/>
              </w:rPr>
            </w:pPr>
            <w:r>
              <w:rPr>
                <w:rFonts w:hint="eastAsia" w:ascii="Times New Roman" w:hAnsi="Times New Roman" w:cs="Times New Roman"/>
                <w:color w:val="auto"/>
                <w:szCs w:val="24"/>
                <w:highlight w:val="none"/>
                <w:lang w:val="en-US" w:eastAsia="zh-CN"/>
              </w:rPr>
              <w:t>经玻璃珠烧制炉后进入筛分工序，筛分过程会产生粉尘，粉尘参照《</w:t>
            </w:r>
            <w:r>
              <w:rPr>
                <w:rFonts w:hint="default" w:ascii="Times New Roman" w:hAnsi="Times New Roman" w:eastAsia="宋体" w:cs="Times New Roman"/>
                <w:bCs/>
                <w:color w:val="auto"/>
                <w:kern w:val="0"/>
                <w:sz w:val="24"/>
                <w:szCs w:val="24"/>
                <w:highlight w:val="none"/>
                <w:lang w:val="en-US" w:eastAsia="zh-CN" w:bidi="ar"/>
              </w:rPr>
              <w:t>排放源统计调查产排污核算方法和系数手册</w:t>
            </w:r>
            <w:r>
              <w:rPr>
                <w:rFonts w:hint="eastAsia" w:ascii="Times New Roman" w:hAnsi="Times New Roman" w:cs="Times New Roman"/>
                <w:color w:val="auto"/>
                <w:szCs w:val="24"/>
                <w:highlight w:val="none"/>
                <w:lang w:val="en-US" w:eastAsia="zh-CN"/>
              </w:rPr>
              <w:t>》</w:t>
            </w:r>
            <w:r>
              <w:rPr>
                <w:rFonts w:hint="eastAsia" w:cs="Times New Roman"/>
                <w:color w:val="auto"/>
                <w:szCs w:val="24"/>
                <w:highlight w:val="none"/>
                <w:lang w:val="en-US" w:eastAsia="zh-CN"/>
              </w:rPr>
              <w:t>－</w:t>
            </w:r>
            <w:r>
              <w:rPr>
                <w:rFonts w:hint="eastAsia" w:ascii="Times New Roman" w:hAnsi="Times New Roman" w:cs="Times New Roman"/>
                <w:color w:val="auto"/>
                <w:szCs w:val="24"/>
                <w:highlight w:val="none"/>
                <w:lang w:val="en-US" w:eastAsia="zh-CN"/>
              </w:rPr>
              <w:t>玻璃制造行业系数手册中工艺颗粒物产污系数2.64kg/吨</w:t>
            </w:r>
            <w:r>
              <w:rPr>
                <w:rFonts w:hint="eastAsia" w:cs="Times New Roman"/>
                <w:color w:val="auto"/>
                <w:szCs w:val="24"/>
                <w:highlight w:val="none"/>
                <w:lang w:val="en-US" w:eastAsia="zh-CN"/>
              </w:rPr>
              <w:t>－</w:t>
            </w:r>
            <w:r>
              <w:rPr>
                <w:rFonts w:hint="eastAsia" w:ascii="Times New Roman" w:hAnsi="Times New Roman" w:cs="Times New Roman"/>
                <w:color w:val="auto"/>
                <w:szCs w:val="24"/>
                <w:highlight w:val="none"/>
                <w:lang w:val="en-US" w:eastAsia="zh-CN"/>
              </w:rPr>
              <w:t>产品进行核算，则每条生产线筛分过程中颗粒物产生量为23.76t。</w:t>
            </w:r>
          </w:p>
          <w:p w14:paraId="04424925">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color w:val="auto"/>
                <w:szCs w:val="24"/>
                <w:highlight w:val="none"/>
                <w:lang w:val="en-US" w:eastAsia="zh-CN"/>
              </w:rPr>
            </w:pPr>
            <w:r>
              <w:rPr>
                <w:rFonts w:hint="eastAsia" w:cs="Times New Roman"/>
                <w:b w:val="0"/>
                <w:bCs w:val="0"/>
                <w:color w:val="auto"/>
                <w:kern w:val="0"/>
                <w:sz w:val="24"/>
                <w:highlight w:val="none"/>
                <w:lang w:val="en-US" w:eastAsia="zh-CN" w:bidi="ar"/>
              </w:rPr>
              <w:t>3条生产线</w:t>
            </w:r>
            <w:r>
              <w:rPr>
                <w:rFonts w:hint="eastAsia" w:ascii="Times New Roman" w:hAnsi="Times New Roman" w:eastAsia="宋体" w:cs="Times New Roman"/>
                <w:b w:val="0"/>
                <w:bCs w:val="0"/>
                <w:color w:val="auto"/>
                <w:kern w:val="0"/>
                <w:sz w:val="24"/>
                <w:highlight w:val="none"/>
                <w:lang w:val="en-US" w:eastAsia="zh-CN" w:bidi="ar"/>
              </w:rPr>
              <w:t>投料及筛分粉尘产生量共为142.56t/a，</w:t>
            </w:r>
            <w:r>
              <w:rPr>
                <w:rFonts w:hint="default" w:ascii="Times New Roman" w:hAnsi="Times New Roman" w:eastAsia="宋体" w:cs="Times New Roman"/>
                <w:b w:val="0"/>
                <w:bCs w:val="0"/>
                <w:color w:val="auto"/>
                <w:kern w:val="0"/>
                <w:sz w:val="24"/>
                <w:highlight w:val="none"/>
                <w:lang w:val="en-US" w:eastAsia="zh-CN" w:bidi="ar"/>
              </w:rPr>
              <w:t>集气罩收集效率取90%</w:t>
            </w:r>
            <w:r>
              <w:rPr>
                <w:rFonts w:hint="eastAsia" w:ascii="Times New Roman" w:hAnsi="Times New Roman" w:eastAsia="宋体" w:cs="Times New Roman"/>
                <w:b w:val="0"/>
                <w:bCs w:val="0"/>
                <w:color w:val="auto"/>
                <w:kern w:val="0"/>
                <w:sz w:val="24"/>
                <w:highlight w:val="none"/>
                <w:lang w:val="en-US" w:eastAsia="zh-CN" w:bidi="ar"/>
              </w:rPr>
              <w:t>，进料及筛分</w:t>
            </w:r>
            <w:r>
              <w:rPr>
                <w:rFonts w:hint="default" w:ascii="Times New Roman" w:hAnsi="Times New Roman" w:eastAsia="宋体" w:cs="Times New Roman"/>
                <w:b w:val="0"/>
                <w:bCs w:val="0"/>
                <w:color w:val="auto"/>
                <w:kern w:val="0"/>
                <w:sz w:val="24"/>
                <w:szCs w:val="24"/>
                <w:highlight w:val="none"/>
                <w:lang w:val="en-US" w:eastAsia="zh-CN" w:bidi="ar"/>
              </w:rPr>
              <w:t>粉尘捕集量共计</w:t>
            </w:r>
            <w:r>
              <w:rPr>
                <w:rFonts w:hint="eastAsia" w:cs="Times New Roman"/>
                <w:b w:val="0"/>
                <w:bCs w:val="0"/>
                <w:color w:val="auto"/>
                <w:kern w:val="0"/>
                <w:sz w:val="24"/>
                <w:szCs w:val="24"/>
                <w:highlight w:val="none"/>
                <w:lang w:val="en-US" w:eastAsia="zh-CN" w:bidi="ar"/>
              </w:rPr>
              <w:t>135.432</w:t>
            </w:r>
            <w:r>
              <w:rPr>
                <w:rFonts w:hint="default" w:ascii="Times New Roman" w:hAnsi="Times New Roman" w:eastAsia="宋体" w:cs="Times New Roman"/>
                <w:b w:val="0"/>
                <w:bCs w:val="0"/>
                <w:color w:val="auto"/>
                <w:kern w:val="0"/>
                <w:sz w:val="24"/>
                <w:szCs w:val="24"/>
                <w:highlight w:val="none"/>
                <w:lang w:val="en-US" w:eastAsia="zh-CN" w:bidi="ar"/>
              </w:rPr>
              <w:t>t/a。</w:t>
            </w:r>
          </w:p>
          <w:p w14:paraId="44E3E3C1">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color w:val="auto"/>
                <w:szCs w:val="24"/>
                <w:highlight w:val="yellow"/>
                <w:lang w:val="en-US" w:eastAsia="zh-CN"/>
              </w:rPr>
            </w:pPr>
            <w:r>
              <w:rPr>
                <w:rFonts w:hint="eastAsia" w:ascii="Times New Roman" w:hAnsi="Times New Roman" w:cs="Times New Roman"/>
                <w:color w:val="auto"/>
                <w:szCs w:val="24"/>
                <w:highlight w:val="none"/>
                <w:lang w:val="en-US" w:eastAsia="zh-CN"/>
              </w:rPr>
              <w:t>本项目要求在每条生产线受料仓</w:t>
            </w:r>
            <w:r>
              <w:rPr>
                <w:rFonts w:hint="default" w:ascii="Times New Roman" w:hAnsi="Times New Roman" w:eastAsia="宋体" w:cs="Times New Roman"/>
                <w:b w:val="0"/>
                <w:bCs w:val="0"/>
                <w:color w:val="auto"/>
                <w:kern w:val="0"/>
                <w:sz w:val="24"/>
                <w:szCs w:val="24"/>
                <w:highlight w:val="none"/>
                <w:lang w:val="en-US" w:eastAsia="zh-CN" w:bidi="ar"/>
              </w:rPr>
              <w:t>进料口三侧、顶部集气，进料一侧设置软帘</w:t>
            </w:r>
            <w:r>
              <w:rPr>
                <w:rFonts w:hint="eastAsia" w:ascii="Times New Roman" w:hAnsi="Times New Roman" w:cs="Times New Roman"/>
                <w:color w:val="auto"/>
                <w:szCs w:val="24"/>
                <w:highlight w:val="none"/>
                <w:lang w:val="en-US" w:eastAsia="zh-CN"/>
              </w:rPr>
              <w:t>，根据企业提供的设备参数，受料仓尺寸为1.5m×1.5m，罩口设置尺寸1.5m×1.5m，受料仓产尘点集气风量的计算公式为：</w:t>
            </w:r>
          </w:p>
          <w:p w14:paraId="6FC59C67">
            <w:pPr>
              <w:keepNext w:val="0"/>
              <w:keepLines w:val="0"/>
              <w:pageBreakBefore w:val="0"/>
              <w:widowControl/>
              <w:suppressLineNumbers w:val="0"/>
              <w:kinsoku/>
              <w:wordWrap/>
              <w:overflowPunct/>
              <w:topLinePunct w:val="0"/>
              <w:autoSpaceDE/>
              <w:autoSpaceDN/>
              <w:bidi w:val="0"/>
              <w:adjustRightInd/>
              <w:snapToGrid/>
              <w:spacing w:before="0" w:beforeAutospacing="0" w:after="0" w:afterLines="0" w:afterAutospacing="0" w:line="360" w:lineRule="auto"/>
              <w:ind w:left="0" w:right="0" w:firstLine="480" w:firstLineChars="200"/>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L=3600×V×F</w:t>
            </w:r>
          </w:p>
          <w:p w14:paraId="00D07F7D">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kern w:val="0"/>
                <w:sz w:val="24"/>
                <w:highlight w:val="none"/>
                <w:lang w:val="en-US" w:eastAsia="zh-CN" w:bidi="ar"/>
              </w:rPr>
            </w:pPr>
            <w:r>
              <w:rPr>
                <w:rFonts w:hint="default" w:ascii="Times New Roman" w:hAnsi="Times New Roman" w:eastAsia="宋体" w:cs="Times New Roman"/>
                <w:b w:val="0"/>
                <w:bCs w:val="0"/>
                <w:color w:val="auto"/>
                <w:kern w:val="0"/>
                <w:sz w:val="24"/>
                <w:highlight w:val="none"/>
                <w:lang w:val="en-US" w:eastAsia="zh-CN" w:bidi="ar"/>
              </w:rPr>
              <w:t>F=（a+0.5H）×（b+0.5H）</w:t>
            </w:r>
          </w:p>
          <w:p w14:paraId="6AA79BDA">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kern w:val="0"/>
                <w:sz w:val="24"/>
                <w:highlight w:val="none"/>
                <w:lang w:val="en-US" w:eastAsia="zh-CN" w:bidi="ar"/>
              </w:rPr>
            </w:pPr>
            <w:r>
              <w:rPr>
                <w:rFonts w:hint="default" w:ascii="Times New Roman" w:hAnsi="Times New Roman" w:eastAsia="宋体" w:cs="Times New Roman"/>
                <w:b w:val="0"/>
                <w:bCs w:val="0"/>
                <w:color w:val="auto"/>
                <w:kern w:val="0"/>
                <w:sz w:val="24"/>
                <w:highlight w:val="none"/>
                <w:lang w:val="en-US" w:eastAsia="zh-CN" w:bidi="ar"/>
              </w:rPr>
              <w:t>式中：L——排风量，m</w:t>
            </w:r>
            <w:r>
              <w:rPr>
                <w:rFonts w:hint="default" w:ascii="Times New Roman" w:hAnsi="Times New Roman" w:eastAsia="宋体" w:cs="Times New Roman"/>
                <w:b w:val="0"/>
                <w:bCs w:val="0"/>
                <w:color w:val="auto"/>
                <w:kern w:val="0"/>
                <w:sz w:val="24"/>
                <w:highlight w:val="none"/>
                <w:vertAlign w:val="superscript"/>
                <w:lang w:val="en-US" w:eastAsia="zh-CN" w:bidi="ar"/>
              </w:rPr>
              <w:t>3</w:t>
            </w:r>
            <w:r>
              <w:rPr>
                <w:rFonts w:hint="default" w:ascii="Times New Roman" w:hAnsi="Times New Roman" w:eastAsia="宋体" w:cs="Times New Roman"/>
                <w:b w:val="0"/>
                <w:bCs w:val="0"/>
                <w:color w:val="auto"/>
                <w:kern w:val="0"/>
                <w:sz w:val="24"/>
                <w:highlight w:val="none"/>
                <w:lang w:val="en-US" w:eastAsia="zh-CN" w:bidi="ar"/>
              </w:rPr>
              <w:t>/h；</w:t>
            </w:r>
          </w:p>
          <w:p w14:paraId="577C1C2B">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kern w:val="0"/>
                <w:sz w:val="24"/>
                <w:highlight w:val="none"/>
                <w:lang w:val="en-US" w:eastAsia="zh-CN" w:bidi="ar"/>
              </w:rPr>
            </w:pPr>
            <w:r>
              <w:rPr>
                <w:rFonts w:hint="default" w:ascii="Times New Roman" w:hAnsi="Times New Roman" w:eastAsia="宋体" w:cs="Times New Roman"/>
                <w:b w:val="0"/>
                <w:bCs w:val="0"/>
                <w:color w:val="auto"/>
                <w:kern w:val="0"/>
                <w:sz w:val="24"/>
                <w:highlight w:val="none"/>
                <w:lang w:val="en-US" w:eastAsia="zh-CN" w:bidi="ar"/>
              </w:rPr>
              <w:t>V——罩口平均风速，（m/s，取1.</w:t>
            </w:r>
            <w:r>
              <w:rPr>
                <w:rFonts w:hint="eastAsia" w:ascii="Times New Roman" w:hAnsi="Times New Roman" w:eastAsia="宋体" w:cs="Times New Roman"/>
                <w:b w:val="0"/>
                <w:bCs w:val="0"/>
                <w:color w:val="auto"/>
                <w:kern w:val="0"/>
                <w:sz w:val="24"/>
                <w:highlight w:val="none"/>
                <w:lang w:val="en-US" w:eastAsia="zh-CN" w:bidi="ar"/>
              </w:rPr>
              <w:t>2</w:t>
            </w:r>
            <w:r>
              <w:rPr>
                <w:rFonts w:hint="default" w:ascii="Times New Roman" w:hAnsi="Times New Roman" w:eastAsia="宋体" w:cs="Times New Roman"/>
                <w:b w:val="0"/>
                <w:bCs w:val="0"/>
                <w:color w:val="auto"/>
                <w:kern w:val="0"/>
                <w:sz w:val="24"/>
                <w:highlight w:val="none"/>
                <w:lang w:val="en-US" w:eastAsia="zh-CN" w:bidi="ar"/>
              </w:rPr>
              <w:t>）；</w:t>
            </w:r>
          </w:p>
          <w:p w14:paraId="03CE781B">
            <w:pPr>
              <w:keepNext w:val="0"/>
              <w:keepLines w:val="0"/>
              <w:widowControl/>
              <w:suppressLineNumbers w:val="0"/>
              <w:spacing w:before="0" w:beforeAutospacing="0" w:after="0" w:afterAutospacing="0" w:line="360" w:lineRule="auto"/>
              <w:ind w:left="0" w:right="0" w:firstLine="1200" w:firstLineChars="500"/>
              <w:rPr>
                <w:rFonts w:hint="default" w:ascii="Times New Roman" w:hAnsi="Times New Roman" w:eastAsia="宋体" w:cs="Times New Roman"/>
                <w:b w:val="0"/>
                <w:bCs w:val="0"/>
                <w:color w:val="auto"/>
                <w:kern w:val="0"/>
                <w:sz w:val="24"/>
                <w:highlight w:val="none"/>
                <w:lang w:val="en-US" w:eastAsia="zh-CN" w:bidi="ar"/>
              </w:rPr>
            </w:pPr>
            <w:r>
              <w:rPr>
                <w:rFonts w:hint="default" w:ascii="Times New Roman" w:hAnsi="Times New Roman" w:eastAsia="宋体" w:cs="Times New Roman"/>
                <w:b w:val="0"/>
                <w:bCs w:val="0"/>
                <w:color w:val="auto"/>
                <w:kern w:val="0"/>
                <w:sz w:val="24"/>
                <w:highlight w:val="none"/>
                <w:lang w:val="en-US" w:eastAsia="zh-CN" w:bidi="ar"/>
              </w:rPr>
              <w:t>F——罩口面积，m</w:t>
            </w:r>
            <w:r>
              <w:rPr>
                <w:rFonts w:hint="default" w:ascii="Times New Roman" w:hAnsi="Times New Roman" w:eastAsia="宋体" w:cs="Times New Roman"/>
                <w:b w:val="0"/>
                <w:bCs w:val="0"/>
                <w:color w:val="auto"/>
                <w:kern w:val="0"/>
                <w:sz w:val="24"/>
                <w:highlight w:val="none"/>
                <w:vertAlign w:val="superscript"/>
                <w:lang w:val="en-US" w:eastAsia="zh-CN" w:bidi="ar"/>
              </w:rPr>
              <w:t>2</w:t>
            </w:r>
            <w:r>
              <w:rPr>
                <w:rFonts w:hint="default" w:ascii="Times New Roman" w:hAnsi="Times New Roman" w:eastAsia="宋体" w:cs="Times New Roman"/>
                <w:b w:val="0"/>
                <w:bCs w:val="0"/>
                <w:color w:val="auto"/>
                <w:kern w:val="0"/>
                <w:sz w:val="24"/>
                <w:highlight w:val="none"/>
                <w:lang w:val="en-US" w:eastAsia="zh-CN" w:bidi="ar"/>
              </w:rPr>
              <w:t>；</w:t>
            </w:r>
          </w:p>
          <w:p w14:paraId="05FC9F7C">
            <w:pPr>
              <w:keepNext w:val="0"/>
              <w:keepLines w:val="0"/>
              <w:widowControl/>
              <w:suppressLineNumbers w:val="0"/>
              <w:spacing w:before="0" w:beforeAutospacing="0" w:after="0" w:afterAutospacing="0" w:line="360" w:lineRule="auto"/>
              <w:ind w:left="0" w:right="0" w:firstLine="1200" w:firstLineChars="500"/>
              <w:rPr>
                <w:rFonts w:hint="default" w:ascii="Times New Roman" w:hAnsi="Times New Roman" w:eastAsia="宋体" w:cs="Times New Roman"/>
                <w:b w:val="0"/>
                <w:bCs w:val="0"/>
                <w:color w:val="auto"/>
                <w:kern w:val="0"/>
                <w:sz w:val="24"/>
                <w:highlight w:val="none"/>
                <w:lang w:val="en-US" w:eastAsia="zh-CN" w:bidi="ar"/>
              </w:rPr>
            </w:pPr>
            <w:r>
              <w:rPr>
                <w:rFonts w:hint="default" w:ascii="Times New Roman" w:hAnsi="Times New Roman" w:eastAsia="宋体" w:cs="Times New Roman"/>
                <w:b w:val="0"/>
                <w:bCs w:val="0"/>
                <w:color w:val="auto"/>
                <w:kern w:val="0"/>
                <w:sz w:val="24"/>
                <w:highlight w:val="none"/>
                <w:lang w:val="en-US" w:eastAsia="zh-CN" w:bidi="ar"/>
              </w:rPr>
              <w:t>a——设备平面的长</w:t>
            </w:r>
            <w:r>
              <w:rPr>
                <w:rFonts w:hint="eastAsia" w:ascii="Times New Roman" w:hAnsi="Times New Roman" w:eastAsia="宋体" w:cs="Times New Roman"/>
                <w:b w:val="0"/>
                <w:bCs w:val="0"/>
                <w:color w:val="auto"/>
                <w:kern w:val="0"/>
                <w:sz w:val="24"/>
                <w:highlight w:val="none"/>
                <w:lang w:val="en-US" w:eastAsia="zh-CN" w:bidi="ar"/>
              </w:rPr>
              <w:t>；</w:t>
            </w:r>
          </w:p>
          <w:p w14:paraId="0A0541E1">
            <w:pPr>
              <w:keepNext w:val="0"/>
              <w:keepLines w:val="0"/>
              <w:widowControl/>
              <w:suppressLineNumbers w:val="0"/>
              <w:spacing w:before="0" w:beforeAutospacing="0" w:after="0" w:afterAutospacing="0" w:line="360" w:lineRule="auto"/>
              <w:ind w:left="0" w:right="0" w:firstLine="1200" w:firstLineChars="500"/>
              <w:rPr>
                <w:rFonts w:hint="default" w:ascii="Times New Roman" w:hAnsi="Times New Roman" w:eastAsia="宋体" w:cs="Times New Roman"/>
                <w:b w:val="0"/>
                <w:bCs w:val="0"/>
                <w:color w:val="auto"/>
                <w:kern w:val="0"/>
                <w:sz w:val="24"/>
                <w:highlight w:val="none"/>
                <w:lang w:val="en-US" w:eastAsia="zh-CN" w:bidi="ar"/>
              </w:rPr>
            </w:pPr>
            <w:r>
              <w:rPr>
                <w:rFonts w:hint="default" w:ascii="Times New Roman" w:hAnsi="Times New Roman" w:eastAsia="宋体" w:cs="Times New Roman"/>
                <w:b w:val="0"/>
                <w:bCs w:val="0"/>
                <w:color w:val="auto"/>
                <w:kern w:val="0"/>
                <w:sz w:val="24"/>
                <w:highlight w:val="none"/>
                <w:lang w:val="en-US" w:eastAsia="zh-CN" w:bidi="ar"/>
              </w:rPr>
              <w:t>b——设备平面的宽</w:t>
            </w:r>
            <w:r>
              <w:rPr>
                <w:rFonts w:hint="eastAsia" w:ascii="Times New Roman" w:hAnsi="Times New Roman" w:eastAsia="宋体" w:cs="Times New Roman"/>
                <w:b w:val="0"/>
                <w:bCs w:val="0"/>
                <w:color w:val="auto"/>
                <w:kern w:val="0"/>
                <w:sz w:val="24"/>
                <w:highlight w:val="none"/>
                <w:lang w:val="en-US" w:eastAsia="zh-CN" w:bidi="ar"/>
              </w:rPr>
              <w:t>；</w:t>
            </w:r>
          </w:p>
          <w:p w14:paraId="74B03D27">
            <w:pPr>
              <w:keepNext w:val="0"/>
              <w:keepLines w:val="0"/>
              <w:widowControl/>
              <w:suppressLineNumbers w:val="0"/>
              <w:spacing w:before="0" w:beforeAutospacing="0" w:after="0" w:afterAutospacing="0" w:line="360" w:lineRule="auto"/>
              <w:ind w:left="0" w:right="0" w:firstLine="1200" w:firstLineChars="500"/>
              <w:rPr>
                <w:rFonts w:hint="default" w:ascii="Times New Roman" w:hAnsi="Times New Roman" w:eastAsia="宋体" w:cs="Times New Roman"/>
                <w:b w:val="0"/>
                <w:bCs w:val="0"/>
                <w:color w:val="auto"/>
                <w:kern w:val="0"/>
                <w:sz w:val="24"/>
                <w:highlight w:val="none"/>
                <w:lang w:val="en-US" w:eastAsia="zh-CN" w:bidi="ar"/>
              </w:rPr>
            </w:pPr>
            <w:r>
              <w:rPr>
                <w:rFonts w:hint="default" w:ascii="Times New Roman" w:hAnsi="Times New Roman" w:eastAsia="宋体" w:cs="Times New Roman"/>
                <w:b w:val="0"/>
                <w:bCs w:val="0"/>
                <w:color w:val="auto"/>
                <w:kern w:val="0"/>
                <w:sz w:val="24"/>
                <w:highlight w:val="none"/>
                <w:lang w:val="en-US" w:eastAsia="zh-CN" w:bidi="ar"/>
              </w:rPr>
              <w:t>H——罩口离设备面的高度，取</w:t>
            </w:r>
            <w:r>
              <w:rPr>
                <w:rFonts w:hint="eastAsia" w:ascii="Times New Roman" w:hAnsi="Times New Roman" w:eastAsia="宋体" w:cs="Times New Roman"/>
                <w:b w:val="0"/>
                <w:bCs w:val="0"/>
                <w:color w:val="auto"/>
                <w:kern w:val="0"/>
                <w:sz w:val="24"/>
                <w:highlight w:val="none"/>
                <w:lang w:val="en-US" w:eastAsia="zh-CN" w:bidi="ar"/>
              </w:rPr>
              <w:t>0.8</w:t>
            </w:r>
            <w:r>
              <w:rPr>
                <w:rFonts w:hint="default" w:ascii="Times New Roman" w:hAnsi="Times New Roman" w:eastAsia="宋体" w:cs="Times New Roman"/>
                <w:b w:val="0"/>
                <w:bCs w:val="0"/>
                <w:color w:val="auto"/>
                <w:kern w:val="0"/>
                <w:sz w:val="24"/>
                <w:highlight w:val="none"/>
                <w:lang w:val="en-US" w:eastAsia="zh-CN" w:bidi="ar"/>
              </w:rPr>
              <w:t>m。</w:t>
            </w:r>
          </w:p>
          <w:p w14:paraId="1C5750DC">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Cs w:val="24"/>
                <w:highlight w:val="yellow"/>
                <w:lang w:val="en-US" w:eastAsia="zh-CN"/>
              </w:rPr>
            </w:pPr>
            <w:r>
              <w:rPr>
                <w:rFonts w:hint="default" w:ascii="Times New Roman" w:hAnsi="Times New Roman" w:eastAsia="宋体" w:cs="Times New Roman"/>
                <w:b w:val="0"/>
                <w:bCs w:val="0"/>
                <w:color w:val="auto"/>
                <w:kern w:val="0"/>
                <w:sz w:val="24"/>
                <w:highlight w:val="none"/>
                <w:lang w:val="en-US" w:eastAsia="zh-CN" w:bidi="ar"/>
              </w:rPr>
              <w:t>经计算，</w:t>
            </w:r>
            <w:r>
              <w:rPr>
                <w:rFonts w:hint="eastAsia" w:ascii="宋体" w:hAnsi="宋体" w:eastAsia="宋体" w:cs="宋体"/>
                <w:color w:val="auto"/>
                <w:sz w:val="24"/>
                <w:szCs w:val="24"/>
                <w:lang w:val="en-US" w:eastAsia="zh-CN"/>
              </w:rPr>
              <w:t>受</w:t>
            </w:r>
            <w:r>
              <w:rPr>
                <w:rFonts w:hint="default" w:ascii="宋体" w:hAnsi="宋体" w:eastAsia="宋体" w:cs="宋体"/>
                <w:color w:val="auto"/>
                <w:sz w:val="24"/>
                <w:szCs w:val="24"/>
              </w:rPr>
              <w:t>料斗</w:t>
            </w:r>
            <w:r>
              <w:rPr>
                <w:rFonts w:hint="eastAsia" w:ascii="Times New Roman" w:hAnsi="Times New Roman" w:eastAsia="宋体" w:cs="Times New Roman"/>
                <w:b w:val="0"/>
                <w:bCs w:val="0"/>
                <w:color w:val="auto"/>
                <w:kern w:val="0"/>
                <w:sz w:val="24"/>
                <w:highlight w:val="none"/>
                <w:lang w:val="en-US" w:eastAsia="zh-CN" w:bidi="ar"/>
              </w:rPr>
              <w:t>理论风量均为15595m</w:t>
            </w:r>
            <w:r>
              <w:rPr>
                <w:rFonts w:hint="eastAsia" w:ascii="Times New Roman" w:hAnsi="Times New Roman" w:eastAsia="宋体" w:cs="Times New Roman"/>
                <w:b w:val="0"/>
                <w:bCs w:val="0"/>
                <w:color w:val="auto"/>
                <w:kern w:val="0"/>
                <w:sz w:val="24"/>
                <w:highlight w:val="none"/>
                <w:vertAlign w:val="superscript"/>
                <w:lang w:val="en-US" w:eastAsia="zh-CN" w:bidi="ar"/>
              </w:rPr>
              <w:t>3</w:t>
            </w:r>
            <w:r>
              <w:rPr>
                <w:rFonts w:hint="eastAsia" w:ascii="Times New Roman" w:hAnsi="Times New Roman" w:eastAsia="宋体" w:cs="Times New Roman"/>
                <w:b w:val="0"/>
                <w:bCs w:val="0"/>
                <w:color w:val="auto"/>
                <w:kern w:val="0"/>
                <w:sz w:val="24"/>
                <w:highlight w:val="none"/>
                <w:lang w:val="en-US" w:eastAsia="zh-CN" w:bidi="ar"/>
              </w:rPr>
              <w:t>/h。</w:t>
            </w:r>
          </w:p>
          <w:p w14:paraId="2E026B4C">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color w:val="auto"/>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bidi="ar"/>
              </w:rPr>
              <w:t>振动筛设置在全封闭车间内，进料皮带与振动筛密闭连接。振动筛设置密闭集气罩。参照《煤炭工业供热通风与空气调节设计规范》和《实用供热空调设计手册（第二版）》以及同类型项目的经验值，振动筛除尘器风量经验值为800~1200m</w:t>
            </w:r>
            <w:r>
              <w:rPr>
                <w:rFonts w:hint="default" w:ascii="Times New Roman" w:hAnsi="Times New Roman" w:eastAsia="宋体" w:cs="Times New Roman"/>
                <w:b w:val="0"/>
                <w:bCs w:val="0"/>
                <w:color w:val="auto"/>
                <w:kern w:val="0"/>
                <w:sz w:val="24"/>
                <w:szCs w:val="24"/>
                <w:highlight w:val="none"/>
                <w:vertAlign w:val="superscript"/>
                <w:lang w:val="en-US" w:eastAsia="zh-CN" w:bidi="ar"/>
              </w:rPr>
              <w:t>3</w:t>
            </w:r>
            <w:r>
              <w:rPr>
                <w:rFonts w:hint="default" w:ascii="Times New Roman" w:hAnsi="Times New Roman" w:eastAsia="宋体" w:cs="Times New Roman"/>
                <w:b w:val="0"/>
                <w:bCs w:val="0"/>
                <w:color w:val="auto"/>
                <w:kern w:val="0"/>
                <w:sz w:val="24"/>
                <w:szCs w:val="24"/>
                <w:highlight w:val="none"/>
                <w:lang w:val="en-US" w:eastAsia="zh-CN" w:bidi="ar"/>
              </w:rPr>
              <w:t>/m</w:t>
            </w:r>
            <w:r>
              <w:rPr>
                <w:rFonts w:hint="default" w:ascii="Times New Roman" w:hAnsi="Times New Roman" w:eastAsia="宋体" w:cs="Times New Roman"/>
                <w:b w:val="0"/>
                <w:bCs w:val="0"/>
                <w:color w:val="auto"/>
                <w:kern w:val="0"/>
                <w:sz w:val="24"/>
                <w:szCs w:val="24"/>
                <w:highlight w:val="none"/>
                <w:vertAlign w:val="superscript"/>
                <w:lang w:val="en-US" w:eastAsia="zh-CN" w:bidi="ar"/>
              </w:rPr>
              <w:t>2</w:t>
            </w:r>
            <w:r>
              <w:rPr>
                <w:rFonts w:hint="default" w:ascii="Times New Roman" w:hAnsi="Times New Roman" w:eastAsia="宋体" w:cs="Times New Roman"/>
                <w:b w:val="0"/>
                <w:bCs w:val="0"/>
                <w:color w:val="auto"/>
                <w:kern w:val="0"/>
                <w:sz w:val="24"/>
                <w:szCs w:val="24"/>
                <w:highlight w:val="none"/>
                <w:lang w:val="en-US" w:eastAsia="zh-CN" w:bidi="ar"/>
              </w:rPr>
              <w:t>·h，单位面积风量按1000m</w:t>
            </w:r>
            <w:r>
              <w:rPr>
                <w:rFonts w:hint="default" w:ascii="Times New Roman" w:hAnsi="Times New Roman" w:eastAsia="宋体" w:cs="Times New Roman"/>
                <w:b w:val="0"/>
                <w:bCs w:val="0"/>
                <w:color w:val="auto"/>
                <w:kern w:val="0"/>
                <w:sz w:val="24"/>
                <w:szCs w:val="24"/>
                <w:highlight w:val="none"/>
                <w:vertAlign w:val="superscript"/>
                <w:lang w:val="en-US" w:eastAsia="zh-CN" w:bidi="ar"/>
              </w:rPr>
              <w:t>3</w:t>
            </w:r>
            <w:r>
              <w:rPr>
                <w:rFonts w:hint="default" w:ascii="Times New Roman" w:hAnsi="Times New Roman" w:eastAsia="宋体" w:cs="Times New Roman"/>
                <w:b w:val="0"/>
                <w:bCs w:val="0"/>
                <w:color w:val="auto"/>
                <w:kern w:val="0"/>
                <w:sz w:val="24"/>
                <w:szCs w:val="24"/>
                <w:highlight w:val="none"/>
                <w:lang w:val="en-US" w:eastAsia="zh-CN" w:bidi="ar"/>
              </w:rPr>
              <w:t>/m</w:t>
            </w:r>
            <w:r>
              <w:rPr>
                <w:rFonts w:hint="default" w:ascii="Times New Roman" w:hAnsi="Times New Roman" w:eastAsia="宋体" w:cs="Times New Roman"/>
                <w:b w:val="0"/>
                <w:bCs w:val="0"/>
                <w:color w:val="auto"/>
                <w:kern w:val="0"/>
                <w:sz w:val="24"/>
                <w:szCs w:val="24"/>
                <w:highlight w:val="none"/>
                <w:vertAlign w:val="superscript"/>
                <w:lang w:val="en-US" w:eastAsia="zh-CN" w:bidi="ar"/>
              </w:rPr>
              <w:t>2</w:t>
            </w:r>
            <w:r>
              <w:rPr>
                <w:rFonts w:hint="default" w:ascii="Times New Roman" w:hAnsi="Times New Roman" w:eastAsia="宋体" w:cs="Times New Roman"/>
                <w:b w:val="0"/>
                <w:bCs w:val="0"/>
                <w:color w:val="auto"/>
                <w:kern w:val="0"/>
                <w:sz w:val="24"/>
                <w:szCs w:val="24"/>
                <w:highlight w:val="none"/>
                <w:lang w:val="en-US" w:eastAsia="zh-CN" w:bidi="ar"/>
              </w:rPr>
              <w:t>·h计算，振动筛筛网面积3</w:t>
            </w:r>
            <w:r>
              <w:rPr>
                <w:rFonts w:hint="eastAsia" w:ascii="Times New Roman" w:hAnsi="Times New Roman" w:eastAsia="宋体" w:cs="Times New Roman"/>
                <w:b w:val="0"/>
                <w:bCs w:val="0"/>
                <w:color w:val="auto"/>
                <w:kern w:val="0"/>
                <w:sz w:val="24"/>
                <w:szCs w:val="24"/>
                <w:highlight w:val="none"/>
                <w:lang w:val="en-US" w:eastAsia="zh-CN" w:bidi="ar"/>
              </w:rPr>
              <w:t>.6</w:t>
            </w:r>
            <w:r>
              <w:rPr>
                <w:rFonts w:hint="default" w:ascii="Times New Roman" w:hAnsi="Times New Roman" w:eastAsia="宋体" w:cs="Times New Roman"/>
                <w:b w:val="0"/>
                <w:bCs w:val="0"/>
                <w:color w:val="auto"/>
                <w:kern w:val="0"/>
                <w:sz w:val="24"/>
                <w:szCs w:val="24"/>
                <w:highlight w:val="none"/>
                <w:lang w:val="en-US" w:eastAsia="zh-CN" w:bidi="ar"/>
              </w:rPr>
              <w:t>m</w:t>
            </w:r>
            <w:r>
              <w:rPr>
                <w:rFonts w:hint="default" w:ascii="Times New Roman" w:hAnsi="Times New Roman" w:eastAsia="宋体" w:cs="Times New Roman"/>
                <w:b w:val="0"/>
                <w:bCs w:val="0"/>
                <w:color w:val="auto"/>
                <w:kern w:val="0"/>
                <w:sz w:val="24"/>
                <w:szCs w:val="24"/>
                <w:highlight w:val="none"/>
                <w:vertAlign w:val="superscript"/>
                <w:lang w:val="en-US" w:eastAsia="zh-CN" w:bidi="ar"/>
              </w:rPr>
              <w:t>2</w:t>
            </w:r>
            <w:r>
              <w:rPr>
                <w:rFonts w:hint="default" w:ascii="Times New Roman" w:hAnsi="Times New Roman" w:eastAsia="宋体" w:cs="Times New Roman"/>
                <w:b w:val="0"/>
                <w:bCs w:val="0"/>
                <w:color w:val="auto"/>
                <w:kern w:val="0"/>
                <w:sz w:val="24"/>
                <w:szCs w:val="24"/>
                <w:highlight w:val="none"/>
                <w:lang w:val="en-US" w:eastAsia="zh-CN" w:bidi="ar"/>
              </w:rPr>
              <w:t>，则振动筛需要配置风量为</w:t>
            </w:r>
            <w:r>
              <w:rPr>
                <w:rFonts w:hint="eastAsia" w:ascii="Times New Roman" w:hAnsi="Times New Roman" w:eastAsia="宋体" w:cs="Times New Roman"/>
                <w:b w:val="0"/>
                <w:bCs w:val="0"/>
                <w:color w:val="auto"/>
                <w:kern w:val="0"/>
                <w:sz w:val="24"/>
                <w:szCs w:val="24"/>
                <w:highlight w:val="none"/>
                <w:lang w:val="en-US" w:eastAsia="zh-CN" w:bidi="ar"/>
              </w:rPr>
              <w:t>3600</w:t>
            </w:r>
            <w:r>
              <w:rPr>
                <w:rFonts w:hint="default" w:ascii="Times New Roman" w:hAnsi="Times New Roman" w:eastAsia="宋体" w:cs="Times New Roman"/>
                <w:b w:val="0"/>
                <w:bCs w:val="0"/>
                <w:color w:val="auto"/>
                <w:kern w:val="0"/>
                <w:sz w:val="24"/>
                <w:szCs w:val="24"/>
                <w:highlight w:val="none"/>
                <w:lang w:val="en-US" w:eastAsia="zh-CN" w:bidi="ar"/>
              </w:rPr>
              <w:t>m</w:t>
            </w:r>
            <w:r>
              <w:rPr>
                <w:rFonts w:hint="default" w:ascii="Times New Roman" w:hAnsi="Times New Roman" w:eastAsia="宋体" w:cs="Times New Roman"/>
                <w:b w:val="0"/>
                <w:bCs w:val="0"/>
                <w:color w:val="auto"/>
                <w:kern w:val="0"/>
                <w:sz w:val="24"/>
                <w:szCs w:val="24"/>
                <w:highlight w:val="none"/>
                <w:vertAlign w:val="superscript"/>
                <w:lang w:val="en-US" w:eastAsia="zh-CN" w:bidi="ar"/>
              </w:rPr>
              <w:t>3</w:t>
            </w:r>
            <w:r>
              <w:rPr>
                <w:rFonts w:hint="default" w:ascii="Times New Roman" w:hAnsi="Times New Roman" w:eastAsia="宋体" w:cs="Times New Roman"/>
                <w:b w:val="0"/>
                <w:bCs w:val="0"/>
                <w:color w:val="auto"/>
                <w:kern w:val="0"/>
                <w:sz w:val="24"/>
                <w:szCs w:val="24"/>
                <w:highlight w:val="none"/>
                <w:lang w:val="en-US" w:eastAsia="zh-CN" w:bidi="ar"/>
              </w:rPr>
              <w:t>/h。</w:t>
            </w:r>
          </w:p>
          <w:p w14:paraId="704A7648">
            <w:pPr>
              <w:pStyle w:val="11"/>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rightChars="0" w:firstLine="480" w:firstLineChars="200"/>
              <w:textAlignment w:val="auto"/>
              <w:rPr>
                <w:rFonts w:hint="default" w:ascii="宋体" w:hAnsi="宋体" w:eastAsia="宋体" w:cs="宋体"/>
                <w:b w:val="0"/>
                <w:bCs w:val="0"/>
                <w:color w:val="auto"/>
                <w:kern w:val="0"/>
                <w:sz w:val="24"/>
                <w:szCs w:val="24"/>
                <w:highlight w:val="yellow"/>
                <w:lang w:val="en-US" w:eastAsia="zh-CN" w:bidi="ar"/>
              </w:rPr>
            </w:pPr>
            <w:r>
              <w:rPr>
                <w:rFonts w:hint="eastAsia" w:ascii="Times New Roman" w:hAnsi="Times New Roman" w:cs="Times New Roman"/>
                <w:color w:val="auto"/>
                <w:sz w:val="24"/>
                <w:szCs w:val="24"/>
                <w:highlight w:val="none"/>
                <w:lang w:val="en-US" w:eastAsia="zh-CN"/>
              </w:rPr>
              <w:t>根据计算，每条生产线受料仓、筛分机所需风量分别为15595m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lang w:val="en-US" w:eastAsia="zh-CN"/>
              </w:rPr>
              <w:t>/h、3600m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lang w:val="en-US" w:eastAsia="zh-CN"/>
              </w:rPr>
              <w:t>/h，综合考虑每条生产线所需风量为19195m</w:t>
            </w:r>
            <w:r>
              <w:rPr>
                <w:rFonts w:hint="eastAsia"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lang w:val="en-US" w:eastAsia="zh-CN"/>
              </w:rPr>
              <w:t>/h。</w:t>
            </w:r>
          </w:p>
          <w:p w14:paraId="6DD56A95">
            <w:pPr>
              <w:pStyle w:val="11"/>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rightChars="0" w:firstLine="480" w:firstLineChars="200"/>
              <w:textAlignment w:val="auto"/>
              <w:rPr>
                <w:rFonts w:hint="default" w:ascii="Times New Roman" w:hAnsi="Times New Roman" w:eastAsia="宋体" w:cs="Times New Roman"/>
                <w:bCs w:val="0"/>
                <w:color w:val="auto"/>
                <w:kern w:val="0"/>
                <w:sz w:val="24"/>
                <w:szCs w:val="24"/>
                <w:highlight w:val="none"/>
                <w:lang w:val="en-US" w:eastAsia="zh-CN" w:bidi="ar"/>
              </w:rPr>
            </w:pPr>
            <w:r>
              <w:rPr>
                <w:rFonts w:hint="default" w:ascii="Times New Roman" w:hAnsi="Times New Roman" w:eastAsia="宋体" w:cs="Times New Roman"/>
                <w:bCs w:val="0"/>
                <w:color w:val="auto"/>
                <w:kern w:val="0"/>
                <w:sz w:val="24"/>
                <w:szCs w:val="24"/>
                <w:highlight w:val="none"/>
                <w:lang w:val="en-US" w:eastAsia="zh-CN" w:bidi="ar"/>
              </w:rPr>
              <w:t>环评要求3条玻璃微珠生产线共用1套布袋除尘器，处理后分经1根排气筒进行排放。过滤风速0.6m/min，设计风量为58000m</w:t>
            </w:r>
            <w:r>
              <w:rPr>
                <w:rFonts w:hint="default" w:ascii="Times New Roman" w:hAnsi="Times New Roman" w:eastAsia="宋体" w:cs="Times New Roman"/>
                <w:bCs w:val="0"/>
                <w:color w:val="auto"/>
                <w:kern w:val="0"/>
                <w:sz w:val="24"/>
                <w:szCs w:val="24"/>
                <w:highlight w:val="none"/>
                <w:vertAlign w:val="superscript"/>
                <w:lang w:val="en-US" w:eastAsia="zh-CN" w:bidi="ar"/>
              </w:rPr>
              <w:t>3</w:t>
            </w:r>
            <w:r>
              <w:rPr>
                <w:rFonts w:hint="default" w:ascii="Times New Roman" w:hAnsi="Times New Roman" w:eastAsia="宋体" w:cs="Times New Roman"/>
                <w:bCs w:val="0"/>
                <w:color w:val="auto"/>
                <w:kern w:val="0"/>
                <w:sz w:val="24"/>
                <w:szCs w:val="24"/>
                <w:highlight w:val="none"/>
                <w:lang w:val="en-US" w:eastAsia="zh-CN" w:bidi="ar"/>
              </w:rPr>
              <w:t>/h，过滤面积为1611.11m</w:t>
            </w:r>
            <w:r>
              <w:rPr>
                <w:rFonts w:hint="default" w:ascii="Times New Roman" w:hAnsi="Times New Roman" w:eastAsia="宋体" w:cs="Times New Roman"/>
                <w:bCs w:val="0"/>
                <w:color w:val="auto"/>
                <w:kern w:val="0"/>
                <w:sz w:val="24"/>
                <w:szCs w:val="24"/>
                <w:highlight w:val="none"/>
                <w:vertAlign w:val="superscript"/>
                <w:lang w:val="en-US" w:eastAsia="zh-CN" w:bidi="ar"/>
              </w:rPr>
              <w:t>2</w:t>
            </w:r>
            <w:r>
              <w:rPr>
                <w:rFonts w:hint="default" w:ascii="Times New Roman" w:hAnsi="Times New Roman" w:eastAsia="宋体" w:cs="Times New Roman"/>
                <w:bCs w:val="0"/>
                <w:color w:val="auto"/>
                <w:kern w:val="0"/>
                <w:sz w:val="24"/>
                <w:szCs w:val="24"/>
                <w:highlight w:val="none"/>
                <w:lang w:val="en-US" w:eastAsia="zh-CN" w:bidi="ar"/>
              </w:rPr>
              <w:t>，滤袋材质选用PPS覆膜滤料，年运行2640h，能够将粉尘的排放浓度控制在10mg/m</w:t>
            </w:r>
            <w:r>
              <w:rPr>
                <w:rFonts w:hint="default" w:ascii="Times New Roman" w:hAnsi="Times New Roman" w:eastAsia="宋体" w:cs="Times New Roman"/>
                <w:bCs w:val="0"/>
                <w:color w:val="auto"/>
                <w:kern w:val="0"/>
                <w:sz w:val="24"/>
                <w:szCs w:val="24"/>
                <w:highlight w:val="none"/>
                <w:vertAlign w:val="superscript"/>
                <w:lang w:val="en-US" w:eastAsia="zh-CN" w:bidi="ar"/>
              </w:rPr>
              <w:t>3</w:t>
            </w:r>
            <w:r>
              <w:rPr>
                <w:rFonts w:hint="default" w:ascii="Times New Roman" w:hAnsi="Times New Roman" w:eastAsia="宋体" w:cs="Times New Roman"/>
                <w:bCs w:val="0"/>
                <w:color w:val="auto"/>
                <w:kern w:val="0"/>
                <w:sz w:val="24"/>
                <w:szCs w:val="24"/>
                <w:highlight w:val="none"/>
                <w:lang w:val="en-US" w:eastAsia="zh-CN" w:bidi="ar"/>
              </w:rPr>
              <w:t>以下。</w:t>
            </w:r>
          </w:p>
          <w:p w14:paraId="26D8ADD1">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颗粒物产生浓度=</w:t>
            </w:r>
            <w:r>
              <w:rPr>
                <w:rFonts w:hint="eastAsia" w:cs="Times New Roman"/>
                <w:b w:val="0"/>
                <w:bCs w:val="0"/>
                <w:color w:val="auto"/>
                <w:kern w:val="0"/>
                <w:sz w:val="24"/>
                <w:szCs w:val="24"/>
                <w:highlight w:val="none"/>
                <w:lang w:val="en-US" w:eastAsia="zh-CN" w:bidi="ar"/>
              </w:rPr>
              <w:t>135.432</w:t>
            </w:r>
            <w:r>
              <w:rPr>
                <w:rFonts w:hint="default" w:ascii="Times New Roman" w:hAnsi="Times New Roman" w:eastAsia="宋体" w:cs="Times New Roman"/>
                <w:b w:val="0"/>
                <w:bCs w:val="0"/>
                <w:color w:val="auto"/>
                <w:kern w:val="0"/>
                <w:sz w:val="24"/>
                <w:szCs w:val="24"/>
                <w:highlight w:val="none"/>
                <w:lang w:val="en-US" w:eastAsia="zh-CN" w:bidi="ar"/>
              </w:rPr>
              <w:t>t/a÷</w:t>
            </w:r>
            <w:r>
              <w:rPr>
                <w:rFonts w:hint="eastAsia" w:ascii="Times New Roman" w:hAnsi="Times New Roman" w:eastAsia="宋体" w:cs="Times New Roman"/>
                <w:b w:val="0"/>
                <w:bCs w:val="0"/>
                <w:color w:val="auto"/>
                <w:kern w:val="0"/>
                <w:sz w:val="24"/>
                <w:szCs w:val="24"/>
                <w:highlight w:val="none"/>
                <w:lang w:val="en-US" w:eastAsia="zh-CN" w:bidi="ar"/>
              </w:rPr>
              <w:t>58</w:t>
            </w:r>
            <w:r>
              <w:rPr>
                <w:rFonts w:hint="default" w:ascii="Times New Roman" w:hAnsi="Times New Roman" w:eastAsia="宋体" w:cs="Times New Roman"/>
                <w:b w:val="0"/>
                <w:bCs w:val="0"/>
                <w:color w:val="auto"/>
                <w:kern w:val="0"/>
                <w:sz w:val="24"/>
                <w:szCs w:val="24"/>
                <w:highlight w:val="none"/>
                <w:lang w:val="en-US" w:eastAsia="zh-CN" w:bidi="ar"/>
              </w:rPr>
              <w:t>000m</w:t>
            </w:r>
            <w:r>
              <w:rPr>
                <w:rFonts w:hint="default" w:ascii="Times New Roman" w:hAnsi="Times New Roman" w:eastAsia="宋体" w:cs="Times New Roman"/>
                <w:b w:val="0"/>
                <w:bCs w:val="0"/>
                <w:color w:val="auto"/>
                <w:kern w:val="0"/>
                <w:sz w:val="24"/>
                <w:szCs w:val="24"/>
                <w:highlight w:val="none"/>
                <w:vertAlign w:val="superscript"/>
                <w:lang w:val="en-US" w:eastAsia="zh-CN" w:bidi="ar"/>
              </w:rPr>
              <w:t>3</w:t>
            </w:r>
            <w:r>
              <w:rPr>
                <w:rFonts w:hint="default" w:ascii="Times New Roman" w:hAnsi="Times New Roman" w:eastAsia="宋体" w:cs="Times New Roman"/>
                <w:b w:val="0"/>
                <w:bCs w:val="0"/>
                <w:color w:val="auto"/>
                <w:kern w:val="0"/>
                <w:sz w:val="24"/>
                <w:szCs w:val="24"/>
                <w:highlight w:val="none"/>
                <w:lang w:val="en-US" w:eastAsia="zh-CN" w:bidi="ar"/>
              </w:rPr>
              <w:t>/h÷</w:t>
            </w:r>
            <w:r>
              <w:rPr>
                <w:rFonts w:hint="eastAsia" w:ascii="Times New Roman" w:hAnsi="Times New Roman" w:eastAsia="宋体" w:cs="Times New Roman"/>
                <w:b w:val="0"/>
                <w:bCs w:val="0"/>
                <w:color w:val="auto"/>
                <w:kern w:val="0"/>
                <w:sz w:val="24"/>
                <w:szCs w:val="24"/>
                <w:highlight w:val="none"/>
                <w:lang w:val="en-US" w:eastAsia="zh-CN" w:bidi="ar"/>
              </w:rPr>
              <w:t>2640</w:t>
            </w:r>
            <w:r>
              <w:rPr>
                <w:rFonts w:hint="default" w:ascii="Times New Roman" w:hAnsi="Times New Roman" w:eastAsia="宋体" w:cs="Times New Roman"/>
                <w:b w:val="0"/>
                <w:bCs w:val="0"/>
                <w:color w:val="auto"/>
                <w:kern w:val="0"/>
                <w:sz w:val="24"/>
                <w:szCs w:val="24"/>
                <w:highlight w:val="none"/>
                <w:lang w:val="en-US" w:eastAsia="zh-CN" w:bidi="ar"/>
              </w:rPr>
              <w:t>h=</w:t>
            </w:r>
            <w:r>
              <w:rPr>
                <w:rFonts w:hint="eastAsia" w:cs="Times New Roman"/>
                <w:b w:val="0"/>
                <w:bCs w:val="0"/>
                <w:color w:val="auto"/>
                <w:kern w:val="0"/>
                <w:sz w:val="24"/>
                <w:szCs w:val="24"/>
                <w:highlight w:val="none"/>
                <w:lang w:val="en-US" w:eastAsia="zh-CN" w:bidi="ar"/>
              </w:rPr>
              <w:t>884.48</w:t>
            </w:r>
            <w:r>
              <w:rPr>
                <w:rFonts w:hint="default" w:ascii="Times New Roman" w:hAnsi="Times New Roman" w:eastAsia="宋体" w:cs="Times New Roman"/>
                <w:b w:val="0"/>
                <w:bCs w:val="0"/>
                <w:color w:val="auto"/>
                <w:kern w:val="0"/>
                <w:sz w:val="24"/>
                <w:szCs w:val="24"/>
                <w:highlight w:val="none"/>
                <w:lang w:val="en-US" w:eastAsia="zh-CN" w:bidi="ar"/>
              </w:rPr>
              <w:t>mg/m</w:t>
            </w:r>
            <w:r>
              <w:rPr>
                <w:rFonts w:hint="default" w:ascii="Times New Roman" w:hAnsi="Times New Roman" w:eastAsia="宋体" w:cs="Times New Roman"/>
                <w:b w:val="0"/>
                <w:bCs w:val="0"/>
                <w:color w:val="auto"/>
                <w:kern w:val="0"/>
                <w:sz w:val="24"/>
                <w:szCs w:val="24"/>
                <w:highlight w:val="none"/>
                <w:vertAlign w:val="superscript"/>
                <w:lang w:val="en-US" w:eastAsia="zh-CN" w:bidi="ar"/>
              </w:rPr>
              <w:t>3</w:t>
            </w:r>
            <w:r>
              <w:rPr>
                <w:rFonts w:hint="default" w:ascii="Times New Roman" w:hAnsi="Times New Roman" w:eastAsia="宋体" w:cs="Times New Roman"/>
                <w:b w:val="0"/>
                <w:bCs w:val="0"/>
                <w:color w:val="auto"/>
                <w:kern w:val="0"/>
                <w:sz w:val="24"/>
                <w:szCs w:val="24"/>
                <w:highlight w:val="none"/>
                <w:lang w:val="en-US" w:eastAsia="zh-CN" w:bidi="ar"/>
              </w:rPr>
              <w:t>；</w:t>
            </w:r>
          </w:p>
          <w:p w14:paraId="7EE41E0F">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颗粒物产生速率=</w:t>
            </w:r>
            <w:r>
              <w:rPr>
                <w:rFonts w:hint="eastAsia" w:cs="Times New Roman"/>
                <w:b w:val="0"/>
                <w:bCs w:val="0"/>
                <w:color w:val="auto"/>
                <w:kern w:val="0"/>
                <w:sz w:val="24"/>
                <w:szCs w:val="24"/>
                <w:highlight w:val="none"/>
                <w:lang w:val="en-US" w:eastAsia="zh-CN" w:bidi="ar"/>
              </w:rPr>
              <w:t>135.432</w:t>
            </w:r>
            <w:r>
              <w:rPr>
                <w:rFonts w:hint="default" w:ascii="Times New Roman" w:hAnsi="Times New Roman" w:eastAsia="宋体" w:cs="Times New Roman"/>
                <w:b w:val="0"/>
                <w:bCs w:val="0"/>
                <w:color w:val="auto"/>
                <w:kern w:val="0"/>
                <w:sz w:val="24"/>
                <w:szCs w:val="24"/>
                <w:highlight w:val="none"/>
                <w:lang w:val="en-US" w:eastAsia="zh-CN" w:bidi="ar"/>
              </w:rPr>
              <w:t>t/a÷</w:t>
            </w:r>
            <w:r>
              <w:rPr>
                <w:rFonts w:hint="eastAsia" w:ascii="Times New Roman" w:hAnsi="Times New Roman" w:eastAsia="宋体" w:cs="Times New Roman"/>
                <w:b w:val="0"/>
                <w:bCs w:val="0"/>
                <w:color w:val="auto"/>
                <w:kern w:val="0"/>
                <w:sz w:val="24"/>
                <w:szCs w:val="24"/>
                <w:highlight w:val="none"/>
                <w:lang w:val="en-US" w:eastAsia="zh-CN" w:bidi="ar"/>
              </w:rPr>
              <w:t>264</w:t>
            </w:r>
            <w:r>
              <w:rPr>
                <w:rFonts w:hint="default" w:ascii="Times New Roman" w:hAnsi="Times New Roman" w:eastAsia="宋体" w:cs="Times New Roman"/>
                <w:b w:val="0"/>
                <w:bCs w:val="0"/>
                <w:color w:val="auto"/>
                <w:kern w:val="0"/>
                <w:sz w:val="24"/>
                <w:szCs w:val="24"/>
                <w:highlight w:val="none"/>
                <w:lang w:val="en-US" w:eastAsia="zh-CN" w:bidi="ar"/>
              </w:rPr>
              <w:t>0h=</w:t>
            </w:r>
            <w:r>
              <w:rPr>
                <w:rFonts w:hint="eastAsia" w:cs="Times New Roman"/>
                <w:b w:val="0"/>
                <w:bCs w:val="0"/>
                <w:color w:val="auto"/>
                <w:kern w:val="0"/>
                <w:sz w:val="24"/>
                <w:szCs w:val="24"/>
                <w:highlight w:val="none"/>
                <w:lang w:val="en-US" w:eastAsia="zh-CN" w:bidi="ar"/>
              </w:rPr>
              <w:t>51.3</w:t>
            </w:r>
            <w:r>
              <w:rPr>
                <w:rFonts w:hint="default" w:ascii="Times New Roman" w:hAnsi="Times New Roman" w:eastAsia="宋体" w:cs="Times New Roman"/>
                <w:b w:val="0"/>
                <w:bCs w:val="0"/>
                <w:color w:val="auto"/>
                <w:kern w:val="0"/>
                <w:sz w:val="24"/>
                <w:szCs w:val="24"/>
                <w:highlight w:val="none"/>
                <w:lang w:val="en-US" w:eastAsia="zh-CN" w:bidi="ar"/>
              </w:rPr>
              <w:t>kg/h；</w:t>
            </w:r>
          </w:p>
          <w:p w14:paraId="4B440E7F">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颗粒物有组织排放量=10mg/m</w:t>
            </w:r>
            <w:r>
              <w:rPr>
                <w:rFonts w:hint="default" w:ascii="Times New Roman" w:hAnsi="Times New Roman" w:eastAsia="宋体" w:cs="Times New Roman"/>
                <w:b w:val="0"/>
                <w:bCs w:val="0"/>
                <w:color w:val="auto"/>
                <w:kern w:val="0"/>
                <w:sz w:val="24"/>
                <w:szCs w:val="24"/>
                <w:highlight w:val="none"/>
                <w:vertAlign w:val="superscript"/>
                <w:lang w:val="en-US" w:eastAsia="zh-CN" w:bidi="ar"/>
              </w:rPr>
              <w:t>3</w:t>
            </w:r>
            <w:r>
              <w:rPr>
                <w:rFonts w:hint="default" w:ascii="Times New Roman" w:hAnsi="Times New Roman" w:eastAsia="宋体" w:cs="Times New Roman"/>
                <w:b w:val="0"/>
                <w:bCs w:val="0"/>
                <w:color w:val="auto"/>
                <w:kern w:val="0"/>
                <w:sz w:val="24"/>
                <w:szCs w:val="24"/>
                <w:highlight w:val="none"/>
                <w:lang w:val="en-US" w:eastAsia="zh-CN" w:bidi="ar"/>
              </w:rPr>
              <w:t>×</w:t>
            </w:r>
            <w:r>
              <w:rPr>
                <w:rFonts w:hint="eastAsia" w:ascii="Times New Roman" w:hAnsi="Times New Roman" w:eastAsia="宋体" w:cs="Times New Roman"/>
                <w:b w:val="0"/>
                <w:bCs w:val="0"/>
                <w:color w:val="auto"/>
                <w:kern w:val="0"/>
                <w:sz w:val="24"/>
                <w:szCs w:val="24"/>
                <w:highlight w:val="none"/>
                <w:lang w:val="en-US" w:eastAsia="zh-CN" w:bidi="ar"/>
              </w:rPr>
              <w:t>5</w:t>
            </w:r>
            <w:r>
              <w:rPr>
                <w:rFonts w:hint="default" w:ascii="Times New Roman" w:hAnsi="Times New Roman" w:eastAsia="宋体" w:cs="Times New Roman"/>
                <w:b w:val="0"/>
                <w:bCs w:val="0"/>
                <w:color w:val="auto"/>
                <w:kern w:val="0"/>
                <w:sz w:val="24"/>
                <w:szCs w:val="24"/>
                <w:highlight w:val="none"/>
                <w:lang w:val="en-US" w:eastAsia="zh-CN" w:bidi="ar"/>
              </w:rPr>
              <w:t>8000m</w:t>
            </w:r>
            <w:r>
              <w:rPr>
                <w:rFonts w:hint="default" w:ascii="Times New Roman" w:hAnsi="Times New Roman" w:eastAsia="宋体" w:cs="Times New Roman"/>
                <w:b w:val="0"/>
                <w:bCs w:val="0"/>
                <w:color w:val="auto"/>
                <w:kern w:val="0"/>
                <w:sz w:val="24"/>
                <w:szCs w:val="24"/>
                <w:highlight w:val="none"/>
                <w:vertAlign w:val="superscript"/>
                <w:lang w:val="en-US" w:eastAsia="zh-CN" w:bidi="ar"/>
              </w:rPr>
              <w:t>3</w:t>
            </w:r>
            <w:r>
              <w:rPr>
                <w:rFonts w:hint="default" w:ascii="Times New Roman" w:hAnsi="Times New Roman" w:eastAsia="宋体" w:cs="Times New Roman"/>
                <w:b w:val="0"/>
                <w:bCs w:val="0"/>
                <w:color w:val="auto"/>
                <w:kern w:val="0"/>
                <w:sz w:val="24"/>
                <w:szCs w:val="24"/>
                <w:highlight w:val="none"/>
                <w:lang w:val="en-US" w:eastAsia="zh-CN" w:bidi="ar"/>
              </w:rPr>
              <w:t>/h×</w:t>
            </w:r>
            <w:r>
              <w:rPr>
                <w:rFonts w:hint="eastAsia" w:ascii="Times New Roman" w:hAnsi="Times New Roman" w:eastAsia="宋体" w:cs="Times New Roman"/>
                <w:b w:val="0"/>
                <w:bCs w:val="0"/>
                <w:color w:val="auto"/>
                <w:kern w:val="0"/>
                <w:sz w:val="24"/>
                <w:szCs w:val="24"/>
                <w:highlight w:val="none"/>
                <w:lang w:val="en-US" w:eastAsia="zh-CN" w:bidi="ar"/>
              </w:rPr>
              <w:t>2640</w:t>
            </w:r>
            <w:r>
              <w:rPr>
                <w:rFonts w:hint="default" w:ascii="Times New Roman" w:hAnsi="Times New Roman" w:eastAsia="宋体" w:cs="Times New Roman"/>
                <w:b w:val="0"/>
                <w:bCs w:val="0"/>
                <w:color w:val="auto"/>
                <w:kern w:val="0"/>
                <w:sz w:val="24"/>
                <w:szCs w:val="24"/>
                <w:highlight w:val="none"/>
                <w:lang w:val="en-US" w:eastAsia="zh-CN" w:bidi="ar"/>
              </w:rPr>
              <w:t>h=</w:t>
            </w:r>
            <w:r>
              <w:rPr>
                <w:rFonts w:hint="eastAsia" w:ascii="Times New Roman" w:hAnsi="Times New Roman" w:eastAsia="宋体" w:cs="Times New Roman"/>
                <w:b w:val="0"/>
                <w:bCs w:val="0"/>
                <w:color w:val="auto"/>
                <w:kern w:val="0"/>
                <w:sz w:val="24"/>
                <w:szCs w:val="24"/>
                <w:highlight w:val="none"/>
                <w:lang w:val="en-US" w:eastAsia="zh-CN" w:bidi="ar"/>
              </w:rPr>
              <w:t>1.53</w:t>
            </w:r>
            <w:r>
              <w:rPr>
                <w:rFonts w:hint="default" w:ascii="Times New Roman" w:hAnsi="Times New Roman" w:eastAsia="宋体" w:cs="Times New Roman"/>
                <w:b w:val="0"/>
                <w:bCs w:val="0"/>
                <w:color w:val="auto"/>
                <w:kern w:val="0"/>
                <w:sz w:val="24"/>
                <w:szCs w:val="24"/>
                <w:highlight w:val="none"/>
                <w:lang w:val="en-US" w:eastAsia="zh-CN" w:bidi="ar"/>
              </w:rPr>
              <w:t>t/a；</w:t>
            </w:r>
          </w:p>
          <w:p w14:paraId="5AC444E2">
            <w:pPr>
              <w:pStyle w:val="11"/>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rightChars="0" w:firstLine="480" w:firstLineChars="200"/>
              <w:textAlignment w:val="auto"/>
              <w:rPr>
                <w:rFonts w:hint="default" w:ascii="Times New Roman" w:hAnsi="Times New Roman" w:cs="Times New Roman"/>
                <w:color w:val="auto"/>
                <w:szCs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bidi="ar"/>
              </w:rPr>
              <w:t>颗粒物排放速率=10mg/m</w:t>
            </w:r>
            <w:r>
              <w:rPr>
                <w:rFonts w:hint="default" w:ascii="Times New Roman" w:hAnsi="Times New Roman" w:eastAsia="宋体" w:cs="Times New Roman"/>
                <w:b w:val="0"/>
                <w:bCs w:val="0"/>
                <w:color w:val="auto"/>
                <w:kern w:val="0"/>
                <w:sz w:val="24"/>
                <w:highlight w:val="none"/>
                <w:vertAlign w:val="superscript"/>
                <w:lang w:val="en-US" w:eastAsia="zh-CN" w:bidi="ar"/>
              </w:rPr>
              <w:t>3</w:t>
            </w:r>
            <w:r>
              <w:rPr>
                <w:rFonts w:hint="default" w:ascii="Times New Roman" w:hAnsi="Times New Roman" w:eastAsia="宋体" w:cs="Times New Roman"/>
                <w:b w:val="0"/>
                <w:bCs w:val="0"/>
                <w:color w:val="auto"/>
                <w:kern w:val="0"/>
                <w:sz w:val="24"/>
                <w:highlight w:val="none"/>
                <w:lang w:val="en-US" w:eastAsia="zh-CN" w:bidi="ar"/>
              </w:rPr>
              <w:t>×</w:t>
            </w:r>
            <w:r>
              <w:rPr>
                <w:rFonts w:hint="eastAsia" w:ascii="Times New Roman" w:hAnsi="Times New Roman" w:eastAsia="宋体" w:cs="Times New Roman"/>
                <w:b w:val="0"/>
                <w:bCs w:val="0"/>
                <w:color w:val="auto"/>
                <w:kern w:val="0"/>
                <w:sz w:val="24"/>
                <w:highlight w:val="none"/>
                <w:lang w:val="en-US" w:eastAsia="zh-CN" w:bidi="ar"/>
              </w:rPr>
              <w:t>5</w:t>
            </w:r>
            <w:r>
              <w:rPr>
                <w:rFonts w:hint="default" w:ascii="Times New Roman" w:hAnsi="Times New Roman" w:eastAsia="宋体" w:cs="Times New Roman"/>
                <w:b w:val="0"/>
                <w:bCs w:val="0"/>
                <w:color w:val="auto"/>
                <w:kern w:val="0"/>
                <w:sz w:val="24"/>
                <w:highlight w:val="none"/>
                <w:lang w:val="en-US" w:eastAsia="zh-CN" w:bidi="ar"/>
              </w:rPr>
              <w:t>8000m</w:t>
            </w:r>
            <w:r>
              <w:rPr>
                <w:rFonts w:hint="default" w:ascii="Times New Roman" w:hAnsi="Times New Roman" w:eastAsia="宋体" w:cs="Times New Roman"/>
                <w:b w:val="0"/>
                <w:bCs w:val="0"/>
                <w:color w:val="auto"/>
                <w:kern w:val="0"/>
                <w:sz w:val="24"/>
                <w:highlight w:val="none"/>
                <w:vertAlign w:val="superscript"/>
                <w:lang w:val="en-US" w:eastAsia="zh-CN" w:bidi="ar"/>
              </w:rPr>
              <w:t>3</w:t>
            </w:r>
            <w:r>
              <w:rPr>
                <w:rFonts w:hint="default" w:ascii="Times New Roman" w:hAnsi="Times New Roman" w:eastAsia="宋体" w:cs="Times New Roman"/>
                <w:b w:val="0"/>
                <w:bCs w:val="0"/>
                <w:color w:val="auto"/>
                <w:kern w:val="0"/>
                <w:sz w:val="24"/>
                <w:highlight w:val="none"/>
                <w:lang w:val="en-US" w:eastAsia="zh-CN" w:bidi="ar"/>
              </w:rPr>
              <w:t>/h=0.</w:t>
            </w:r>
            <w:r>
              <w:rPr>
                <w:rFonts w:hint="eastAsia" w:ascii="Times New Roman" w:hAnsi="Times New Roman" w:eastAsia="宋体" w:cs="Times New Roman"/>
                <w:b w:val="0"/>
                <w:bCs w:val="0"/>
                <w:color w:val="auto"/>
                <w:kern w:val="0"/>
                <w:sz w:val="24"/>
                <w:highlight w:val="none"/>
                <w:lang w:val="en-US" w:eastAsia="zh-CN" w:bidi="ar"/>
              </w:rPr>
              <w:t>5</w:t>
            </w:r>
            <w:r>
              <w:rPr>
                <w:rFonts w:hint="default" w:ascii="Times New Roman" w:hAnsi="Times New Roman" w:eastAsia="宋体" w:cs="Times New Roman"/>
                <w:b w:val="0"/>
                <w:bCs w:val="0"/>
                <w:color w:val="auto"/>
                <w:kern w:val="0"/>
                <w:sz w:val="24"/>
                <w:highlight w:val="none"/>
                <w:lang w:val="en-US" w:eastAsia="zh-CN" w:bidi="ar"/>
              </w:rPr>
              <w:t>8kg/h。</w:t>
            </w:r>
          </w:p>
          <w:p w14:paraId="369805F0">
            <w:pPr>
              <w:pStyle w:val="11"/>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rightChars="0" w:firstLine="480" w:firstLineChars="200"/>
              <w:textAlignment w:val="auto"/>
              <w:rPr>
                <w:rFonts w:hint="default" w:ascii="宋体" w:hAnsi="宋体" w:eastAsia="宋体" w:cs="宋体"/>
                <w:b w:val="0"/>
                <w:bCs w:val="0"/>
                <w:color w:val="auto"/>
                <w:kern w:val="0"/>
                <w:sz w:val="24"/>
                <w:szCs w:val="24"/>
                <w:highlight w:val="none"/>
                <w:lang w:val="en-US" w:eastAsia="zh-CN" w:bidi="ar"/>
              </w:rPr>
            </w:pPr>
            <w:r>
              <w:rPr>
                <w:rFonts w:hint="eastAsia" w:ascii="宋体" w:hAnsi="宋体" w:cs="宋体"/>
                <w:b w:val="0"/>
                <w:bCs w:val="0"/>
                <w:color w:val="auto"/>
                <w:kern w:val="0"/>
                <w:sz w:val="24"/>
                <w:szCs w:val="24"/>
                <w:highlight w:val="none"/>
                <w:lang w:val="en-US" w:eastAsia="zh-CN" w:bidi="ar"/>
              </w:rPr>
              <w:t>2.</w:t>
            </w:r>
            <w:r>
              <w:rPr>
                <w:rFonts w:hint="eastAsia" w:ascii="宋体" w:hAnsi="宋体" w:eastAsia="宋体" w:cs="宋体"/>
                <w:b w:val="0"/>
                <w:bCs w:val="0"/>
                <w:color w:val="auto"/>
                <w:kern w:val="0"/>
                <w:sz w:val="24"/>
                <w:szCs w:val="24"/>
                <w:highlight w:val="none"/>
                <w:lang w:val="en-US" w:eastAsia="zh-CN" w:bidi="ar"/>
              </w:rPr>
              <w:t>未捕集粉尘</w:t>
            </w:r>
          </w:p>
          <w:p w14:paraId="038049DC">
            <w:pPr>
              <w:pStyle w:val="11"/>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leftChars="0" w:right="0" w:rightChars="0" w:firstLine="480" w:firstLineChars="200"/>
              <w:textAlignment w:val="auto"/>
              <w:rPr>
                <w:rFonts w:hint="default" w:ascii="宋体" w:hAnsi="宋体" w:eastAsia="宋体" w:cs="宋体"/>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捕集</w:t>
            </w:r>
            <w:r>
              <w:rPr>
                <w:rFonts w:hint="eastAsia" w:ascii="宋体" w:hAnsi="宋体" w:cs="宋体"/>
                <w:b w:val="0"/>
                <w:bCs w:val="0"/>
                <w:color w:val="auto"/>
                <w:kern w:val="0"/>
                <w:sz w:val="24"/>
                <w:szCs w:val="24"/>
                <w:highlight w:val="none"/>
                <w:lang w:val="en-US" w:eastAsia="zh-CN" w:bidi="ar"/>
              </w:rPr>
              <w:t>效率为90%，未</w:t>
            </w:r>
            <w:r>
              <w:rPr>
                <w:rFonts w:hint="default" w:ascii="Times New Roman" w:hAnsi="Times New Roman" w:eastAsia="宋体" w:cs="Times New Roman"/>
                <w:b w:val="0"/>
                <w:bCs w:val="0"/>
                <w:color w:val="auto"/>
                <w:kern w:val="0"/>
                <w:sz w:val="24"/>
                <w:szCs w:val="24"/>
                <w:highlight w:val="none"/>
                <w:lang w:val="en-US" w:eastAsia="zh-CN" w:bidi="ar"/>
              </w:rPr>
              <w:t>捕集</w:t>
            </w:r>
            <w:r>
              <w:rPr>
                <w:rFonts w:hint="eastAsia" w:cs="Times New Roman"/>
                <w:b w:val="0"/>
                <w:bCs w:val="0"/>
                <w:color w:val="auto"/>
                <w:kern w:val="0"/>
                <w:sz w:val="24"/>
                <w:szCs w:val="24"/>
                <w:highlight w:val="none"/>
                <w:lang w:val="en-US" w:eastAsia="zh-CN" w:bidi="ar"/>
              </w:rPr>
              <w:t>效率为10%，</w:t>
            </w:r>
            <w:r>
              <w:rPr>
                <w:rFonts w:hint="eastAsia" w:ascii="宋体" w:hAnsi="宋体" w:eastAsia="宋体" w:cs="宋体"/>
                <w:b w:val="0"/>
                <w:bCs w:val="0"/>
                <w:color w:val="auto"/>
                <w:kern w:val="0"/>
                <w:sz w:val="24"/>
                <w:szCs w:val="24"/>
                <w:highlight w:val="none"/>
                <w:lang w:val="en-US" w:eastAsia="zh-CN" w:bidi="ar"/>
              </w:rPr>
              <w:t>未捕集的粉尘</w:t>
            </w:r>
            <w:r>
              <w:rPr>
                <w:rFonts w:hint="eastAsia" w:ascii="宋体" w:hAnsi="宋体" w:cs="宋体"/>
                <w:b w:val="0"/>
                <w:bCs w:val="0"/>
                <w:color w:val="auto"/>
                <w:kern w:val="0"/>
                <w:sz w:val="24"/>
                <w:szCs w:val="24"/>
                <w:highlight w:val="none"/>
                <w:lang w:val="en-US" w:eastAsia="zh-CN" w:bidi="ar"/>
              </w:rPr>
              <w:t>为7.128</w:t>
            </w:r>
            <w:r>
              <w:rPr>
                <w:rFonts w:hint="eastAsia" w:ascii="宋体" w:hAnsi="宋体" w:eastAsia="宋体" w:cs="宋体"/>
                <w:b w:val="0"/>
                <w:bCs w:val="0"/>
                <w:color w:val="auto"/>
                <w:kern w:val="0"/>
                <w:sz w:val="24"/>
                <w:szCs w:val="24"/>
                <w:highlight w:val="none"/>
                <w:lang w:val="en-US" w:eastAsia="zh-CN" w:bidi="ar"/>
              </w:rPr>
              <w:t>t/a，经全封闭厂房隔绝，隔绝效率取99%，约1%的粉尘通过车间门窗等以无组织形式排放，排放量</w:t>
            </w:r>
            <w:r>
              <w:rPr>
                <w:rFonts w:hint="eastAsia" w:ascii="宋体" w:hAnsi="宋体" w:cs="宋体"/>
                <w:b w:val="0"/>
                <w:bCs w:val="0"/>
                <w:color w:val="auto"/>
                <w:kern w:val="0"/>
                <w:sz w:val="24"/>
                <w:szCs w:val="24"/>
                <w:highlight w:val="none"/>
                <w:lang w:val="en-US" w:eastAsia="zh-CN" w:bidi="ar"/>
              </w:rPr>
              <w:t>0.07128</w:t>
            </w:r>
            <w:r>
              <w:rPr>
                <w:rFonts w:hint="eastAsia" w:ascii="宋体" w:hAnsi="宋体" w:eastAsia="宋体" w:cs="宋体"/>
                <w:b w:val="0"/>
                <w:bCs w:val="0"/>
                <w:color w:val="auto"/>
                <w:kern w:val="0"/>
                <w:sz w:val="24"/>
                <w:szCs w:val="24"/>
                <w:highlight w:val="none"/>
                <w:lang w:val="en-US" w:eastAsia="zh-CN" w:bidi="ar"/>
              </w:rPr>
              <w:t>t/a。</w:t>
            </w:r>
          </w:p>
          <w:p w14:paraId="0D945D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1.1.3非正常工况</w:t>
            </w:r>
          </w:p>
          <w:p w14:paraId="45DB9342">
            <w:pPr>
              <w:pStyle w:val="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auto"/>
                <w:szCs w:val="24"/>
                <w:highlight w:val="none"/>
                <w:lang w:val="en-US" w:eastAsia="zh-CN"/>
              </w:rPr>
            </w:pPr>
            <w:r>
              <w:rPr>
                <w:rFonts w:hint="eastAsia" w:ascii="Times New Roman" w:hAnsi="Times New Roman" w:eastAsia="宋体" w:cs="Times New Roman"/>
                <w:color w:val="auto"/>
                <w:szCs w:val="24"/>
                <w:highlight w:val="none"/>
                <w:lang w:val="en-US" w:eastAsia="zh-CN"/>
              </w:rPr>
              <w:t>非正常工况排放情况考虑有组织废气治理设施发生故障，粉尘未经处理就直接排放的情景，当粉尘治理设施布袋除尘器发生故障时，应立即停产，非正常排放时间按1h计算，非正常排放量核算详见下表。</w:t>
            </w:r>
          </w:p>
          <w:p w14:paraId="742D1DEB">
            <w:pPr>
              <w:pStyle w:val="6"/>
              <w:adjustRightInd w:val="0"/>
              <w:snapToGrid w:val="0"/>
              <w:spacing w:line="460" w:lineRule="exact"/>
              <w:ind w:firstLine="482" w:firstLineChars="20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表4-</w:t>
            </w:r>
            <w:r>
              <w:rPr>
                <w:rFonts w:hint="eastAsia"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项目废气污染物非正常排放核算表</w:t>
            </w:r>
          </w:p>
          <w:tbl>
            <w:tblPr>
              <w:tblStyle w:val="23"/>
              <w:tblW w:w="4996" w:type="pct"/>
              <w:tblInd w:w="-7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423"/>
              <w:gridCol w:w="833"/>
              <w:gridCol w:w="568"/>
              <w:gridCol w:w="960"/>
              <w:gridCol w:w="1069"/>
              <w:gridCol w:w="1009"/>
              <w:gridCol w:w="731"/>
              <w:gridCol w:w="844"/>
              <w:gridCol w:w="667"/>
              <w:gridCol w:w="794"/>
            </w:tblGrid>
            <w:tr w14:paraId="48A2B5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68" w:type="pct"/>
                  <w:tcBorders>
                    <w:tl2br w:val="nil"/>
                    <w:tr2bl w:val="nil"/>
                  </w:tcBorders>
                  <w:noWrap w:val="0"/>
                  <w:vAlign w:val="center"/>
                </w:tcPr>
                <w:p w14:paraId="43CBF77F">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序号</w:t>
                  </w:r>
                </w:p>
              </w:tc>
              <w:tc>
                <w:tcPr>
                  <w:tcW w:w="527" w:type="pct"/>
                  <w:tcBorders>
                    <w:tl2br w:val="nil"/>
                    <w:tr2bl w:val="nil"/>
                  </w:tcBorders>
                  <w:noWrap w:val="0"/>
                  <w:vAlign w:val="center"/>
                </w:tcPr>
                <w:p w14:paraId="1E7B64F4">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污染源</w:t>
                  </w:r>
                </w:p>
              </w:tc>
              <w:tc>
                <w:tcPr>
                  <w:tcW w:w="359" w:type="pct"/>
                  <w:tcBorders>
                    <w:tl2br w:val="nil"/>
                    <w:tr2bl w:val="nil"/>
                  </w:tcBorders>
                  <w:noWrap w:val="0"/>
                  <w:vAlign w:val="center"/>
                </w:tcPr>
                <w:p w14:paraId="75D74C80">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非正常排放原因</w:t>
                  </w:r>
                </w:p>
              </w:tc>
              <w:tc>
                <w:tcPr>
                  <w:tcW w:w="607" w:type="pct"/>
                  <w:tcBorders>
                    <w:tl2br w:val="nil"/>
                    <w:tr2bl w:val="nil"/>
                  </w:tcBorders>
                  <w:noWrap w:val="0"/>
                  <w:vAlign w:val="center"/>
                </w:tcPr>
                <w:p w14:paraId="7735E13F">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污染物</w:t>
                  </w:r>
                </w:p>
              </w:tc>
              <w:tc>
                <w:tcPr>
                  <w:tcW w:w="676" w:type="pct"/>
                  <w:tcBorders>
                    <w:tl2br w:val="nil"/>
                    <w:tr2bl w:val="nil"/>
                  </w:tcBorders>
                  <w:noWrap w:val="0"/>
                  <w:vAlign w:val="center"/>
                </w:tcPr>
                <w:p w14:paraId="00092FC5">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非正常排放浓度/（mg/m</w:t>
                  </w:r>
                  <w:r>
                    <w:rPr>
                      <w:rFonts w:hint="eastAsia" w:ascii="Times New Roman" w:hAnsi="Times New Roman" w:eastAsia="宋体" w:cs="Times New Roman"/>
                      <w:color w:val="auto"/>
                      <w:szCs w:val="21"/>
                      <w:highlight w:val="none"/>
                      <w:vertAlign w:val="superscript"/>
                      <w:lang w:eastAsia="zh-CN"/>
                    </w:rPr>
                    <w:t>3</w:t>
                  </w:r>
                  <w:r>
                    <w:rPr>
                      <w:rFonts w:hint="eastAsia" w:ascii="Times New Roman" w:hAnsi="Times New Roman" w:eastAsia="宋体" w:cs="Times New Roman"/>
                      <w:color w:val="auto"/>
                      <w:szCs w:val="21"/>
                      <w:highlight w:val="none"/>
                      <w:lang w:eastAsia="zh-CN"/>
                    </w:rPr>
                    <w:t>）</w:t>
                  </w:r>
                </w:p>
              </w:tc>
              <w:tc>
                <w:tcPr>
                  <w:tcW w:w="638" w:type="pct"/>
                  <w:tcBorders>
                    <w:tl2br w:val="nil"/>
                    <w:tr2bl w:val="nil"/>
                  </w:tcBorders>
                  <w:noWrap w:val="0"/>
                  <w:vAlign w:val="center"/>
                </w:tcPr>
                <w:p w14:paraId="57636C97">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非正常</w:t>
                  </w:r>
                  <w:r>
                    <w:rPr>
                      <w:rFonts w:hint="eastAsia" w:ascii="Times New Roman" w:hAnsi="Times New Roman" w:eastAsia="宋体" w:cs="Times New Roman"/>
                      <w:color w:val="auto"/>
                      <w:szCs w:val="21"/>
                      <w:highlight w:val="none"/>
                    </w:rPr>
                    <w:t>排放速率</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rPr>
                    <w:t>kg/h</w:t>
                  </w:r>
                  <w:r>
                    <w:rPr>
                      <w:rFonts w:hint="eastAsia" w:ascii="Times New Roman" w:hAnsi="Times New Roman" w:eastAsia="宋体" w:cs="Times New Roman"/>
                      <w:color w:val="auto"/>
                      <w:szCs w:val="21"/>
                      <w:highlight w:val="none"/>
                      <w:lang w:eastAsia="zh-CN"/>
                    </w:rPr>
                    <w:t>）</w:t>
                  </w:r>
                </w:p>
              </w:tc>
              <w:tc>
                <w:tcPr>
                  <w:tcW w:w="462" w:type="pct"/>
                  <w:tcBorders>
                    <w:tl2br w:val="nil"/>
                    <w:tr2bl w:val="nil"/>
                  </w:tcBorders>
                  <w:noWrap w:val="0"/>
                  <w:vAlign w:val="center"/>
                </w:tcPr>
                <w:p w14:paraId="18D45C07">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单次持续时间/h</w:t>
                  </w:r>
                </w:p>
              </w:tc>
              <w:tc>
                <w:tcPr>
                  <w:tcW w:w="534" w:type="pct"/>
                  <w:tcBorders>
                    <w:tl2br w:val="nil"/>
                    <w:tr2bl w:val="nil"/>
                  </w:tcBorders>
                  <w:noWrap w:val="0"/>
                  <w:vAlign w:val="center"/>
                </w:tcPr>
                <w:p w14:paraId="31109879">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rPr>
                    <w:t>排放量/</w:t>
                  </w:r>
                  <w:r>
                    <w:rPr>
                      <w:rFonts w:hint="eastAsia" w:ascii="Times New Roman" w:hAnsi="Times New Roman" w:eastAsia="宋体" w:cs="Times New Roman"/>
                      <w:color w:val="auto"/>
                      <w:szCs w:val="21"/>
                      <w:highlight w:val="none"/>
                      <w:lang w:eastAsia="zh-CN"/>
                    </w:rPr>
                    <w:t>（kg）</w:t>
                  </w:r>
                </w:p>
              </w:tc>
              <w:tc>
                <w:tcPr>
                  <w:tcW w:w="422" w:type="pct"/>
                  <w:tcBorders>
                    <w:tl2br w:val="nil"/>
                    <w:tr2bl w:val="nil"/>
                  </w:tcBorders>
                  <w:noWrap w:val="0"/>
                  <w:vAlign w:val="center"/>
                </w:tcPr>
                <w:p w14:paraId="26D5B661">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年发生频次/次</w:t>
                  </w:r>
                </w:p>
              </w:tc>
              <w:tc>
                <w:tcPr>
                  <w:tcW w:w="502" w:type="pct"/>
                  <w:tcBorders>
                    <w:tl2br w:val="nil"/>
                    <w:tr2bl w:val="nil"/>
                  </w:tcBorders>
                  <w:noWrap w:val="0"/>
                  <w:vAlign w:val="center"/>
                </w:tcPr>
                <w:p w14:paraId="49B42677">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应对措施</w:t>
                  </w:r>
                </w:p>
              </w:tc>
            </w:tr>
            <w:tr w14:paraId="317CE9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268" w:type="pct"/>
                  <w:vMerge w:val="restart"/>
                  <w:tcBorders>
                    <w:tl2br w:val="nil"/>
                    <w:tr2bl w:val="nil"/>
                  </w:tcBorders>
                  <w:noWrap w:val="0"/>
                  <w:vAlign w:val="center"/>
                </w:tcPr>
                <w:p w14:paraId="09B6E230">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1</w:t>
                  </w:r>
                </w:p>
              </w:tc>
              <w:tc>
                <w:tcPr>
                  <w:tcW w:w="527" w:type="pct"/>
                  <w:vMerge w:val="restart"/>
                  <w:tcBorders>
                    <w:tl2br w:val="nil"/>
                    <w:tr2bl w:val="nil"/>
                  </w:tcBorders>
                  <w:noWrap w:val="0"/>
                  <w:vAlign w:val="center"/>
                </w:tcPr>
                <w:p w14:paraId="27AF6F9F">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DA001</w:t>
                  </w:r>
                </w:p>
              </w:tc>
              <w:tc>
                <w:tcPr>
                  <w:tcW w:w="359" w:type="pct"/>
                  <w:vMerge w:val="restart"/>
                  <w:tcBorders>
                    <w:tl2br w:val="nil"/>
                    <w:tr2bl w:val="nil"/>
                  </w:tcBorders>
                  <w:noWrap w:val="0"/>
                  <w:vAlign w:val="center"/>
                </w:tcPr>
                <w:p w14:paraId="7E76FA29">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除尘设备发生故障</w:t>
                  </w:r>
                </w:p>
              </w:tc>
              <w:tc>
                <w:tcPr>
                  <w:tcW w:w="607" w:type="pct"/>
                  <w:tcBorders>
                    <w:tl2br w:val="nil"/>
                    <w:tr2bl w:val="nil"/>
                  </w:tcBorders>
                  <w:noWrap w:val="0"/>
                  <w:vAlign w:val="center"/>
                </w:tcPr>
                <w:p w14:paraId="05102912">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颗粒物</w:t>
                  </w:r>
                </w:p>
              </w:tc>
              <w:tc>
                <w:tcPr>
                  <w:tcW w:w="676" w:type="pct"/>
                  <w:tcBorders>
                    <w:tl2br w:val="nil"/>
                    <w:tr2bl w:val="nil"/>
                  </w:tcBorders>
                  <w:noWrap w:val="0"/>
                  <w:vAlign w:val="center"/>
                </w:tcPr>
                <w:p w14:paraId="6CB318C7">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highlight w:val="none"/>
                      <w:vertAlign w:val="baseline"/>
                      <w:lang w:val="en-US" w:eastAsia="zh-CN"/>
                    </w:rPr>
                    <w:t>1576</w:t>
                  </w:r>
                </w:p>
              </w:tc>
              <w:tc>
                <w:tcPr>
                  <w:tcW w:w="638" w:type="pct"/>
                  <w:tcBorders>
                    <w:tl2br w:val="nil"/>
                    <w:tr2bl w:val="nil"/>
                  </w:tcBorders>
                  <w:noWrap w:val="0"/>
                  <w:vAlign w:val="center"/>
                </w:tcPr>
                <w:p w14:paraId="19995BF9">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21.78</w:t>
                  </w:r>
                </w:p>
              </w:tc>
              <w:tc>
                <w:tcPr>
                  <w:tcW w:w="462" w:type="pct"/>
                  <w:tcBorders>
                    <w:tl2br w:val="nil"/>
                    <w:tr2bl w:val="nil"/>
                  </w:tcBorders>
                  <w:noWrap w:val="0"/>
                  <w:vAlign w:val="center"/>
                </w:tcPr>
                <w:p w14:paraId="70173101">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1</w:t>
                  </w:r>
                </w:p>
              </w:tc>
              <w:tc>
                <w:tcPr>
                  <w:tcW w:w="534" w:type="pct"/>
                  <w:tcBorders>
                    <w:tl2br w:val="nil"/>
                    <w:tr2bl w:val="nil"/>
                  </w:tcBorders>
                  <w:shd w:val="clear" w:color="auto" w:fill="auto"/>
                  <w:noWrap w:val="0"/>
                  <w:vAlign w:val="center"/>
                </w:tcPr>
                <w:p w14:paraId="6F3C019D">
                  <w:pPr>
                    <w:keepNext w:val="0"/>
                    <w:keepLines w:val="0"/>
                    <w:suppressLineNumbers w:val="0"/>
                    <w:adjustRightInd w:val="0"/>
                    <w:snapToGri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color w:val="auto"/>
                      <w:szCs w:val="21"/>
                      <w:highlight w:val="none"/>
                      <w:lang w:val="en-US" w:eastAsia="zh-CN"/>
                    </w:rPr>
                    <w:t>21.78</w:t>
                  </w:r>
                </w:p>
              </w:tc>
              <w:tc>
                <w:tcPr>
                  <w:tcW w:w="422" w:type="pct"/>
                  <w:tcBorders>
                    <w:tl2br w:val="nil"/>
                    <w:tr2bl w:val="nil"/>
                  </w:tcBorders>
                  <w:noWrap w:val="0"/>
                  <w:vAlign w:val="center"/>
                </w:tcPr>
                <w:p w14:paraId="43494164">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1</w:t>
                  </w:r>
                </w:p>
              </w:tc>
              <w:tc>
                <w:tcPr>
                  <w:tcW w:w="502" w:type="pct"/>
                  <w:vMerge w:val="restart"/>
                  <w:tcBorders>
                    <w:tl2br w:val="nil"/>
                    <w:tr2bl w:val="nil"/>
                  </w:tcBorders>
                  <w:noWrap w:val="0"/>
                  <w:vAlign w:val="center"/>
                </w:tcPr>
                <w:p w14:paraId="18642764">
                  <w:pPr>
                    <w:keepNext w:val="0"/>
                    <w:keepLines w:val="0"/>
                    <w:suppressLineNumbers w:val="0"/>
                    <w:adjustRightInd w:val="0"/>
                    <w:snapToGrid w:val="0"/>
                    <w:spacing w:before="0" w:beforeAutospacing="0" w:after="0" w:afterAutospacing="0" w:line="320" w:lineRule="exact"/>
                    <w:ind w:left="0" w:right="0"/>
                    <w:jc w:val="both"/>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立即停止作业，对设备进行维修</w:t>
                  </w:r>
                </w:p>
              </w:tc>
            </w:tr>
            <w:tr w14:paraId="461AFE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08" w:hRule="atLeast"/>
              </w:trPr>
              <w:tc>
                <w:tcPr>
                  <w:tcW w:w="268" w:type="pct"/>
                  <w:vMerge w:val="continue"/>
                  <w:tcBorders>
                    <w:tl2br w:val="nil"/>
                    <w:tr2bl w:val="nil"/>
                  </w:tcBorders>
                  <w:noWrap w:val="0"/>
                  <w:vAlign w:val="center"/>
                </w:tcPr>
                <w:p w14:paraId="736AADB5">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eastAsia="zh-CN"/>
                    </w:rPr>
                  </w:pPr>
                </w:p>
              </w:tc>
              <w:tc>
                <w:tcPr>
                  <w:tcW w:w="527" w:type="pct"/>
                  <w:vMerge w:val="continue"/>
                  <w:tcBorders>
                    <w:tl2br w:val="nil"/>
                    <w:tr2bl w:val="nil"/>
                  </w:tcBorders>
                  <w:noWrap w:val="0"/>
                  <w:vAlign w:val="center"/>
                </w:tcPr>
                <w:p w14:paraId="5DE2EE58">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val="en-US" w:eastAsia="zh-CN"/>
                    </w:rPr>
                  </w:pPr>
                </w:p>
              </w:tc>
              <w:tc>
                <w:tcPr>
                  <w:tcW w:w="359" w:type="pct"/>
                  <w:vMerge w:val="continue"/>
                  <w:tcBorders>
                    <w:tl2br w:val="nil"/>
                    <w:tr2bl w:val="nil"/>
                  </w:tcBorders>
                  <w:noWrap w:val="0"/>
                  <w:vAlign w:val="center"/>
                </w:tcPr>
                <w:p w14:paraId="19CD653D">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val="en-US" w:eastAsia="zh-CN"/>
                    </w:rPr>
                  </w:pPr>
                </w:p>
              </w:tc>
              <w:tc>
                <w:tcPr>
                  <w:tcW w:w="607" w:type="pct"/>
                  <w:tcBorders>
                    <w:tl2br w:val="nil"/>
                    <w:tr2bl w:val="nil"/>
                  </w:tcBorders>
                  <w:noWrap w:val="0"/>
                  <w:vAlign w:val="center"/>
                </w:tcPr>
                <w:p w14:paraId="103EACDF">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氮氧化物</w:t>
                  </w:r>
                </w:p>
              </w:tc>
              <w:tc>
                <w:tcPr>
                  <w:tcW w:w="676" w:type="pct"/>
                  <w:tcBorders>
                    <w:tl2br w:val="nil"/>
                    <w:tr2bl w:val="nil"/>
                  </w:tcBorders>
                  <w:noWrap w:val="0"/>
                  <w:vAlign w:val="center"/>
                </w:tcPr>
                <w:p w14:paraId="56B79C40">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363</w:t>
                  </w:r>
                </w:p>
              </w:tc>
              <w:tc>
                <w:tcPr>
                  <w:tcW w:w="638" w:type="pct"/>
                  <w:tcBorders>
                    <w:tl2br w:val="nil"/>
                    <w:tr2bl w:val="nil"/>
                  </w:tcBorders>
                  <w:noWrap w:val="0"/>
                  <w:vAlign w:val="center"/>
                </w:tcPr>
                <w:p w14:paraId="1CA26322">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5.02</w:t>
                  </w:r>
                </w:p>
              </w:tc>
              <w:tc>
                <w:tcPr>
                  <w:tcW w:w="462" w:type="pct"/>
                  <w:tcBorders>
                    <w:tl2br w:val="nil"/>
                    <w:tr2bl w:val="nil"/>
                  </w:tcBorders>
                  <w:noWrap w:val="0"/>
                  <w:vAlign w:val="center"/>
                </w:tcPr>
                <w:p w14:paraId="73CBE50F">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c>
                <w:tcPr>
                  <w:tcW w:w="534" w:type="pct"/>
                  <w:tcBorders>
                    <w:tl2br w:val="nil"/>
                    <w:tr2bl w:val="nil"/>
                  </w:tcBorders>
                  <w:shd w:val="clear" w:color="auto" w:fill="auto"/>
                  <w:noWrap w:val="0"/>
                  <w:vAlign w:val="center"/>
                </w:tcPr>
                <w:p w14:paraId="0F682BE3">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cs="Times New Roman"/>
                      <w:color w:val="auto"/>
                      <w:szCs w:val="21"/>
                      <w:highlight w:val="none"/>
                      <w:lang w:val="en-US" w:eastAsia="zh-CN"/>
                    </w:rPr>
                    <w:t>5.02</w:t>
                  </w:r>
                </w:p>
              </w:tc>
              <w:tc>
                <w:tcPr>
                  <w:tcW w:w="422" w:type="pct"/>
                  <w:tcBorders>
                    <w:tl2br w:val="nil"/>
                    <w:tr2bl w:val="nil"/>
                  </w:tcBorders>
                  <w:noWrap w:val="0"/>
                  <w:vAlign w:val="center"/>
                </w:tcPr>
                <w:p w14:paraId="1B354E4C">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c>
                <w:tcPr>
                  <w:tcW w:w="502" w:type="pct"/>
                  <w:vMerge w:val="continue"/>
                  <w:tcBorders>
                    <w:tl2br w:val="nil"/>
                    <w:tr2bl w:val="nil"/>
                  </w:tcBorders>
                  <w:noWrap w:val="0"/>
                  <w:vAlign w:val="center"/>
                </w:tcPr>
                <w:p w14:paraId="21B0AFDD">
                  <w:pPr>
                    <w:keepNext w:val="0"/>
                    <w:keepLines w:val="0"/>
                    <w:suppressLineNumbers w:val="0"/>
                    <w:adjustRightInd w:val="0"/>
                    <w:snapToGrid w:val="0"/>
                    <w:spacing w:before="0" w:beforeAutospacing="0" w:after="0" w:afterAutospacing="0" w:line="320" w:lineRule="exact"/>
                    <w:ind w:left="0" w:right="0"/>
                    <w:jc w:val="both"/>
                    <w:rPr>
                      <w:rFonts w:hint="eastAsia" w:ascii="Times New Roman" w:hAnsi="Times New Roman" w:eastAsia="宋体" w:cs="Times New Roman"/>
                      <w:color w:val="auto"/>
                      <w:szCs w:val="21"/>
                      <w:highlight w:val="none"/>
                      <w:lang w:eastAsia="zh-CN"/>
                    </w:rPr>
                  </w:pPr>
                </w:p>
              </w:tc>
            </w:tr>
            <w:tr w14:paraId="1FC256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68" w:hRule="atLeast"/>
              </w:trPr>
              <w:tc>
                <w:tcPr>
                  <w:tcW w:w="268" w:type="pct"/>
                  <w:tcBorders>
                    <w:tl2br w:val="nil"/>
                    <w:tr2bl w:val="nil"/>
                  </w:tcBorders>
                  <w:noWrap w:val="0"/>
                  <w:vAlign w:val="center"/>
                </w:tcPr>
                <w:p w14:paraId="6678E60C">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c>
                <w:tcPr>
                  <w:tcW w:w="527" w:type="pct"/>
                  <w:tcBorders>
                    <w:tl2br w:val="nil"/>
                    <w:tr2bl w:val="nil"/>
                  </w:tcBorders>
                  <w:noWrap w:val="0"/>
                  <w:vAlign w:val="center"/>
                </w:tcPr>
                <w:p w14:paraId="704F2BE7">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DA002</w:t>
                  </w:r>
                </w:p>
              </w:tc>
              <w:tc>
                <w:tcPr>
                  <w:tcW w:w="359" w:type="pct"/>
                  <w:vMerge w:val="continue"/>
                  <w:tcBorders>
                    <w:tl2br w:val="nil"/>
                    <w:tr2bl w:val="nil"/>
                  </w:tcBorders>
                  <w:noWrap w:val="0"/>
                  <w:vAlign w:val="center"/>
                </w:tcPr>
                <w:p w14:paraId="1E75FC40">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val="en-US" w:eastAsia="zh-CN"/>
                    </w:rPr>
                  </w:pPr>
                </w:p>
              </w:tc>
              <w:tc>
                <w:tcPr>
                  <w:tcW w:w="607" w:type="pct"/>
                  <w:tcBorders>
                    <w:tl2br w:val="nil"/>
                    <w:tr2bl w:val="nil"/>
                  </w:tcBorders>
                  <w:noWrap w:val="0"/>
                  <w:vAlign w:val="center"/>
                </w:tcPr>
                <w:p w14:paraId="58D4EF75">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颗粒物</w:t>
                  </w:r>
                </w:p>
              </w:tc>
              <w:tc>
                <w:tcPr>
                  <w:tcW w:w="676" w:type="pct"/>
                  <w:tcBorders>
                    <w:tl2br w:val="nil"/>
                    <w:tr2bl w:val="nil"/>
                  </w:tcBorders>
                  <w:noWrap w:val="0"/>
                  <w:vAlign w:val="center"/>
                </w:tcPr>
                <w:p w14:paraId="6F3B078D">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884.48</w:t>
                  </w:r>
                </w:p>
              </w:tc>
              <w:tc>
                <w:tcPr>
                  <w:tcW w:w="638" w:type="pct"/>
                  <w:tcBorders>
                    <w:tl2br w:val="nil"/>
                    <w:tr2bl w:val="nil"/>
                  </w:tcBorders>
                  <w:noWrap w:val="0"/>
                  <w:vAlign w:val="center"/>
                </w:tcPr>
                <w:p w14:paraId="57A756CB">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51.3</w:t>
                  </w:r>
                </w:p>
              </w:tc>
              <w:tc>
                <w:tcPr>
                  <w:tcW w:w="462" w:type="pct"/>
                  <w:tcBorders>
                    <w:tl2br w:val="nil"/>
                    <w:tr2bl w:val="nil"/>
                  </w:tcBorders>
                  <w:noWrap w:val="0"/>
                  <w:vAlign w:val="center"/>
                </w:tcPr>
                <w:p w14:paraId="7BD39455">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c>
                <w:tcPr>
                  <w:tcW w:w="534" w:type="pct"/>
                  <w:tcBorders>
                    <w:tl2br w:val="nil"/>
                    <w:tr2bl w:val="nil"/>
                  </w:tcBorders>
                  <w:noWrap w:val="0"/>
                  <w:vAlign w:val="center"/>
                </w:tcPr>
                <w:p w14:paraId="046F942C">
                  <w:pPr>
                    <w:keepNext w:val="0"/>
                    <w:keepLines w:val="0"/>
                    <w:suppressLineNumbers w:val="0"/>
                    <w:adjustRightInd w:val="0"/>
                    <w:snapToGrid w:val="0"/>
                    <w:spacing w:before="0" w:beforeAutospacing="0" w:after="0" w:afterAutospacing="0" w:line="320" w:lineRule="exact"/>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51.3</w:t>
                  </w:r>
                </w:p>
              </w:tc>
              <w:tc>
                <w:tcPr>
                  <w:tcW w:w="422" w:type="pct"/>
                  <w:tcBorders>
                    <w:tl2br w:val="nil"/>
                    <w:tr2bl w:val="nil"/>
                  </w:tcBorders>
                  <w:noWrap w:val="0"/>
                  <w:vAlign w:val="center"/>
                </w:tcPr>
                <w:p w14:paraId="61650AF9">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c>
                <w:tcPr>
                  <w:tcW w:w="502" w:type="pct"/>
                  <w:vMerge w:val="continue"/>
                  <w:tcBorders>
                    <w:tl2br w:val="nil"/>
                    <w:tr2bl w:val="nil"/>
                  </w:tcBorders>
                  <w:noWrap w:val="0"/>
                  <w:vAlign w:val="center"/>
                </w:tcPr>
                <w:p w14:paraId="677AE38A">
                  <w:pPr>
                    <w:keepNext w:val="0"/>
                    <w:keepLines w:val="0"/>
                    <w:suppressLineNumbers w:val="0"/>
                    <w:adjustRightInd w:val="0"/>
                    <w:snapToGrid w:val="0"/>
                    <w:spacing w:before="0" w:beforeAutospacing="0" w:after="0" w:afterAutospacing="0" w:line="320" w:lineRule="exact"/>
                    <w:ind w:left="0" w:right="0"/>
                    <w:jc w:val="both"/>
                    <w:rPr>
                      <w:rFonts w:hint="eastAsia" w:ascii="Times New Roman" w:hAnsi="Times New Roman" w:eastAsia="宋体" w:cs="Times New Roman"/>
                      <w:color w:val="auto"/>
                      <w:szCs w:val="21"/>
                      <w:highlight w:val="none"/>
                      <w:lang w:eastAsia="zh-CN"/>
                    </w:rPr>
                  </w:pPr>
                </w:p>
              </w:tc>
            </w:tr>
          </w:tbl>
          <w:p w14:paraId="2598A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根据以上分析，</w:t>
            </w:r>
            <w:r>
              <w:rPr>
                <w:rFonts w:hint="eastAsia" w:ascii="Times New Roman" w:hAnsi="Times New Roman" w:eastAsia="宋体" w:cs="Times New Roman"/>
                <w:color w:val="auto"/>
                <w:sz w:val="24"/>
                <w:szCs w:val="24"/>
                <w:highlight w:val="none"/>
                <w:lang w:val="en-US" w:eastAsia="zh-CN"/>
              </w:rPr>
              <w:t>当废气治理设施出现故障时，会导致颗粒物、氮氧化物超标排放，企业在日常生产中必须加强设备的管理，</w:t>
            </w:r>
            <w:r>
              <w:rPr>
                <w:rFonts w:hint="eastAsia" w:ascii="Times New Roman" w:hAnsi="Times New Roman" w:cs="Times New Roman"/>
                <w:color w:val="auto"/>
                <w:sz w:val="24"/>
                <w:szCs w:val="24"/>
                <w:highlight w:val="none"/>
                <w:lang w:val="en-US" w:eastAsia="zh-CN"/>
              </w:rPr>
              <w:t>定期检修，定期更换破损的布袋，避免产生设备故障，减少设备启停次数。</w:t>
            </w:r>
          </w:p>
          <w:p w14:paraId="3F4F5588">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val="0"/>
                <w:color w:val="auto"/>
                <w:kern w:val="0"/>
                <w:sz w:val="24"/>
                <w:highlight w:val="none"/>
                <w:lang w:val="en-US" w:eastAsia="zh-CN" w:bidi="ar"/>
              </w:rPr>
            </w:pPr>
            <w:r>
              <w:rPr>
                <w:rFonts w:hint="eastAsia" w:ascii="Times New Roman" w:hAnsi="Times New Roman" w:cs="Times New Roman"/>
                <w:color w:val="auto"/>
                <w:sz w:val="24"/>
                <w:szCs w:val="24"/>
                <w:highlight w:val="none"/>
                <w:lang w:val="en-US" w:eastAsia="zh-CN"/>
              </w:rPr>
              <w:t>1.1.4</w:t>
            </w:r>
            <w:r>
              <w:rPr>
                <w:rFonts w:hint="eastAsia" w:ascii="Times New Roman" w:hAnsi="Times New Roman" w:eastAsia="宋体" w:cs="Times New Roman"/>
                <w:b w:val="0"/>
                <w:bCs w:val="0"/>
                <w:color w:val="auto"/>
                <w:kern w:val="0"/>
                <w:sz w:val="24"/>
                <w:highlight w:val="none"/>
                <w:lang w:val="en-US" w:eastAsia="zh-CN" w:bidi="ar"/>
              </w:rPr>
              <w:t>非道路移动机械污染防治措施</w:t>
            </w:r>
          </w:p>
          <w:p w14:paraId="0C7B4049">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本项目非道路移动机械设备主要为叉车。根据《非道路移动机械污染防治技术政策》，企业应采取如下措施：</w:t>
            </w:r>
          </w:p>
          <w:p w14:paraId="6ECE85FD">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①</w:t>
            </w:r>
            <w:r>
              <w:rPr>
                <w:rFonts w:hint="eastAsia" w:ascii="Times New Roman" w:hAnsi="Times New Roman" w:eastAsia="宋体" w:cs="Times New Roman"/>
                <w:color w:val="auto"/>
                <w:kern w:val="0"/>
                <w:sz w:val="24"/>
                <w:highlight w:val="none"/>
                <w:lang w:val="en-US" w:eastAsia="zh-CN" w:bidi="ar"/>
              </w:rPr>
              <w:t>建立非道路移动机械登记制度，并对其排放情况进行监督检查；</w:t>
            </w:r>
          </w:p>
          <w:p w14:paraId="7A72B673">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②</w:t>
            </w:r>
            <w:r>
              <w:rPr>
                <w:rFonts w:hint="eastAsia" w:ascii="Times New Roman" w:hAnsi="Times New Roman" w:eastAsia="宋体" w:cs="Times New Roman"/>
                <w:color w:val="auto"/>
                <w:kern w:val="0"/>
                <w:sz w:val="24"/>
                <w:highlight w:val="none"/>
                <w:lang w:val="en-US" w:eastAsia="zh-CN" w:bidi="ar"/>
              </w:rPr>
              <w:t>加强在用非道路移动机械的排放检测和维修，保证非道路移动机械及其污染控制装置处于正常技术状态，确保维修后的非道路移动机械排放稳定达标，同时妥善保存维修记录；</w:t>
            </w:r>
          </w:p>
          <w:p w14:paraId="0A0212ED">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③</w:t>
            </w:r>
            <w:r>
              <w:rPr>
                <w:rFonts w:hint="eastAsia" w:ascii="Times New Roman" w:hAnsi="Times New Roman" w:eastAsia="宋体" w:cs="Times New Roman"/>
                <w:color w:val="auto"/>
                <w:kern w:val="0"/>
                <w:sz w:val="24"/>
                <w:highlight w:val="none"/>
                <w:lang w:val="en-US" w:eastAsia="zh-CN" w:bidi="ar"/>
              </w:rPr>
              <w:t>加强非道路移动机械的排放治理改造，保证非移动设备尾气达标排放；</w:t>
            </w:r>
          </w:p>
          <w:p w14:paraId="0B8F7E7C">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④</w:t>
            </w:r>
            <w:r>
              <w:rPr>
                <w:rFonts w:hint="eastAsia" w:ascii="Times New Roman" w:hAnsi="Times New Roman" w:eastAsia="宋体" w:cs="Times New Roman"/>
                <w:color w:val="auto"/>
                <w:kern w:val="0"/>
                <w:sz w:val="24"/>
                <w:highlight w:val="none"/>
                <w:lang w:val="en-US" w:eastAsia="zh-CN" w:bidi="ar"/>
              </w:rPr>
              <w:t>提升非道路移动机械燃料的清洁</w:t>
            </w:r>
            <w:r>
              <w:rPr>
                <w:rFonts w:hint="eastAsia" w:cs="Times New Roman"/>
                <w:color w:val="auto"/>
                <w:kern w:val="0"/>
                <w:sz w:val="24"/>
                <w:highlight w:val="none"/>
                <w:lang w:val="en-US" w:eastAsia="zh-CN" w:bidi="ar"/>
              </w:rPr>
              <w:t>性</w:t>
            </w:r>
            <w:r>
              <w:rPr>
                <w:rFonts w:hint="eastAsia" w:ascii="Times New Roman" w:hAnsi="Times New Roman" w:eastAsia="宋体" w:cs="Times New Roman"/>
                <w:color w:val="auto"/>
                <w:kern w:val="0"/>
                <w:sz w:val="24"/>
                <w:highlight w:val="none"/>
                <w:lang w:val="en-US" w:eastAsia="zh-CN" w:bidi="ar"/>
              </w:rPr>
              <w:t>，使用满足标准要求的燃油，鼓励使用清洁能源，并留存燃料购买台账，留存备查；</w:t>
            </w:r>
          </w:p>
          <w:p w14:paraId="54FE6442">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cs="Times New Roman"/>
                <w:color w:val="auto"/>
                <w:kern w:val="0"/>
                <w:sz w:val="24"/>
                <w:highlight w:val="none"/>
                <w:lang w:bidi="ar"/>
              </w:rPr>
            </w:pPr>
            <w:r>
              <w:rPr>
                <w:rFonts w:hint="default" w:ascii="Times New Roman" w:hAnsi="Times New Roman" w:eastAsia="宋体" w:cs="Times New Roman"/>
                <w:color w:val="auto"/>
                <w:kern w:val="0"/>
                <w:sz w:val="24"/>
                <w:highlight w:val="none"/>
                <w:lang w:val="en-US" w:eastAsia="zh-CN" w:bidi="ar"/>
              </w:rPr>
              <w:t>⑤</w:t>
            </w:r>
            <w:r>
              <w:rPr>
                <w:rFonts w:hint="eastAsia" w:ascii="Times New Roman" w:hAnsi="Times New Roman" w:eastAsia="宋体" w:cs="Times New Roman"/>
                <w:color w:val="auto"/>
                <w:kern w:val="0"/>
                <w:sz w:val="24"/>
                <w:highlight w:val="none"/>
                <w:lang w:val="en-US" w:eastAsia="zh-CN" w:bidi="ar"/>
              </w:rPr>
              <w:t>场内非道路移动机械应在生态环境部门进行编码登记、领取“二维码”信息采集卡、悬挂环保标牌。</w:t>
            </w:r>
          </w:p>
          <w:p w14:paraId="3FC052E7">
            <w:pPr>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1.1.5</w:t>
            </w:r>
            <w:r>
              <w:rPr>
                <w:rFonts w:hint="default" w:ascii="Times New Roman" w:hAnsi="Times New Roman" w:cs="Times New Roman"/>
                <w:b/>
                <w:bCs/>
                <w:color w:val="auto"/>
                <w:sz w:val="24"/>
              </w:rPr>
              <w:t>污染防治可行技术符合性分析</w:t>
            </w:r>
          </w:p>
          <w:p w14:paraId="1AE1E4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default" w:ascii="Times New Roman" w:hAnsi="Times New Roman" w:cs="Times New Roman"/>
                <w:b w:val="0"/>
                <w:bCs w:val="0"/>
                <w:color w:val="auto"/>
                <w:sz w:val="24"/>
                <w:vertAlign w:val="baseline"/>
                <w:lang w:val="en-US" w:eastAsia="zh-CN"/>
              </w:rPr>
              <w:t>本项目对粉尘采用袋</w:t>
            </w:r>
            <w:r>
              <w:rPr>
                <w:rFonts w:hint="eastAsia" w:ascii="Times New Roman" w:hAnsi="Times New Roman" w:cs="Times New Roman"/>
                <w:b w:val="0"/>
                <w:bCs w:val="0"/>
                <w:color w:val="auto"/>
                <w:sz w:val="24"/>
                <w:vertAlign w:val="baseline"/>
                <w:lang w:val="en-US" w:eastAsia="zh-CN"/>
              </w:rPr>
              <w:t>式</w:t>
            </w:r>
            <w:r>
              <w:rPr>
                <w:rFonts w:hint="default" w:ascii="Times New Roman" w:hAnsi="Times New Roman" w:cs="Times New Roman"/>
                <w:b w:val="0"/>
                <w:bCs w:val="0"/>
                <w:color w:val="auto"/>
                <w:sz w:val="24"/>
                <w:vertAlign w:val="baseline"/>
                <w:lang w:val="en-US" w:eastAsia="zh-CN"/>
              </w:rPr>
              <w:t>除尘器进行处理</w:t>
            </w:r>
            <w:r>
              <w:rPr>
                <w:rFonts w:hint="eastAsia" w:ascii="Times New Roman" w:hAnsi="Times New Roman" w:cs="Times New Roman"/>
                <w:b w:val="0"/>
                <w:bCs w:val="0"/>
                <w:color w:val="auto"/>
                <w:sz w:val="24"/>
                <w:vertAlign w:val="baseline"/>
                <w:lang w:val="en-US" w:eastAsia="zh-CN"/>
              </w:rPr>
              <w:t>；参考</w:t>
            </w:r>
            <w:bookmarkStart w:id="1" w:name="OLE_LINK8"/>
            <w:r>
              <w:rPr>
                <w:rFonts w:hint="default" w:ascii="Times New Roman" w:hAnsi="Times New Roman" w:cs="Times New Roman"/>
                <w:b w:val="0"/>
                <w:bCs w:val="0"/>
                <w:color w:val="auto"/>
                <w:sz w:val="24"/>
                <w:vertAlign w:val="baseline"/>
                <w:lang w:val="en-US" w:eastAsia="zh-CN"/>
              </w:rPr>
              <w:t xml:space="preserve">《排污许可证申请与核发技术规范 </w:t>
            </w:r>
            <w:r>
              <w:rPr>
                <w:rFonts w:hint="eastAsia" w:ascii="Times New Roman" w:hAnsi="Times New Roman" w:cs="Times New Roman"/>
                <w:b w:val="0"/>
                <w:bCs w:val="0"/>
                <w:color w:val="auto"/>
                <w:sz w:val="24"/>
                <w:vertAlign w:val="baseline"/>
                <w:lang w:val="en-US" w:eastAsia="zh-CN"/>
              </w:rPr>
              <w:t>玻璃工业-平板玻璃</w:t>
            </w:r>
            <w:r>
              <w:rPr>
                <w:rFonts w:hint="default" w:ascii="Times New Roman" w:hAnsi="Times New Roman" w:cs="Times New Roman"/>
                <w:b w:val="0"/>
                <w:bCs w:val="0"/>
                <w:color w:val="auto"/>
                <w:sz w:val="24"/>
                <w:vertAlign w:val="baseline"/>
                <w:lang w:val="en-US" w:eastAsia="zh-CN"/>
              </w:rPr>
              <w:t>》（HJ</w:t>
            </w:r>
            <w:r>
              <w:rPr>
                <w:rFonts w:hint="eastAsia" w:ascii="Times New Roman" w:hAnsi="Times New Roman" w:cs="Times New Roman"/>
                <w:b w:val="0"/>
                <w:bCs w:val="0"/>
                <w:color w:val="auto"/>
                <w:sz w:val="24"/>
                <w:vertAlign w:val="baseline"/>
                <w:lang w:val="en-US" w:eastAsia="zh-CN"/>
              </w:rPr>
              <w:t>856</w:t>
            </w:r>
            <w:r>
              <w:rPr>
                <w:rFonts w:hint="default" w:ascii="Times New Roman" w:hAnsi="Times New Roman" w:cs="Times New Roman"/>
                <w:b w:val="0"/>
                <w:bCs w:val="0"/>
                <w:color w:val="auto"/>
                <w:sz w:val="24"/>
                <w:vertAlign w:val="baseline"/>
                <w:lang w:val="en-US" w:eastAsia="zh-CN"/>
              </w:rPr>
              <w:t>—20</w:t>
            </w:r>
            <w:r>
              <w:rPr>
                <w:rFonts w:hint="eastAsia" w:ascii="Times New Roman" w:hAnsi="Times New Roman" w:cs="Times New Roman"/>
                <w:b w:val="0"/>
                <w:bCs w:val="0"/>
                <w:color w:val="auto"/>
                <w:sz w:val="24"/>
                <w:vertAlign w:val="baseline"/>
                <w:lang w:val="en-US" w:eastAsia="zh-CN"/>
              </w:rPr>
              <w:t>17</w:t>
            </w:r>
            <w:r>
              <w:rPr>
                <w:rFonts w:hint="default" w:ascii="Times New Roman" w:hAnsi="Times New Roman" w:cs="Times New Roman"/>
                <w:b w:val="0"/>
                <w:bCs w:val="0"/>
                <w:color w:val="auto"/>
                <w:sz w:val="24"/>
                <w:vertAlign w:val="baseline"/>
                <w:lang w:val="en-US" w:eastAsia="zh-CN"/>
              </w:rPr>
              <w:t>）</w:t>
            </w:r>
            <w:r>
              <w:rPr>
                <w:rFonts w:hint="eastAsia" w:ascii="Times New Roman" w:hAnsi="Times New Roman" w:cs="Times New Roman"/>
                <w:b w:val="0"/>
                <w:bCs w:val="0"/>
                <w:color w:val="auto"/>
                <w:sz w:val="24"/>
                <w:vertAlign w:val="baseline"/>
                <w:lang w:val="en-US" w:eastAsia="zh-CN"/>
              </w:rPr>
              <w:t>、《玻璃工业废气治理工程技术规范》（HJ 1281-2023）中废气污染防治可行技术，</w:t>
            </w:r>
            <w:bookmarkEnd w:id="1"/>
            <w:r>
              <w:rPr>
                <w:rFonts w:hint="eastAsia" w:ascii="Times New Roman" w:hAnsi="Times New Roman" w:cs="Times New Roman"/>
                <w:b w:val="0"/>
                <w:bCs w:val="0"/>
                <w:color w:val="auto"/>
                <w:sz w:val="24"/>
                <w:vertAlign w:val="baseline"/>
                <w:lang w:val="en-US" w:eastAsia="zh-CN"/>
              </w:rPr>
              <w:t>袋式除尘器属于原料破碎、筛分、储存、称量、混合、输送、投料等通风生产设备污染物的可行技术。</w:t>
            </w:r>
          </w:p>
          <w:p w14:paraId="4F95B28A">
            <w:pPr>
              <w:keepNext w:val="0"/>
              <w:keepLines w:val="0"/>
              <w:suppressLineNumbers w:val="0"/>
              <w:adjustRightInd w:val="0"/>
              <w:snapToGrid w:val="0"/>
              <w:spacing w:before="0" w:beforeAutospacing="0" w:after="0" w:afterAutospacing="0" w:line="480" w:lineRule="exact"/>
              <w:ind w:left="0" w:right="0" w:firstLine="482" w:firstLineChars="200"/>
              <w:rPr>
                <w:rFonts w:hint="default" w:ascii="Times New Roman" w:hAnsi="Times New Roman" w:cs="Times New Roman"/>
                <w:b w:val="0"/>
                <w:bCs w:val="0"/>
                <w:color w:val="auto"/>
                <w:sz w:val="24"/>
                <w:vertAlign w:val="baseline"/>
                <w:lang w:val="en-US" w:eastAsia="zh-CN"/>
              </w:rPr>
            </w:pPr>
            <w:r>
              <w:rPr>
                <w:rFonts w:hint="default" w:ascii="Times New Roman" w:hAnsi="Times New Roman" w:cs="Times New Roman"/>
                <w:b/>
                <w:bCs/>
                <w:color w:val="auto"/>
                <w:sz w:val="24"/>
              </w:rPr>
              <w:t>◆</w:t>
            </w:r>
            <w:r>
              <w:rPr>
                <w:rFonts w:hint="eastAsia" w:ascii="Times New Roman" w:hAnsi="Times New Roman" w:cs="Times New Roman"/>
                <w:b/>
                <w:bCs/>
                <w:color w:val="auto"/>
                <w:sz w:val="24"/>
              </w:rPr>
              <w:t>脱硝脱氮技术参数</w:t>
            </w:r>
          </w:p>
          <w:p w14:paraId="2B20C766">
            <w:pPr>
              <w:keepNext w:val="0"/>
              <w:keepLines w:val="0"/>
              <w:suppressLineNumbers w:val="0"/>
              <w:adjustRightInd w:val="0"/>
              <w:snapToGrid w:val="0"/>
              <w:spacing w:before="0" w:beforeAutospacing="0" w:after="0" w:afterAutospacing="0" w:line="480" w:lineRule="exact"/>
              <w:ind w:left="0" w:right="0" w:firstLine="482" w:firstLineChars="200"/>
              <w:rPr>
                <w:rFonts w:hint="eastAsia" w:cs="Times New Roman"/>
                <w:bCs w:val="0"/>
                <w:color w:val="auto"/>
                <w:sz w:val="24"/>
                <w:szCs w:val="21"/>
                <w:lang w:eastAsia="zh-CN"/>
              </w:rPr>
            </w:pPr>
            <w:r>
              <w:rPr>
                <w:rFonts w:hint="default" w:ascii="Times New Roman" w:hAnsi="Times New Roman" w:cs="Times New Roman"/>
                <w:b/>
                <w:color w:val="auto"/>
                <w:sz w:val="24"/>
              </w:rPr>
              <w:t>低氮燃烧器</w:t>
            </w:r>
            <w:r>
              <w:rPr>
                <w:rFonts w:hint="eastAsia" w:ascii="Times New Roman" w:hAnsi="Times New Roman" w:cs="Times New Roman"/>
                <w:b/>
                <w:color w:val="auto"/>
                <w:sz w:val="24"/>
                <w:lang w:eastAsia="zh-CN"/>
              </w:rPr>
              <w:t>：</w:t>
            </w:r>
            <w:r>
              <w:rPr>
                <w:rFonts w:hint="default" w:ascii="宋体" w:hAnsi="宋体" w:eastAsia="宋体" w:cs="宋体"/>
                <w:color w:val="auto"/>
                <w:sz w:val="24"/>
                <w:szCs w:val="24"/>
              </w:rPr>
              <w:t>多孔介质燃烧器属于</w:t>
            </w:r>
            <w:r>
              <w:rPr>
                <w:rStyle w:val="26"/>
                <w:rFonts w:hint="default" w:ascii="宋体" w:hAnsi="宋体" w:eastAsia="宋体" w:cs="宋体"/>
                <w:b/>
                <w:bCs/>
                <w:color w:val="auto"/>
                <w:sz w:val="24"/>
                <w:szCs w:val="24"/>
              </w:rPr>
              <w:t>全预混低氮高效燃烧装置</w:t>
            </w:r>
            <w:r>
              <w:rPr>
                <w:rFonts w:hint="default" w:ascii="宋体" w:hAnsi="宋体" w:eastAsia="宋体" w:cs="宋体"/>
                <w:color w:val="auto"/>
                <w:sz w:val="24"/>
                <w:szCs w:val="24"/>
              </w:rPr>
              <w:t>，主要由进气预混单元、气流均流导流组件、多孔介质基体、保温外壳、点火与火焰检测组件组成。燃气与空气在预混单元充分混合形成预混气流，经导流组件均匀分配后送入多孔介质基体内部；多孔介质基体一般采用碳化硅、氧化铝泡沫陶瓷等耐高温多孔材料，可采用梯度孔径分段结构，分为预热区、燃烧反应区、燃尽区，实现火焰在多孔基体内部被约束稳定燃烧，区别于传统燃烧器火焰在出口外部空间燃烧的形式</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该</w:t>
            </w:r>
            <w:r>
              <w:rPr>
                <w:rFonts w:hint="eastAsia" w:ascii="Times New Roman" w:hAnsi="Times New Roman" w:eastAsia="宋体" w:cs="Times New Roman"/>
                <w:bCs w:val="0"/>
                <w:color w:val="auto"/>
                <w:sz w:val="24"/>
                <w:szCs w:val="21"/>
              </w:rPr>
              <w:t>燃烧方式属于低氮高效燃烧技术</w:t>
            </w:r>
            <w:r>
              <w:rPr>
                <w:rFonts w:hint="eastAsia" w:cs="Times New Roman"/>
                <w:bCs w:val="0"/>
                <w:color w:val="auto"/>
                <w:sz w:val="24"/>
                <w:szCs w:val="21"/>
                <w:lang w:eastAsia="zh-CN"/>
              </w:rPr>
              <w:t>。</w:t>
            </w:r>
          </w:p>
          <w:p w14:paraId="1FDD471E">
            <w:pPr>
              <w:keepNext w:val="0"/>
              <w:keepLines w:val="0"/>
              <w:suppressLineNumbers w:val="0"/>
              <w:snapToGrid w:val="0"/>
              <w:spacing w:before="0" w:beforeAutospacing="0" w:after="0" w:afterAutospacing="0" w:line="480" w:lineRule="atLeast"/>
              <w:ind w:left="0" w:right="0" w:firstLine="482" w:firstLineChars="200"/>
              <w:rPr>
                <w:rFonts w:hint="default" w:ascii="Times New Roman" w:hAnsi="Times New Roman" w:cs="Times New Roman"/>
                <w:color w:val="auto"/>
                <w:sz w:val="24"/>
              </w:rPr>
            </w:pPr>
            <w:r>
              <w:rPr>
                <w:rFonts w:hint="default" w:ascii="Times New Roman" w:hAnsi="Times New Roman" w:cs="Times New Roman"/>
                <w:b/>
                <w:bCs/>
                <w:color w:val="auto"/>
                <w:sz w:val="24"/>
              </w:rPr>
              <w:t>SCR脱硝技术</w:t>
            </w:r>
            <w:r>
              <w:rPr>
                <w:rFonts w:hint="eastAsia" w:ascii="Times New Roman" w:hAnsi="Times New Roman" w:cs="Times New Roman"/>
                <w:b/>
                <w:bCs/>
                <w:color w:val="auto"/>
                <w:sz w:val="24"/>
                <w:lang w:eastAsia="zh-CN"/>
              </w:rPr>
              <w:t>：</w:t>
            </w:r>
            <w:r>
              <w:rPr>
                <w:rFonts w:hint="default" w:ascii="Times New Roman" w:hAnsi="Times New Roman" w:cs="Times New Roman"/>
                <w:color w:val="auto"/>
                <w:sz w:val="24"/>
              </w:rPr>
              <w:t>还原剂选择</w:t>
            </w:r>
            <w:r>
              <w:rPr>
                <w:rFonts w:hint="eastAsia" w:ascii="Times New Roman" w:hAnsi="Times New Roman" w:cs="Times New Roman"/>
                <w:color w:val="auto"/>
                <w:sz w:val="24"/>
                <w:lang w:val="en-US" w:eastAsia="zh-CN"/>
              </w:rPr>
              <w:t>尿素</w:t>
            </w:r>
            <w:r>
              <w:rPr>
                <w:rFonts w:hint="default" w:ascii="Times New Roman" w:hAnsi="Times New Roman" w:cs="Times New Roman"/>
                <w:color w:val="auto"/>
                <w:sz w:val="24"/>
              </w:rPr>
              <w:t>，系统主要包括脱硝反应原理、烟气系统、SCR反应器、催化剂、吹灰系统。SCR烟气脱硝方案工程设计参数见表</w:t>
            </w:r>
            <w:r>
              <w:rPr>
                <w:rFonts w:hint="eastAsia" w:cs="Times New Roman"/>
                <w:color w:val="auto"/>
                <w:sz w:val="24"/>
                <w:lang w:val="en-US" w:eastAsia="zh-CN"/>
              </w:rPr>
              <w:t>4-4/4-5</w:t>
            </w:r>
            <w:r>
              <w:rPr>
                <w:rFonts w:hint="default" w:ascii="Times New Roman" w:hAnsi="Times New Roman" w:cs="Times New Roman"/>
                <w:color w:val="auto"/>
                <w:sz w:val="24"/>
              </w:rPr>
              <w:t>。</w:t>
            </w:r>
          </w:p>
          <w:p w14:paraId="302E0C56">
            <w:pPr>
              <w:keepNext w:val="0"/>
              <w:keepLines w:val="0"/>
              <w:suppressLineNumbers w:val="0"/>
              <w:spacing w:before="0" w:beforeAutospacing="0" w:after="0" w:afterAutospacing="0" w:line="520" w:lineRule="atLeast"/>
              <w:ind w:left="0" w:right="0"/>
              <w:jc w:val="center"/>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w:t>
            </w:r>
            <w:r>
              <w:rPr>
                <w:rFonts w:hint="default" w:ascii="Times New Roman" w:hAnsi="Times New Roman" w:eastAsia="宋体" w:cs="Times New Roman"/>
                <w:b/>
                <w:bCs/>
                <w:color w:val="auto"/>
                <w:sz w:val="24"/>
                <w:highlight w:val="none"/>
                <w:lang w:val="en-US" w:eastAsia="zh-CN"/>
              </w:rPr>
              <w:t>4-4</w:t>
            </w:r>
            <w:r>
              <w:rPr>
                <w:rFonts w:hint="default" w:ascii="Times New Roman" w:hAnsi="Times New Roman" w:eastAsia="宋体" w:cs="Times New Roman"/>
                <w:b/>
                <w:bCs/>
                <w:color w:val="auto"/>
                <w:sz w:val="24"/>
                <w:highlight w:val="none"/>
              </w:rPr>
              <w:t xml:space="preserve">   SCR烟气脱硝方案工程设计参数</w:t>
            </w:r>
          </w:p>
          <w:tbl>
            <w:tblPr>
              <w:tblStyle w:val="2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78"/>
              <w:gridCol w:w="2746"/>
            </w:tblGrid>
            <w:tr w14:paraId="03416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5626" w:type="dxa"/>
                  <w:noWrap w:val="0"/>
                  <w:vAlign w:val="center"/>
                </w:tcPr>
                <w:p w14:paraId="10B00806">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szCs w:val="21"/>
                      <w:highlight w:val="none"/>
                    </w:rPr>
                  </w:pPr>
                  <w:r>
                    <w:rPr>
                      <w:rFonts w:hint="default"/>
                      <w:color w:val="auto"/>
                      <w:kern w:val="0"/>
                      <w:szCs w:val="21"/>
                      <w:highlight w:val="none"/>
                    </w:rPr>
                    <w:t>脱硝系统主要设计参数</w:t>
                  </w:r>
                </w:p>
              </w:tc>
              <w:tc>
                <w:tcPr>
                  <w:tcW w:w="2983" w:type="dxa"/>
                  <w:noWrap w:val="0"/>
                  <w:vAlign w:val="center"/>
                </w:tcPr>
                <w:p w14:paraId="32AA3A03">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szCs w:val="21"/>
                      <w:highlight w:val="none"/>
                    </w:rPr>
                  </w:pPr>
                  <w:r>
                    <w:rPr>
                      <w:rFonts w:hint="default"/>
                      <w:color w:val="auto"/>
                      <w:kern w:val="0"/>
                      <w:szCs w:val="21"/>
                      <w:highlight w:val="none"/>
                    </w:rPr>
                    <w:t>数值</w:t>
                  </w:r>
                </w:p>
              </w:tc>
            </w:tr>
            <w:tr w14:paraId="75650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5626" w:type="dxa"/>
                  <w:noWrap w:val="0"/>
                  <w:vAlign w:val="center"/>
                </w:tcPr>
                <w:p w14:paraId="3B048A96">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szCs w:val="21"/>
                      <w:highlight w:val="none"/>
                    </w:rPr>
                  </w:pPr>
                  <w:r>
                    <w:rPr>
                      <w:rFonts w:hint="default"/>
                      <w:color w:val="auto"/>
                      <w:kern w:val="0"/>
                      <w:szCs w:val="21"/>
                      <w:highlight w:val="none"/>
                    </w:rPr>
                    <w:t>设计负荷范围，%</w:t>
                  </w:r>
                </w:p>
              </w:tc>
              <w:tc>
                <w:tcPr>
                  <w:tcW w:w="2983" w:type="dxa"/>
                  <w:noWrap w:val="0"/>
                  <w:vAlign w:val="center"/>
                </w:tcPr>
                <w:p w14:paraId="48E5F810">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szCs w:val="21"/>
                      <w:highlight w:val="none"/>
                    </w:rPr>
                  </w:pPr>
                  <w:r>
                    <w:rPr>
                      <w:rFonts w:hint="default"/>
                      <w:bCs/>
                      <w:color w:val="auto"/>
                      <w:kern w:val="0"/>
                      <w:szCs w:val="21"/>
                      <w:highlight w:val="none"/>
                    </w:rPr>
                    <w:t>30%</w:t>
                  </w:r>
                  <w:r>
                    <w:rPr>
                      <w:rFonts w:hint="eastAsia"/>
                      <w:bCs/>
                      <w:color w:val="auto"/>
                      <w:kern w:val="0"/>
                      <w:szCs w:val="21"/>
                      <w:highlight w:val="none"/>
                      <w:lang w:eastAsia="zh-CN"/>
                    </w:rPr>
                    <w:t>~</w:t>
                  </w:r>
                  <w:r>
                    <w:rPr>
                      <w:rFonts w:hint="default"/>
                      <w:bCs/>
                      <w:color w:val="auto"/>
                      <w:kern w:val="0"/>
                      <w:szCs w:val="21"/>
                      <w:highlight w:val="none"/>
                    </w:rPr>
                    <w:t>100%BMCR</w:t>
                  </w:r>
                </w:p>
              </w:tc>
            </w:tr>
            <w:tr w14:paraId="0464F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5626" w:type="dxa"/>
                  <w:noWrap w:val="0"/>
                  <w:vAlign w:val="center"/>
                </w:tcPr>
                <w:p w14:paraId="405CD875">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szCs w:val="21"/>
                      <w:highlight w:val="none"/>
                    </w:rPr>
                  </w:pPr>
                  <w:r>
                    <w:rPr>
                      <w:rFonts w:hint="default"/>
                      <w:color w:val="auto"/>
                      <w:kern w:val="0"/>
                      <w:szCs w:val="21"/>
                      <w:highlight w:val="none"/>
                    </w:rPr>
                    <w:t>NOx原始排放浓度（干基，6%O</w:t>
                  </w:r>
                  <w:r>
                    <w:rPr>
                      <w:rFonts w:hint="default"/>
                      <w:color w:val="auto"/>
                      <w:kern w:val="0"/>
                      <w:szCs w:val="21"/>
                      <w:highlight w:val="none"/>
                      <w:vertAlign w:val="subscript"/>
                    </w:rPr>
                    <w:t>2</w:t>
                  </w:r>
                  <w:r>
                    <w:rPr>
                      <w:rFonts w:hint="default"/>
                      <w:color w:val="auto"/>
                      <w:kern w:val="0"/>
                      <w:szCs w:val="21"/>
                      <w:highlight w:val="none"/>
                    </w:rPr>
                    <w:t>），mg/Nm</w:t>
                  </w:r>
                  <w:r>
                    <w:rPr>
                      <w:rFonts w:hint="default"/>
                      <w:color w:val="auto"/>
                      <w:kern w:val="0"/>
                      <w:szCs w:val="21"/>
                      <w:highlight w:val="none"/>
                      <w:vertAlign w:val="superscript"/>
                    </w:rPr>
                    <w:t>3</w:t>
                  </w:r>
                </w:p>
              </w:tc>
              <w:tc>
                <w:tcPr>
                  <w:tcW w:w="2983" w:type="dxa"/>
                  <w:noWrap w:val="0"/>
                  <w:vAlign w:val="center"/>
                </w:tcPr>
                <w:p w14:paraId="611BFCF5">
                  <w:pPr>
                    <w:keepNext w:val="0"/>
                    <w:keepLines w:val="0"/>
                    <w:suppressLineNumbers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val="en-US" w:eastAsia="zh-CN"/>
                    </w:rPr>
                  </w:pPr>
                  <w:r>
                    <w:rPr>
                      <w:rFonts w:hint="default"/>
                      <w:color w:val="auto"/>
                      <w:kern w:val="0"/>
                      <w:szCs w:val="21"/>
                      <w:highlight w:val="none"/>
                    </w:rPr>
                    <w:t>小于</w:t>
                  </w:r>
                  <w:r>
                    <w:rPr>
                      <w:rFonts w:hint="eastAsia"/>
                      <w:color w:val="auto"/>
                      <w:kern w:val="0"/>
                      <w:szCs w:val="21"/>
                      <w:highlight w:val="none"/>
                      <w:lang w:val="en-US" w:eastAsia="zh-CN"/>
                    </w:rPr>
                    <w:t>500</w:t>
                  </w:r>
                </w:p>
              </w:tc>
            </w:tr>
            <w:tr w14:paraId="29540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5626" w:type="dxa"/>
                  <w:noWrap w:val="0"/>
                  <w:vAlign w:val="center"/>
                </w:tcPr>
                <w:p w14:paraId="0F96EBE8">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szCs w:val="21"/>
                      <w:highlight w:val="none"/>
                    </w:rPr>
                  </w:pPr>
                  <w:r>
                    <w:rPr>
                      <w:rFonts w:hint="default"/>
                      <w:color w:val="auto"/>
                      <w:kern w:val="0"/>
                      <w:szCs w:val="21"/>
                      <w:highlight w:val="none"/>
                    </w:rPr>
                    <w:t>烟气流量，Nm</w:t>
                  </w:r>
                  <w:r>
                    <w:rPr>
                      <w:rFonts w:hint="default"/>
                      <w:color w:val="auto"/>
                      <w:kern w:val="0"/>
                      <w:szCs w:val="21"/>
                      <w:highlight w:val="none"/>
                      <w:vertAlign w:val="superscript"/>
                    </w:rPr>
                    <w:t>3</w:t>
                  </w:r>
                  <w:r>
                    <w:rPr>
                      <w:rFonts w:hint="default"/>
                      <w:color w:val="auto"/>
                      <w:kern w:val="0"/>
                      <w:szCs w:val="21"/>
                      <w:highlight w:val="none"/>
                    </w:rPr>
                    <w:t>/h</w:t>
                  </w:r>
                </w:p>
              </w:tc>
              <w:tc>
                <w:tcPr>
                  <w:tcW w:w="2983" w:type="dxa"/>
                  <w:noWrap w:val="0"/>
                  <w:vAlign w:val="center"/>
                </w:tcPr>
                <w:p w14:paraId="214BFEE3">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szCs w:val="21"/>
                      <w:highlight w:val="none"/>
                    </w:rPr>
                  </w:pPr>
                  <w:r>
                    <w:rPr>
                      <w:rFonts w:hint="eastAsia"/>
                      <w:color w:val="auto"/>
                      <w:szCs w:val="21"/>
                      <w:highlight w:val="none"/>
                      <w:lang w:eastAsia="zh-CN"/>
                    </w:rPr>
                    <w:t>1</w:t>
                  </w:r>
                  <w:r>
                    <w:rPr>
                      <w:rFonts w:hint="eastAsia"/>
                      <w:color w:val="auto"/>
                      <w:szCs w:val="21"/>
                      <w:highlight w:val="none"/>
                      <w:lang w:val="en-US" w:eastAsia="zh-CN"/>
                    </w:rPr>
                    <w:t>1152.8</w:t>
                  </w:r>
                </w:p>
              </w:tc>
            </w:tr>
            <w:tr w14:paraId="61F82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5626" w:type="dxa"/>
                  <w:noWrap w:val="0"/>
                  <w:vAlign w:val="center"/>
                </w:tcPr>
                <w:p w14:paraId="4DD2EB64">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szCs w:val="21"/>
                      <w:highlight w:val="none"/>
                    </w:rPr>
                  </w:pPr>
                  <w:r>
                    <w:rPr>
                      <w:rFonts w:hint="default"/>
                      <w:color w:val="auto"/>
                      <w:kern w:val="0"/>
                      <w:szCs w:val="21"/>
                      <w:highlight w:val="none"/>
                    </w:rPr>
                    <w:t>设计脱硝效率，%</w:t>
                  </w:r>
                </w:p>
              </w:tc>
              <w:tc>
                <w:tcPr>
                  <w:tcW w:w="2983" w:type="dxa"/>
                  <w:noWrap w:val="0"/>
                  <w:vAlign w:val="center"/>
                </w:tcPr>
                <w:p w14:paraId="52A7DEA9">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szCs w:val="21"/>
                      <w:highlight w:val="none"/>
                    </w:rPr>
                  </w:pPr>
                  <w:r>
                    <w:rPr>
                      <w:rFonts w:hint="default"/>
                      <w:color w:val="auto"/>
                      <w:kern w:val="0"/>
                      <w:szCs w:val="21"/>
                      <w:highlight w:val="none"/>
                    </w:rPr>
                    <w:t>≥</w:t>
                  </w:r>
                  <w:r>
                    <w:rPr>
                      <w:rFonts w:hint="eastAsia"/>
                      <w:color w:val="auto"/>
                      <w:kern w:val="0"/>
                      <w:szCs w:val="21"/>
                      <w:highlight w:val="none"/>
                      <w:lang w:eastAsia="zh-CN"/>
                    </w:rPr>
                    <w:t>8</w:t>
                  </w:r>
                  <w:r>
                    <w:rPr>
                      <w:rFonts w:hint="eastAsia"/>
                      <w:color w:val="auto"/>
                      <w:kern w:val="0"/>
                      <w:szCs w:val="21"/>
                      <w:highlight w:val="none"/>
                      <w:lang w:val="en-US" w:eastAsia="zh-CN"/>
                    </w:rPr>
                    <w:t>0</w:t>
                  </w:r>
                </w:p>
              </w:tc>
            </w:tr>
            <w:tr w14:paraId="0FDA8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 w:hRule="atLeast"/>
                <w:jc w:val="center"/>
              </w:trPr>
              <w:tc>
                <w:tcPr>
                  <w:tcW w:w="5626" w:type="dxa"/>
                  <w:tcBorders>
                    <w:top w:val="single" w:color="auto" w:sz="4" w:space="0"/>
                  </w:tcBorders>
                  <w:noWrap w:val="0"/>
                  <w:vAlign w:val="center"/>
                </w:tcPr>
                <w:p w14:paraId="1205D067">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kern w:val="0"/>
                      <w:szCs w:val="21"/>
                      <w:highlight w:val="none"/>
                    </w:rPr>
                  </w:pPr>
                  <w:r>
                    <w:rPr>
                      <w:rFonts w:hint="eastAsia"/>
                      <w:color w:val="auto"/>
                      <w:kern w:val="0"/>
                      <w:szCs w:val="21"/>
                      <w:highlight w:val="none"/>
                      <w:lang w:val="en-US" w:eastAsia="zh-CN"/>
                    </w:rPr>
                    <w:t>尿素耗量，</w:t>
                  </w:r>
                  <w:r>
                    <w:rPr>
                      <w:rFonts w:hint="default"/>
                      <w:color w:val="auto"/>
                      <w:kern w:val="0"/>
                      <w:szCs w:val="21"/>
                      <w:highlight w:val="none"/>
                    </w:rPr>
                    <w:t>kg/h</w:t>
                  </w:r>
                </w:p>
              </w:tc>
              <w:tc>
                <w:tcPr>
                  <w:tcW w:w="2983" w:type="dxa"/>
                  <w:tcBorders>
                    <w:top w:val="single" w:color="auto" w:sz="4" w:space="0"/>
                  </w:tcBorders>
                  <w:noWrap w:val="0"/>
                  <w:vAlign w:val="center"/>
                </w:tcPr>
                <w:p w14:paraId="789D9571">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kern w:val="0"/>
                      <w:szCs w:val="21"/>
                      <w:highlight w:val="none"/>
                      <w:lang w:val="en-US"/>
                    </w:rPr>
                  </w:pPr>
                  <w:r>
                    <w:rPr>
                      <w:rFonts w:hint="eastAsia"/>
                      <w:color w:val="auto"/>
                      <w:kern w:val="0"/>
                      <w:szCs w:val="21"/>
                      <w:highlight w:val="none"/>
                      <w:lang w:val="en-US" w:eastAsia="zh-CN"/>
                    </w:rPr>
                    <w:t>4.818</w:t>
                  </w:r>
                </w:p>
              </w:tc>
            </w:tr>
            <w:tr w14:paraId="7AC66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5626" w:type="dxa"/>
                  <w:noWrap w:val="0"/>
                  <w:vAlign w:val="center"/>
                </w:tcPr>
                <w:p w14:paraId="001FCD36">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szCs w:val="21"/>
                      <w:highlight w:val="none"/>
                    </w:rPr>
                  </w:pPr>
                  <w:r>
                    <w:rPr>
                      <w:rFonts w:hint="default"/>
                      <w:color w:val="auto"/>
                      <w:kern w:val="0"/>
                      <w:szCs w:val="21"/>
                      <w:highlight w:val="none"/>
                    </w:rPr>
                    <w:t>设计脱硝装置出口NOx排放浓度，mg/Nm</w:t>
                  </w:r>
                  <w:r>
                    <w:rPr>
                      <w:rFonts w:hint="default"/>
                      <w:color w:val="auto"/>
                      <w:kern w:val="0"/>
                      <w:szCs w:val="21"/>
                      <w:highlight w:val="none"/>
                      <w:vertAlign w:val="superscript"/>
                    </w:rPr>
                    <w:t>3</w:t>
                  </w:r>
                </w:p>
              </w:tc>
              <w:tc>
                <w:tcPr>
                  <w:tcW w:w="2983" w:type="dxa"/>
                  <w:noWrap w:val="0"/>
                  <w:vAlign w:val="center"/>
                </w:tcPr>
                <w:p w14:paraId="0DEA233C">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szCs w:val="21"/>
                      <w:highlight w:val="none"/>
                    </w:rPr>
                  </w:pPr>
                  <w:r>
                    <w:rPr>
                      <w:rFonts w:hint="default"/>
                      <w:color w:val="auto"/>
                      <w:kern w:val="0"/>
                      <w:szCs w:val="21"/>
                      <w:highlight w:val="none"/>
                    </w:rPr>
                    <w:t>&lt;</w:t>
                  </w:r>
                  <w:r>
                    <w:rPr>
                      <w:rFonts w:hint="eastAsia"/>
                      <w:color w:val="auto"/>
                      <w:kern w:val="0"/>
                      <w:szCs w:val="21"/>
                      <w:highlight w:val="none"/>
                      <w:lang w:val="en-US" w:eastAsia="zh-CN"/>
                    </w:rPr>
                    <w:t>100</w:t>
                  </w:r>
                </w:p>
              </w:tc>
            </w:tr>
            <w:tr w14:paraId="0F302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5626" w:type="dxa"/>
                  <w:noWrap w:val="0"/>
                  <w:vAlign w:val="center"/>
                </w:tcPr>
                <w:p w14:paraId="224C3D6F">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auto"/>
                      <w:szCs w:val="21"/>
                      <w:highlight w:val="none"/>
                    </w:rPr>
                  </w:pPr>
                  <w:r>
                    <w:rPr>
                      <w:rFonts w:hint="default"/>
                      <w:color w:val="auto"/>
                      <w:kern w:val="0"/>
                      <w:szCs w:val="21"/>
                      <w:highlight w:val="none"/>
                    </w:rPr>
                    <w:t>在烟囱处测得的最大NH</w:t>
                  </w:r>
                  <w:r>
                    <w:rPr>
                      <w:rFonts w:hint="default"/>
                      <w:color w:val="auto"/>
                      <w:kern w:val="0"/>
                      <w:szCs w:val="21"/>
                      <w:highlight w:val="none"/>
                      <w:vertAlign w:val="subscript"/>
                    </w:rPr>
                    <w:t>3</w:t>
                  </w:r>
                  <w:r>
                    <w:rPr>
                      <w:rFonts w:hint="default"/>
                      <w:color w:val="auto"/>
                      <w:kern w:val="0"/>
                      <w:szCs w:val="21"/>
                      <w:highlight w:val="none"/>
                    </w:rPr>
                    <w:t>逃逸量，mg/Nm</w:t>
                  </w:r>
                  <w:r>
                    <w:rPr>
                      <w:rFonts w:hint="default"/>
                      <w:color w:val="auto"/>
                      <w:kern w:val="0"/>
                      <w:szCs w:val="21"/>
                      <w:highlight w:val="none"/>
                      <w:vertAlign w:val="superscript"/>
                    </w:rPr>
                    <w:t>3</w:t>
                  </w:r>
                </w:p>
              </w:tc>
              <w:tc>
                <w:tcPr>
                  <w:tcW w:w="2983" w:type="dxa"/>
                  <w:noWrap w:val="0"/>
                  <w:vAlign w:val="center"/>
                </w:tcPr>
                <w:p w14:paraId="66FE5C51">
                  <w:pPr>
                    <w:keepNext w:val="0"/>
                    <w:keepLines w:val="0"/>
                    <w:suppressLineNumbers w:val="0"/>
                    <w:spacing w:before="0" w:beforeAutospacing="0" w:after="0" w:afterAutospacing="0" w:line="320" w:lineRule="exact"/>
                    <w:ind w:left="0" w:right="0"/>
                    <w:jc w:val="center"/>
                    <w:rPr>
                      <w:rFonts w:hint="default" w:ascii="Times New Roman" w:hAnsi="Times New Roman" w:eastAsia="宋体" w:cs="Times New Roman"/>
                      <w:color w:val="auto"/>
                      <w:szCs w:val="21"/>
                      <w:highlight w:val="none"/>
                      <w:lang w:eastAsia="zh-CN"/>
                    </w:rPr>
                  </w:pPr>
                  <w:r>
                    <w:rPr>
                      <w:rFonts w:hint="default"/>
                      <w:color w:val="auto"/>
                      <w:kern w:val="0"/>
                      <w:szCs w:val="21"/>
                      <w:highlight w:val="none"/>
                    </w:rPr>
                    <w:t>＜</w:t>
                  </w:r>
                  <w:r>
                    <w:rPr>
                      <w:rFonts w:hint="eastAsia"/>
                      <w:color w:val="auto"/>
                      <w:kern w:val="0"/>
                      <w:szCs w:val="21"/>
                      <w:highlight w:val="none"/>
                      <w:lang w:val="en-US" w:eastAsia="zh-CN"/>
                    </w:rPr>
                    <w:t>8</w:t>
                  </w:r>
                </w:p>
              </w:tc>
            </w:tr>
          </w:tbl>
          <w:p w14:paraId="4B745329">
            <w:pPr>
              <w:keepNext w:val="0"/>
              <w:keepLines w:val="0"/>
              <w:suppressLineNumbers w:val="0"/>
              <w:spacing w:before="0" w:beforeAutospacing="0" w:after="0" w:afterAutospacing="0" w:line="520" w:lineRule="atLeast"/>
              <w:ind w:left="0" w:right="0"/>
              <w:jc w:val="center"/>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rPr>
              <w:t>表</w:t>
            </w:r>
            <w:r>
              <w:rPr>
                <w:rFonts w:hint="eastAsia" w:ascii="Times New Roman" w:hAnsi="Times New Roman" w:eastAsia="宋体" w:cs="Times New Roman"/>
                <w:b/>
                <w:bCs/>
                <w:color w:val="auto"/>
                <w:sz w:val="24"/>
                <w:highlight w:val="none"/>
                <w:lang w:val="en-US" w:eastAsia="zh-CN"/>
              </w:rPr>
              <w:t>4-5</w:t>
            </w:r>
            <w:r>
              <w:rPr>
                <w:rFonts w:hint="eastAsia" w:ascii="Times New Roman" w:hAnsi="Times New Roman" w:eastAsia="宋体" w:cs="Times New Roman"/>
                <w:b/>
                <w:bCs/>
                <w:color w:val="auto"/>
                <w:sz w:val="24"/>
                <w:highlight w:val="none"/>
              </w:rPr>
              <w:t xml:space="preserve">   SCR烟气脱硝方案工程低温催化剂技术参数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2"/>
              <w:gridCol w:w="3962"/>
            </w:tblGrid>
            <w:tr w14:paraId="3C34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1" w:type="dxa"/>
                  <w:noWrap w:val="0"/>
                  <w:vAlign w:val="center"/>
                </w:tcPr>
                <w:p w14:paraId="6E24830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技术参数</w:t>
                  </w:r>
                </w:p>
              </w:tc>
              <w:tc>
                <w:tcPr>
                  <w:tcW w:w="4921" w:type="dxa"/>
                  <w:noWrap w:val="0"/>
                  <w:vAlign w:val="center"/>
                </w:tcPr>
                <w:p w14:paraId="786955C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数值</w:t>
                  </w:r>
                </w:p>
              </w:tc>
            </w:tr>
            <w:tr w14:paraId="24E3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1" w:type="dxa"/>
                  <w:noWrap w:val="0"/>
                  <w:vAlign w:val="center"/>
                </w:tcPr>
                <w:p w14:paraId="7F06335C">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型式</w:t>
                  </w:r>
                </w:p>
              </w:tc>
              <w:tc>
                <w:tcPr>
                  <w:tcW w:w="4921" w:type="dxa"/>
                  <w:noWrap w:val="0"/>
                  <w:vAlign w:val="center"/>
                </w:tcPr>
                <w:p w14:paraId="63FFA710">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蜂窝式</w:t>
                  </w:r>
                </w:p>
              </w:tc>
            </w:tr>
            <w:tr w14:paraId="5AF40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1" w:type="dxa"/>
                  <w:noWrap w:val="0"/>
                  <w:vAlign w:val="center"/>
                </w:tcPr>
                <w:p w14:paraId="46A23819">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型号</w:t>
                  </w:r>
                </w:p>
              </w:tc>
              <w:tc>
                <w:tcPr>
                  <w:tcW w:w="4921" w:type="dxa"/>
                  <w:noWrap w:val="0"/>
                  <w:vAlign w:val="center"/>
                </w:tcPr>
                <w:p w14:paraId="49B4F32F">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FXLBFM6-X00</w:t>
                  </w:r>
                </w:p>
              </w:tc>
            </w:tr>
            <w:tr w14:paraId="0E76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1" w:type="dxa"/>
                  <w:noWrap w:val="0"/>
                  <w:vAlign w:val="center"/>
                </w:tcPr>
                <w:p w14:paraId="0A4FACB8">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基材</w:t>
                  </w:r>
                </w:p>
              </w:tc>
              <w:tc>
                <w:tcPr>
                  <w:tcW w:w="4921" w:type="dxa"/>
                  <w:noWrap w:val="0"/>
                  <w:vAlign w:val="center"/>
                </w:tcPr>
                <w:p w14:paraId="67966400">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vertAlign w:val="subscript"/>
                    </w:rPr>
                  </w:pPr>
                  <w:r>
                    <w:rPr>
                      <w:rFonts w:hint="default"/>
                      <w:color w:val="auto"/>
                      <w:szCs w:val="21"/>
                      <w:highlight w:val="none"/>
                    </w:rPr>
                    <w:t>MoO</w:t>
                  </w:r>
                  <w:r>
                    <w:rPr>
                      <w:rFonts w:hint="default"/>
                      <w:color w:val="auto"/>
                      <w:szCs w:val="21"/>
                      <w:highlight w:val="none"/>
                      <w:vertAlign w:val="subscript"/>
                    </w:rPr>
                    <w:t>3-</w:t>
                  </w:r>
                  <w:r>
                    <w:rPr>
                      <w:rFonts w:hint="default"/>
                      <w:color w:val="auto"/>
                      <w:szCs w:val="21"/>
                      <w:highlight w:val="none"/>
                    </w:rPr>
                    <w:t xml:space="preserve"> TiO</w:t>
                  </w:r>
                  <w:r>
                    <w:rPr>
                      <w:rFonts w:hint="default"/>
                      <w:color w:val="auto"/>
                      <w:szCs w:val="21"/>
                      <w:highlight w:val="none"/>
                      <w:vertAlign w:val="subscript"/>
                    </w:rPr>
                    <w:t>2</w:t>
                  </w:r>
                </w:p>
              </w:tc>
            </w:tr>
            <w:tr w14:paraId="42259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1" w:type="dxa"/>
                  <w:noWrap w:val="0"/>
                  <w:vAlign w:val="center"/>
                </w:tcPr>
                <w:p w14:paraId="3FB22A8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活性</w:t>
                  </w:r>
                  <w:r>
                    <w:rPr>
                      <w:rFonts w:hint="eastAsia"/>
                      <w:color w:val="auto"/>
                      <w:szCs w:val="21"/>
                      <w:highlight w:val="none"/>
                      <w:lang w:eastAsia="zh-CN"/>
                    </w:rPr>
                    <w:t>化学成分</w:t>
                  </w:r>
                </w:p>
              </w:tc>
              <w:tc>
                <w:tcPr>
                  <w:tcW w:w="4921" w:type="dxa"/>
                  <w:noWrap w:val="0"/>
                  <w:vAlign w:val="center"/>
                </w:tcPr>
                <w:p w14:paraId="71D7EBE5">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vertAlign w:val="subscript"/>
                    </w:rPr>
                  </w:pPr>
                  <w:r>
                    <w:rPr>
                      <w:rFonts w:hint="default"/>
                      <w:color w:val="auto"/>
                      <w:szCs w:val="21"/>
                      <w:highlight w:val="none"/>
                    </w:rPr>
                    <w:t>v</w:t>
                  </w:r>
                  <w:r>
                    <w:rPr>
                      <w:rFonts w:hint="default"/>
                      <w:color w:val="auto"/>
                      <w:szCs w:val="21"/>
                      <w:highlight w:val="none"/>
                      <w:vertAlign w:val="subscript"/>
                    </w:rPr>
                    <w:t>2</w:t>
                  </w:r>
                  <w:r>
                    <w:rPr>
                      <w:rFonts w:hint="default"/>
                      <w:color w:val="auto"/>
                      <w:szCs w:val="21"/>
                      <w:highlight w:val="none"/>
                    </w:rPr>
                    <w:t>o</w:t>
                  </w:r>
                  <w:r>
                    <w:rPr>
                      <w:rFonts w:hint="default"/>
                      <w:color w:val="auto"/>
                      <w:szCs w:val="21"/>
                      <w:highlight w:val="none"/>
                      <w:vertAlign w:val="subscript"/>
                    </w:rPr>
                    <w:t>5</w:t>
                  </w:r>
                </w:p>
              </w:tc>
            </w:tr>
            <w:tr w14:paraId="3307F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1" w:type="dxa"/>
                  <w:noWrap w:val="0"/>
                  <w:vAlign w:val="center"/>
                </w:tcPr>
                <w:p w14:paraId="7BC3C7D8">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催化剂孔数</w:t>
                  </w:r>
                </w:p>
              </w:tc>
              <w:tc>
                <w:tcPr>
                  <w:tcW w:w="4921" w:type="dxa"/>
                  <w:noWrap w:val="0"/>
                  <w:vAlign w:val="center"/>
                </w:tcPr>
                <w:p w14:paraId="3713EBEF">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30×30</w:t>
                  </w:r>
                </w:p>
              </w:tc>
            </w:tr>
            <w:tr w14:paraId="6494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1" w:type="dxa"/>
                  <w:noWrap w:val="0"/>
                  <w:vAlign w:val="center"/>
                </w:tcPr>
                <w:p w14:paraId="6823176B">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孔体积</w:t>
                  </w:r>
                  <w:r>
                    <w:rPr>
                      <w:rFonts w:hint="eastAsia"/>
                      <w:color w:val="auto"/>
                      <w:szCs w:val="21"/>
                      <w:highlight w:val="none"/>
                      <w:lang w:eastAsia="zh-CN"/>
                    </w:rPr>
                    <w:t>（</w:t>
                  </w:r>
                  <w:r>
                    <w:rPr>
                      <w:rFonts w:hint="default"/>
                      <w:color w:val="auto"/>
                      <w:szCs w:val="21"/>
                      <w:highlight w:val="none"/>
                    </w:rPr>
                    <w:t>cm</w:t>
                  </w:r>
                  <w:r>
                    <w:rPr>
                      <w:rFonts w:hint="default"/>
                      <w:color w:val="auto"/>
                      <w:szCs w:val="21"/>
                      <w:highlight w:val="none"/>
                      <w:vertAlign w:val="superscript"/>
                    </w:rPr>
                    <w:t>3</w:t>
                  </w:r>
                  <w:r>
                    <w:rPr>
                      <w:rFonts w:hint="default"/>
                      <w:color w:val="auto"/>
                      <w:szCs w:val="21"/>
                      <w:highlight w:val="none"/>
                    </w:rPr>
                    <w:t>/g</w:t>
                  </w:r>
                  <w:r>
                    <w:rPr>
                      <w:rFonts w:hint="eastAsia"/>
                      <w:color w:val="auto"/>
                      <w:szCs w:val="21"/>
                      <w:highlight w:val="none"/>
                      <w:lang w:eastAsia="zh-CN"/>
                    </w:rPr>
                    <w:t>）</w:t>
                  </w:r>
                </w:p>
              </w:tc>
              <w:tc>
                <w:tcPr>
                  <w:tcW w:w="4921" w:type="dxa"/>
                  <w:noWrap w:val="0"/>
                  <w:vAlign w:val="center"/>
                </w:tcPr>
                <w:p w14:paraId="337BBF2F">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0.25</w:t>
                  </w:r>
                </w:p>
              </w:tc>
            </w:tr>
            <w:tr w14:paraId="199E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4921" w:type="dxa"/>
                  <w:noWrap w:val="0"/>
                  <w:vAlign w:val="center"/>
                </w:tcPr>
                <w:p w14:paraId="101FB25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孔径</w:t>
                  </w:r>
                  <w:r>
                    <w:rPr>
                      <w:rFonts w:hint="eastAsia"/>
                      <w:color w:val="auto"/>
                      <w:szCs w:val="21"/>
                      <w:highlight w:val="none"/>
                      <w:lang w:eastAsia="zh-CN"/>
                    </w:rPr>
                    <w:t>（</w:t>
                  </w:r>
                  <w:r>
                    <w:rPr>
                      <w:rFonts w:hint="default"/>
                      <w:color w:val="auto"/>
                      <w:szCs w:val="21"/>
                      <w:highlight w:val="none"/>
                    </w:rPr>
                    <w:t>nm</w:t>
                  </w:r>
                  <w:r>
                    <w:rPr>
                      <w:rFonts w:hint="eastAsia"/>
                      <w:color w:val="auto"/>
                      <w:szCs w:val="21"/>
                      <w:highlight w:val="none"/>
                      <w:lang w:eastAsia="zh-CN"/>
                    </w:rPr>
                    <w:t>）</w:t>
                  </w:r>
                </w:p>
              </w:tc>
              <w:tc>
                <w:tcPr>
                  <w:tcW w:w="4921" w:type="dxa"/>
                  <w:noWrap w:val="0"/>
                  <w:vAlign w:val="center"/>
                </w:tcPr>
                <w:p w14:paraId="48DCC9C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11.64</w:t>
                  </w:r>
                </w:p>
              </w:tc>
            </w:tr>
            <w:tr w14:paraId="3689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1" w:type="dxa"/>
                  <w:noWrap w:val="0"/>
                  <w:vAlign w:val="center"/>
                </w:tcPr>
                <w:p w14:paraId="17790128">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 xml:space="preserve">每个催化剂单元的尺寸（长×宽）mm×mm </w:t>
                  </w:r>
                </w:p>
              </w:tc>
              <w:tc>
                <w:tcPr>
                  <w:tcW w:w="4921" w:type="dxa"/>
                  <w:noWrap w:val="0"/>
                  <w:vAlign w:val="center"/>
                </w:tcPr>
                <w:p w14:paraId="37C61AC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150×150</w:t>
                  </w:r>
                </w:p>
              </w:tc>
            </w:tr>
            <w:tr w14:paraId="3053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1" w:type="dxa"/>
                  <w:noWrap w:val="0"/>
                  <w:vAlign w:val="center"/>
                </w:tcPr>
                <w:p w14:paraId="64EA4C3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节距（pitch）mm</w:t>
                  </w:r>
                </w:p>
              </w:tc>
              <w:tc>
                <w:tcPr>
                  <w:tcW w:w="4921" w:type="dxa"/>
                  <w:noWrap w:val="0"/>
                  <w:vAlign w:val="center"/>
                </w:tcPr>
                <w:p w14:paraId="64C2C8E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5</w:t>
                  </w:r>
                </w:p>
              </w:tc>
            </w:tr>
            <w:tr w14:paraId="08FE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1" w:type="dxa"/>
                  <w:noWrap w:val="0"/>
                  <w:vAlign w:val="center"/>
                </w:tcPr>
                <w:p w14:paraId="5CE4873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vertAlign w:val="superscript"/>
                    </w:rPr>
                  </w:pPr>
                  <w:r>
                    <w:rPr>
                      <w:rFonts w:hint="default"/>
                      <w:color w:val="auto"/>
                      <w:szCs w:val="21"/>
                      <w:highlight w:val="none"/>
                    </w:rPr>
                    <w:t>催化剂（几何）比表面积m</w:t>
                  </w:r>
                  <w:r>
                    <w:rPr>
                      <w:rFonts w:hint="default"/>
                      <w:color w:val="auto"/>
                      <w:szCs w:val="21"/>
                      <w:highlight w:val="none"/>
                      <w:vertAlign w:val="superscript"/>
                    </w:rPr>
                    <w:t>2</w:t>
                  </w:r>
                  <w:r>
                    <w:rPr>
                      <w:rFonts w:hint="default"/>
                      <w:color w:val="auto"/>
                      <w:szCs w:val="21"/>
                      <w:highlight w:val="none"/>
                    </w:rPr>
                    <w:t>/m</w:t>
                  </w:r>
                  <w:r>
                    <w:rPr>
                      <w:rFonts w:hint="default"/>
                      <w:color w:val="auto"/>
                      <w:szCs w:val="21"/>
                      <w:highlight w:val="none"/>
                      <w:vertAlign w:val="superscript"/>
                    </w:rPr>
                    <w:t>3</w:t>
                  </w:r>
                </w:p>
              </w:tc>
              <w:tc>
                <w:tcPr>
                  <w:tcW w:w="4921" w:type="dxa"/>
                  <w:noWrap w:val="0"/>
                  <w:vAlign w:val="center"/>
                </w:tcPr>
                <w:p w14:paraId="0AC90C9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640</w:t>
                  </w:r>
                </w:p>
              </w:tc>
            </w:tr>
            <w:tr w14:paraId="15F9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1" w:type="dxa"/>
                  <w:noWrap w:val="0"/>
                  <w:vAlign w:val="center"/>
                </w:tcPr>
                <w:p w14:paraId="5968754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催化剂体积密度 g/cm</w:t>
                  </w:r>
                </w:p>
              </w:tc>
              <w:tc>
                <w:tcPr>
                  <w:tcW w:w="4921" w:type="dxa"/>
                  <w:noWrap w:val="0"/>
                  <w:vAlign w:val="center"/>
                </w:tcPr>
                <w:p w14:paraId="087B319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约700</w:t>
                  </w:r>
                </w:p>
              </w:tc>
            </w:tr>
            <w:tr w14:paraId="67B7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1" w:type="dxa"/>
                  <w:noWrap w:val="0"/>
                  <w:vAlign w:val="center"/>
                </w:tcPr>
                <w:p w14:paraId="53009794">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催化剂空隙率%</w:t>
                  </w:r>
                </w:p>
              </w:tc>
              <w:tc>
                <w:tcPr>
                  <w:tcW w:w="4921" w:type="dxa"/>
                  <w:noWrap w:val="0"/>
                  <w:vAlign w:val="center"/>
                </w:tcPr>
                <w:p w14:paraId="3C2EC80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color w:val="auto"/>
                      <w:szCs w:val="21"/>
                      <w:highlight w:val="none"/>
                    </w:rPr>
                    <w:t>64</w:t>
                  </w:r>
                </w:p>
              </w:tc>
            </w:tr>
          </w:tbl>
          <w:p w14:paraId="03ADD76E">
            <w:pPr>
              <w:pStyle w:val="7"/>
              <w:keepNext w:val="0"/>
              <w:keepLines w:val="0"/>
              <w:suppressLineNumbers w:val="0"/>
              <w:adjustRightInd w:val="0"/>
              <w:snapToGrid w:val="0"/>
              <w:spacing w:before="0" w:beforeAutospacing="0" w:after="0" w:afterAutospacing="0" w:line="460" w:lineRule="exact"/>
              <w:ind w:left="0" w:right="0" w:firstLine="480" w:firstLineChars="200"/>
              <w:rPr>
                <w:rFonts w:hint="default"/>
                <w:color w:val="auto"/>
                <w:highlight w:val="none"/>
                <w:lang w:val="en-US" w:eastAsia="zh-CN"/>
              </w:rPr>
            </w:pPr>
            <w:r>
              <w:rPr>
                <w:rFonts w:hint="eastAsia"/>
                <w:color w:val="auto"/>
                <w:highlight w:val="none"/>
                <w:lang w:val="en-US" w:eastAsia="zh-CN"/>
              </w:rPr>
              <w:t>本项目玻璃微珠烧制炉出口的烟气温度为240℃，管道全部采用保温材料进行包裹，经旋风收集器后，降温幅度在5~25℃之间，能够保证进入SCR脱硝装置的温度维持在220℃左右，此温度范围是钒钛系低温脱硝催化剂（化学成分为V</w:t>
            </w:r>
            <w:r>
              <w:rPr>
                <w:rFonts w:hint="eastAsia"/>
                <w:color w:val="auto"/>
                <w:highlight w:val="none"/>
                <w:vertAlign w:val="subscript"/>
                <w:lang w:val="en-US" w:eastAsia="zh-CN"/>
              </w:rPr>
              <w:t>2</w:t>
            </w:r>
            <w:r>
              <w:rPr>
                <w:rFonts w:hint="eastAsia"/>
                <w:color w:val="auto"/>
                <w:highlight w:val="none"/>
                <w:lang w:val="en-US" w:eastAsia="zh-CN"/>
              </w:rPr>
              <w:t>O</w:t>
            </w:r>
            <w:r>
              <w:rPr>
                <w:rFonts w:hint="eastAsia"/>
                <w:color w:val="auto"/>
                <w:highlight w:val="none"/>
                <w:vertAlign w:val="subscript"/>
                <w:lang w:val="en-US" w:eastAsia="zh-CN"/>
              </w:rPr>
              <w:t>5</w:t>
            </w:r>
            <w:r>
              <w:rPr>
                <w:rFonts w:hint="eastAsia"/>
                <w:color w:val="auto"/>
                <w:highlight w:val="none"/>
                <w:lang w:val="en-US" w:eastAsia="zh-CN"/>
              </w:rPr>
              <w:t>、TiO</w:t>
            </w:r>
            <w:r>
              <w:rPr>
                <w:rFonts w:hint="eastAsia"/>
                <w:color w:val="auto"/>
                <w:highlight w:val="none"/>
                <w:vertAlign w:val="subscript"/>
                <w:lang w:val="en-US" w:eastAsia="zh-CN"/>
              </w:rPr>
              <w:t>2</w:t>
            </w:r>
            <w:r>
              <w:rPr>
                <w:rFonts w:hint="eastAsia"/>
                <w:color w:val="auto"/>
                <w:highlight w:val="none"/>
                <w:lang w:val="en-US" w:eastAsia="zh-CN"/>
              </w:rPr>
              <w:t>）的高效反应区间，此温度下V</w:t>
            </w:r>
            <w:r>
              <w:rPr>
                <w:rFonts w:hint="eastAsia"/>
                <w:color w:val="auto"/>
                <w:highlight w:val="none"/>
                <w:vertAlign w:val="subscript"/>
                <w:lang w:val="en-US" w:eastAsia="zh-CN"/>
              </w:rPr>
              <w:t>2</w:t>
            </w:r>
            <w:r>
              <w:rPr>
                <w:rFonts w:hint="eastAsia"/>
                <w:color w:val="auto"/>
                <w:highlight w:val="none"/>
                <w:lang w:val="en-US" w:eastAsia="zh-CN"/>
              </w:rPr>
              <w:t>O</w:t>
            </w:r>
            <w:r>
              <w:rPr>
                <w:rFonts w:hint="eastAsia"/>
                <w:color w:val="auto"/>
                <w:highlight w:val="none"/>
                <w:vertAlign w:val="subscript"/>
                <w:lang w:val="en-US" w:eastAsia="zh-CN"/>
              </w:rPr>
              <w:t>5</w:t>
            </w:r>
            <w:r>
              <w:rPr>
                <w:rFonts w:hint="eastAsia"/>
                <w:color w:val="auto"/>
                <w:highlight w:val="none"/>
                <w:vertAlign w:val="baseline"/>
                <w:lang w:val="en-US" w:eastAsia="zh-CN"/>
              </w:rPr>
              <w:t>的活性位点充分活化，主反应速率最快且副反应率低</w:t>
            </w:r>
            <w:r>
              <w:rPr>
                <w:rFonts w:hint="eastAsia"/>
                <w:color w:val="auto"/>
                <w:highlight w:val="none"/>
                <w:lang w:val="en-US" w:eastAsia="zh-CN"/>
              </w:rPr>
              <w:t>，保证最好的脱硝效果。</w:t>
            </w:r>
          </w:p>
          <w:p w14:paraId="358B45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default" w:ascii="Times New Roman" w:hAnsi="Times New Roman" w:cs="Times New Roman"/>
                <w:color w:val="auto"/>
                <w:sz w:val="24"/>
              </w:rPr>
              <w:t>本项目采用的SCR脱硝技术，已经广泛应用于烟气脱硝工程中，技术成熟可靠，运行稳定，符合国家政策要求，完全能够保证实际运行过程中脱硝效率≥</w:t>
            </w:r>
            <w:r>
              <w:rPr>
                <w:rFonts w:hint="eastAsia" w:cs="Times New Roman"/>
                <w:color w:val="auto"/>
                <w:sz w:val="24"/>
                <w:lang w:val="en-US" w:eastAsia="zh-CN"/>
              </w:rPr>
              <w:t>80</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本项目取</w:t>
            </w:r>
            <w:r>
              <w:rPr>
                <w:rFonts w:hint="eastAsia" w:cs="Times New Roman"/>
                <w:color w:val="auto"/>
                <w:sz w:val="24"/>
                <w:lang w:val="en-US" w:eastAsia="zh-CN"/>
              </w:rPr>
              <w:t>8</w:t>
            </w:r>
            <w:r>
              <w:rPr>
                <w:rFonts w:hint="eastAsia" w:ascii="Times New Roman" w:hAnsi="Times New Roman" w:cs="Times New Roman"/>
                <w:color w:val="auto"/>
                <w:sz w:val="24"/>
                <w:lang w:val="en-US" w:eastAsia="zh-CN"/>
              </w:rPr>
              <w:t>0%。</w:t>
            </w:r>
            <w:r>
              <w:rPr>
                <w:rFonts w:hint="default" w:ascii="Times New Roman" w:hAnsi="Times New Roman" w:cs="Times New Roman"/>
                <w:color w:val="auto"/>
                <w:sz w:val="24"/>
              </w:rPr>
              <w:t>氮氧化物可以实现达标排放</w:t>
            </w:r>
            <w:r>
              <w:rPr>
                <w:rFonts w:hint="eastAsia" w:ascii="Times New Roman" w:hAnsi="Times New Roman" w:cs="Times New Roman"/>
                <w:color w:val="auto"/>
                <w:sz w:val="24"/>
                <w:lang w:eastAsia="zh-CN"/>
              </w:rPr>
              <w:t>。</w:t>
            </w:r>
          </w:p>
          <w:p w14:paraId="3CE7B4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rPr>
              <w:t>废气监测计划</w:t>
            </w:r>
          </w:p>
          <w:p w14:paraId="52F324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根据《排污单位自行监测技术指南总则》（HJ819-2017）</w:t>
            </w:r>
            <w:r>
              <w:rPr>
                <w:rFonts w:hint="eastAsia" w:cs="Times New Roman"/>
                <w:color w:val="auto"/>
                <w:sz w:val="24"/>
                <w:szCs w:val="24"/>
                <w:highlight w:val="none"/>
                <w:lang w:eastAsia="zh-CN"/>
              </w:rPr>
              <w:t>，</w:t>
            </w:r>
            <w:r>
              <w:rPr>
                <w:rFonts w:hint="eastAsia" w:ascii="Times New Roman" w:hAnsi="Times New Roman" w:cs="Times New Roman"/>
                <w:color w:val="auto"/>
                <w:sz w:val="24"/>
                <w:szCs w:val="24"/>
                <w:highlight w:val="none"/>
              </w:rPr>
              <w:t>项目废气监测计划见下表。</w:t>
            </w:r>
          </w:p>
          <w:p w14:paraId="32DB024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jc w:val="center"/>
              <w:textAlignment w:val="auto"/>
              <w:rPr>
                <w:rFonts w:hint="eastAsia" w:hAnsi="宋体" w:cs="宋体"/>
                <w:b/>
                <w:bCs/>
                <w:color w:val="auto"/>
                <w:sz w:val="24"/>
                <w:szCs w:val="24"/>
                <w:highlight w:val="none"/>
              </w:rPr>
            </w:pPr>
            <w:r>
              <w:rPr>
                <w:rFonts w:hint="eastAsia" w:hAnsi="宋体" w:cs="宋体"/>
                <w:b/>
                <w:bCs/>
                <w:color w:val="auto"/>
                <w:sz w:val="24"/>
                <w:szCs w:val="24"/>
                <w:highlight w:val="none"/>
              </w:rPr>
              <w:t>表</w:t>
            </w:r>
            <w:r>
              <w:rPr>
                <w:rFonts w:hint="eastAsia" w:ascii="Times New Roman" w:hAnsi="Times New Roman" w:cs="宋体"/>
                <w:b/>
                <w:bCs/>
                <w:color w:val="auto"/>
                <w:sz w:val="24"/>
                <w:szCs w:val="24"/>
                <w:highlight w:val="none"/>
                <w:lang w:val="en-US" w:eastAsia="zh-CN"/>
              </w:rPr>
              <w:t>4-</w:t>
            </w:r>
            <w:r>
              <w:rPr>
                <w:rFonts w:hint="eastAsia" w:ascii="Times New Roman" w:cs="宋体"/>
                <w:b/>
                <w:bCs/>
                <w:color w:val="auto"/>
                <w:sz w:val="24"/>
                <w:szCs w:val="24"/>
                <w:highlight w:val="none"/>
                <w:lang w:val="en-US" w:eastAsia="zh-CN"/>
              </w:rPr>
              <w:t>6</w:t>
            </w:r>
            <w:r>
              <w:rPr>
                <w:rFonts w:hint="eastAsia" w:hAnsi="宋体" w:cs="宋体"/>
                <w:b/>
                <w:bCs/>
                <w:color w:val="auto"/>
                <w:sz w:val="24"/>
                <w:szCs w:val="24"/>
                <w:highlight w:val="none"/>
              </w:rPr>
              <w:t>项目废气监测计划一览表</w:t>
            </w:r>
          </w:p>
          <w:tbl>
            <w:tblPr>
              <w:tblStyle w:val="23"/>
              <w:tblW w:w="4998"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3"/>
              <w:gridCol w:w="564"/>
              <w:gridCol w:w="1892"/>
              <w:gridCol w:w="3179"/>
              <w:gridCol w:w="1084"/>
              <w:gridCol w:w="929"/>
            </w:tblGrid>
            <w:tr w14:paraId="6C89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0" w:hRule="atLeast"/>
              </w:trPr>
              <w:tc>
                <w:tcPr>
                  <w:tcW w:w="528" w:type="pct"/>
                  <w:gridSpan w:val="2"/>
                  <w:noWrap w:val="0"/>
                  <w:vAlign w:val="center"/>
                </w:tcPr>
                <w:p w14:paraId="2CD6ACC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类别</w:t>
                  </w:r>
                </w:p>
              </w:tc>
              <w:tc>
                <w:tcPr>
                  <w:tcW w:w="1194" w:type="pct"/>
                  <w:noWrap w:val="0"/>
                  <w:vAlign w:val="center"/>
                </w:tcPr>
                <w:p w14:paraId="742F04C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排污口编号及名称</w:t>
                  </w:r>
                </w:p>
              </w:tc>
              <w:tc>
                <w:tcPr>
                  <w:tcW w:w="2006" w:type="pct"/>
                  <w:noWrap w:val="0"/>
                  <w:vAlign w:val="center"/>
                </w:tcPr>
                <w:p w14:paraId="7A36296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监测点位</w:t>
                  </w:r>
                </w:p>
              </w:tc>
              <w:tc>
                <w:tcPr>
                  <w:tcW w:w="684" w:type="pct"/>
                  <w:noWrap w:val="0"/>
                  <w:vAlign w:val="center"/>
                </w:tcPr>
                <w:p w14:paraId="2FC3489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监测因子</w:t>
                  </w:r>
                </w:p>
              </w:tc>
              <w:tc>
                <w:tcPr>
                  <w:tcW w:w="586" w:type="pct"/>
                  <w:noWrap w:val="0"/>
                  <w:vAlign w:val="center"/>
                </w:tcPr>
                <w:p w14:paraId="545D27A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监测频率</w:t>
                  </w:r>
                </w:p>
              </w:tc>
            </w:tr>
            <w:tr w14:paraId="48AC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 w:hRule="atLeast"/>
              </w:trPr>
              <w:tc>
                <w:tcPr>
                  <w:tcW w:w="172" w:type="pct"/>
                  <w:vMerge w:val="restart"/>
                  <w:noWrap w:val="0"/>
                  <w:vAlign w:val="center"/>
                </w:tcPr>
                <w:p w14:paraId="12F595F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356" w:type="pct"/>
                  <w:vMerge w:val="restart"/>
                  <w:noWrap w:val="0"/>
                  <w:vAlign w:val="center"/>
                </w:tcPr>
                <w:p w14:paraId="3B887A9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194" w:type="pct"/>
                  <w:vMerge w:val="restart"/>
                  <w:noWrap w:val="0"/>
                  <w:vAlign w:val="center"/>
                </w:tcPr>
                <w:p w14:paraId="31F0CBE9">
                  <w:pPr>
                    <w:keepNext w:val="0"/>
                    <w:keepLines w:val="0"/>
                    <w:suppressLineNumbers w:val="0"/>
                    <w:adjustRightInd/>
                    <w:snapToGrid/>
                    <w:spacing w:before="0" w:beforeAutospacing="0" w:after="0" w:afterAutospacing="0"/>
                    <w:ind w:left="0" w:right="0"/>
                    <w:jc w:val="center"/>
                    <w:rPr>
                      <w:rFonts w:hint="default" w:ascii="Times New Roman" w:hAnsi="Times New Roman" w:eastAsia="宋体" w:cs="Times New Roman"/>
                      <w:bCs w:val="0"/>
                      <w:color w:val="auto"/>
                      <w:sz w:val="21"/>
                      <w:szCs w:val="21"/>
                      <w:highlight w:val="none"/>
                      <w:lang w:val="en-US" w:eastAsia="zh-CN"/>
                    </w:rPr>
                  </w:pPr>
                  <w:r>
                    <w:rPr>
                      <w:rFonts w:hint="default" w:ascii="Times New Roman" w:hAnsi="Times New Roman" w:eastAsia="宋体" w:cs="Times New Roman"/>
                      <w:color w:val="auto"/>
                      <w:sz w:val="21"/>
                      <w:szCs w:val="21"/>
                      <w:highlight w:val="none"/>
                    </w:rPr>
                    <w:t>DA001</w:t>
                  </w:r>
                </w:p>
              </w:tc>
              <w:tc>
                <w:tcPr>
                  <w:tcW w:w="2006" w:type="pct"/>
                  <w:vMerge w:val="restart"/>
                  <w:noWrap w:val="0"/>
                  <w:vAlign w:val="center"/>
                </w:tcPr>
                <w:p w14:paraId="4C9F09E1">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SCR脱硝+布袋除尘器进出口</w:t>
                  </w:r>
                </w:p>
              </w:tc>
              <w:tc>
                <w:tcPr>
                  <w:tcW w:w="684" w:type="pct"/>
                  <w:noWrap w:val="0"/>
                  <w:vAlign w:val="center"/>
                </w:tcPr>
                <w:p w14:paraId="6A4FE4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颗粒物</w:t>
                  </w:r>
                </w:p>
              </w:tc>
              <w:tc>
                <w:tcPr>
                  <w:tcW w:w="586" w:type="pct"/>
                  <w:noWrap w:val="0"/>
                  <w:vAlign w:val="center"/>
                </w:tcPr>
                <w:p w14:paraId="5E6C4408">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1次/</w:t>
                  </w:r>
                  <w:r>
                    <w:rPr>
                      <w:rFonts w:hint="eastAsia" w:cs="Times New Roman"/>
                      <w:color w:val="auto"/>
                      <w:szCs w:val="21"/>
                      <w:highlight w:val="none"/>
                      <w:lang w:val="en-US" w:eastAsia="zh-CN"/>
                    </w:rPr>
                    <w:t>季度</w:t>
                  </w:r>
                </w:p>
              </w:tc>
            </w:tr>
            <w:tr w14:paraId="1E532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 w:hRule="atLeast"/>
              </w:trPr>
              <w:tc>
                <w:tcPr>
                  <w:tcW w:w="172" w:type="pct"/>
                  <w:vMerge w:val="continue"/>
                  <w:noWrap w:val="0"/>
                  <w:vAlign w:val="center"/>
                </w:tcPr>
                <w:p w14:paraId="1F31165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356" w:type="pct"/>
                  <w:vMerge w:val="continue"/>
                  <w:noWrap w:val="0"/>
                  <w:vAlign w:val="center"/>
                </w:tcPr>
                <w:p w14:paraId="3D5C629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94" w:type="pct"/>
                  <w:vMerge w:val="continue"/>
                  <w:noWrap w:val="0"/>
                  <w:vAlign w:val="center"/>
                </w:tcPr>
                <w:p w14:paraId="06CF0B8C">
                  <w:pPr>
                    <w:keepNext w:val="0"/>
                    <w:keepLines w:val="0"/>
                    <w:suppressLineNumbers w:val="0"/>
                    <w:adjustRightInd/>
                    <w:snapToGrid/>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006" w:type="pct"/>
                  <w:vMerge w:val="continue"/>
                  <w:noWrap w:val="0"/>
                  <w:vAlign w:val="center"/>
                </w:tcPr>
                <w:p w14:paraId="25E741BF">
                  <w:pPr>
                    <w:keepNext w:val="0"/>
                    <w:keepLines w:val="0"/>
                    <w:suppressLineNumbers w:val="0"/>
                    <w:spacing w:before="0" w:beforeAutospacing="0" w:after="0" w:afterAutospacing="0" w:line="240" w:lineRule="auto"/>
                    <w:ind w:left="0" w:right="0"/>
                    <w:jc w:val="center"/>
                    <w:rPr>
                      <w:rFonts w:hint="eastAsia" w:cs="Times New Roman"/>
                      <w:color w:val="auto"/>
                      <w:sz w:val="21"/>
                      <w:szCs w:val="21"/>
                      <w:highlight w:val="none"/>
                      <w:lang w:val="en-US" w:eastAsia="zh-CN"/>
                    </w:rPr>
                  </w:pPr>
                </w:p>
              </w:tc>
              <w:tc>
                <w:tcPr>
                  <w:tcW w:w="684" w:type="pct"/>
                  <w:noWrap w:val="0"/>
                  <w:vAlign w:val="center"/>
                </w:tcPr>
                <w:p w14:paraId="1A10D6C5">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二氧化硫</w:t>
                  </w:r>
                </w:p>
              </w:tc>
              <w:tc>
                <w:tcPr>
                  <w:tcW w:w="586" w:type="pct"/>
                  <w:noWrap w:val="0"/>
                  <w:vAlign w:val="center"/>
                </w:tcPr>
                <w:p w14:paraId="785D0AA8">
                  <w:pPr>
                    <w:keepNext w:val="0"/>
                    <w:keepLines w:val="0"/>
                    <w:suppressLineNumbers w:val="0"/>
                    <w:adjustRightInd w:val="0"/>
                    <w:snapToGrid w:val="0"/>
                    <w:spacing w:before="0" w:beforeAutospacing="0" w:after="0" w:afterAutospacing="0" w:line="320" w:lineRule="exact"/>
                    <w:ind w:left="0" w:right="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1次/</w:t>
                  </w:r>
                  <w:r>
                    <w:rPr>
                      <w:rFonts w:hint="eastAsia" w:cs="Times New Roman"/>
                      <w:color w:val="auto"/>
                      <w:szCs w:val="21"/>
                      <w:highlight w:val="none"/>
                      <w:lang w:val="en-US" w:eastAsia="zh-CN"/>
                    </w:rPr>
                    <w:t>季度</w:t>
                  </w:r>
                </w:p>
              </w:tc>
            </w:tr>
            <w:tr w14:paraId="4771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172" w:type="pct"/>
                  <w:vMerge w:val="continue"/>
                  <w:noWrap w:val="0"/>
                  <w:vAlign w:val="center"/>
                </w:tcPr>
                <w:p w14:paraId="68C0747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356" w:type="pct"/>
                  <w:vMerge w:val="continue"/>
                  <w:noWrap w:val="0"/>
                  <w:vAlign w:val="center"/>
                </w:tcPr>
                <w:p w14:paraId="3F94DB8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94" w:type="pct"/>
                  <w:vMerge w:val="continue"/>
                  <w:noWrap w:val="0"/>
                  <w:vAlign w:val="center"/>
                </w:tcPr>
                <w:p w14:paraId="1408AED0">
                  <w:pPr>
                    <w:keepNext w:val="0"/>
                    <w:keepLines w:val="0"/>
                    <w:suppressLineNumbers w:val="0"/>
                    <w:adjustRightInd/>
                    <w:snapToGrid/>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006" w:type="pct"/>
                  <w:vMerge w:val="continue"/>
                  <w:noWrap w:val="0"/>
                  <w:vAlign w:val="center"/>
                </w:tcPr>
                <w:p w14:paraId="6149A4B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684" w:type="pct"/>
                  <w:shd w:val="clear" w:color="auto" w:fill="auto"/>
                  <w:noWrap w:val="0"/>
                  <w:vAlign w:val="center"/>
                </w:tcPr>
                <w:p w14:paraId="21BF183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氮氧化物</w:t>
                  </w:r>
                </w:p>
              </w:tc>
              <w:tc>
                <w:tcPr>
                  <w:tcW w:w="586" w:type="pct"/>
                  <w:shd w:val="clear" w:color="auto" w:fill="auto"/>
                  <w:noWrap w:val="0"/>
                  <w:vAlign w:val="center"/>
                </w:tcPr>
                <w:p w14:paraId="140985FB">
                  <w:pPr>
                    <w:keepNext w:val="0"/>
                    <w:keepLines w:val="0"/>
                    <w:suppressLineNumbers w:val="0"/>
                    <w:adjustRightInd w:val="0"/>
                    <w:snapToGri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1次/</w:t>
                  </w:r>
                  <w:r>
                    <w:rPr>
                      <w:rFonts w:hint="eastAsia" w:cs="Times New Roman"/>
                      <w:color w:val="auto"/>
                      <w:szCs w:val="21"/>
                      <w:highlight w:val="none"/>
                      <w:lang w:val="en-US" w:eastAsia="zh-CN"/>
                    </w:rPr>
                    <w:t>季度</w:t>
                  </w:r>
                </w:p>
              </w:tc>
            </w:tr>
            <w:tr w14:paraId="3070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72" w:type="pct"/>
                  <w:vMerge w:val="continue"/>
                  <w:noWrap w:val="0"/>
                  <w:vAlign w:val="center"/>
                </w:tcPr>
                <w:p w14:paraId="5BA0D98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356" w:type="pct"/>
                  <w:vMerge w:val="continue"/>
                  <w:noWrap w:val="0"/>
                  <w:vAlign w:val="center"/>
                </w:tcPr>
                <w:p w14:paraId="4611EFD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94" w:type="pct"/>
                  <w:vMerge w:val="continue"/>
                  <w:noWrap w:val="0"/>
                  <w:vAlign w:val="center"/>
                </w:tcPr>
                <w:p w14:paraId="36E76C9A">
                  <w:pPr>
                    <w:keepNext w:val="0"/>
                    <w:keepLines w:val="0"/>
                    <w:suppressLineNumbers w:val="0"/>
                    <w:adjustRightInd/>
                    <w:snapToGrid/>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006" w:type="pct"/>
                  <w:vMerge w:val="continue"/>
                  <w:noWrap w:val="0"/>
                  <w:vAlign w:val="center"/>
                </w:tcPr>
                <w:p w14:paraId="39F9742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684" w:type="pct"/>
                  <w:noWrap w:val="0"/>
                  <w:vAlign w:val="center"/>
                </w:tcPr>
                <w:p w14:paraId="0027D1D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氨</w:t>
                  </w:r>
                </w:p>
              </w:tc>
              <w:tc>
                <w:tcPr>
                  <w:tcW w:w="586" w:type="pct"/>
                  <w:noWrap w:val="0"/>
                  <w:vAlign w:val="center"/>
                </w:tcPr>
                <w:p w14:paraId="20409B96">
                  <w:pPr>
                    <w:keepNext w:val="0"/>
                    <w:keepLines w:val="0"/>
                    <w:suppressLineNumbers w:val="0"/>
                    <w:adjustRightInd w:val="0"/>
                    <w:snapToGrid w:val="0"/>
                    <w:spacing w:before="0" w:beforeAutospacing="0" w:after="0" w:afterAutospacing="0" w:line="320" w:lineRule="exact"/>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1次/</w:t>
                  </w:r>
                  <w:r>
                    <w:rPr>
                      <w:rFonts w:hint="eastAsia" w:cs="Times New Roman"/>
                      <w:color w:val="auto"/>
                      <w:szCs w:val="21"/>
                      <w:highlight w:val="none"/>
                      <w:lang w:val="en-US" w:eastAsia="zh-CN"/>
                    </w:rPr>
                    <w:t>半年</w:t>
                  </w:r>
                </w:p>
              </w:tc>
            </w:tr>
            <w:tr w14:paraId="7FFF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1" w:hRule="atLeast"/>
              </w:trPr>
              <w:tc>
                <w:tcPr>
                  <w:tcW w:w="172" w:type="pct"/>
                  <w:vMerge w:val="continue"/>
                  <w:noWrap w:val="0"/>
                  <w:vAlign w:val="center"/>
                </w:tcPr>
                <w:p w14:paraId="4910EEF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356" w:type="pct"/>
                  <w:vMerge w:val="continue"/>
                  <w:noWrap w:val="0"/>
                  <w:vAlign w:val="center"/>
                </w:tcPr>
                <w:p w14:paraId="6F741B8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94" w:type="pct"/>
                  <w:noWrap w:val="0"/>
                  <w:vAlign w:val="center"/>
                </w:tcPr>
                <w:p w14:paraId="72286A9F">
                  <w:pPr>
                    <w:keepNext w:val="0"/>
                    <w:keepLines w:val="0"/>
                    <w:suppressLineNumbers w:val="0"/>
                    <w:adjustRightInd/>
                    <w:snapToGrid/>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DA002</w:t>
                  </w:r>
                </w:p>
              </w:tc>
              <w:tc>
                <w:tcPr>
                  <w:tcW w:w="2006" w:type="pct"/>
                  <w:noWrap w:val="0"/>
                  <w:vAlign w:val="center"/>
                </w:tcPr>
                <w:p w14:paraId="22B5C8D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布袋除尘器出口</w:t>
                  </w:r>
                </w:p>
              </w:tc>
              <w:tc>
                <w:tcPr>
                  <w:tcW w:w="684" w:type="pct"/>
                  <w:vMerge w:val="restart"/>
                  <w:noWrap w:val="0"/>
                  <w:vAlign w:val="center"/>
                </w:tcPr>
                <w:p w14:paraId="58F103AB">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颗粒物</w:t>
                  </w:r>
                </w:p>
              </w:tc>
              <w:tc>
                <w:tcPr>
                  <w:tcW w:w="586" w:type="pct"/>
                  <w:noWrap w:val="0"/>
                  <w:vAlign w:val="center"/>
                </w:tcPr>
                <w:p w14:paraId="5597D64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Cs w:val="21"/>
                      <w:highlight w:val="none"/>
                      <w:lang w:val="en-US" w:eastAsia="zh-CN"/>
                    </w:rPr>
                    <w:t>1次/年</w:t>
                  </w:r>
                </w:p>
              </w:tc>
            </w:tr>
            <w:tr w14:paraId="0C84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5" w:hRule="atLeast"/>
              </w:trPr>
              <w:tc>
                <w:tcPr>
                  <w:tcW w:w="172" w:type="pct"/>
                  <w:vMerge w:val="continue"/>
                  <w:noWrap w:val="0"/>
                  <w:vAlign w:val="center"/>
                </w:tcPr>
                <w:p w14:paraId="7CFDB3E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356" w:type="pct"/>
                  <w:vMerge w:val="restart"/>
                  <w:noWrap w:val="0"/>
                  <w:vAlign w:val="center"/>
                </w:tcPr>
                <w:p w14:paraId="39B59D1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w:t>
                  </w:r>
                </w:p>
              </w:tc>
              <w:tc>
                <w:tcPr>
                  <w:tcW w:w="1194" w:type="pct"/>
                  <w:noWrap w:val="0"/>
                  <w:vAlign w:val="center"/>
                </w:tcPr>
                <w:p w14:paraId="3E82036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w:t>
                  </w:r>
                </w:p>
              </w:tc>
              <w:tc>
                <w:tcPr>
                  <w:tcW w:w="2006" w:type="pct"/>
                  <w:noWrap w:val="0"/>
                  <w:vAlign w:val="center"/>
                </w:tcPr>
                <w:p w14:paraId="3AE7506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上风向设1个参照点，下风向厂界浓度较高处设4个监控点</w:t>
                  </w:r>
                </w:p>
              </w:tc>
              <w:tc>
                <w:tcPr>
                  <w:tcW w:w="684" w:type="pct"/>
                  <w:vMerge w:val="continue"/>
                  <w:noWrap w:val="0"/>
                  <w:vAlign w:val="center"/>
                </w:tcPr>
                <w:p w14:paraId="350836C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586" w:type="pct"/>
                  <w:noWrap w:val="0"/>
                  <w:vAlign w:val="center"/>
                </w:tcPr>
                <w:p w14:paraId="68EE5BE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Cs w:val="21"/>
                      <w:highlight w:val="none"/>
                      <w:lang w:val="en-US" w:eastAsia="zh-CN"/>
                    </w:rPr>
                    <w:t>1次/年</w:t>
                  </w:r>
                </w:p>
              </w:tc>
            </w:tr>
            <w:tr w14:paraId="7216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5" w:hRule="atLeast"/>
              </w:trPr>
              <w:tc>
                <w:tcPr>
                  <w:tcW w:w="172" w:type="pct"/>
                  <w:vMerge w:val="continue"/>
                  <w:noWrap w:val="0"/>
                  <w:vAlign w:val="center"/>
                </w:tcPr>
                <w:p w14:paraId="600373A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356" w:type="pct"/>
                  <w:vMerge w:val="continue"/>
                  <w:noWrap w:val="0"/>
                  <w:vAlign w:val="center"/>
                </w:tcPr>
                <w:p w14:paraId="1EAC7BB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94" w:type="pct"/>
                  <w:noWrap w:val="0"/>
                  <w:vAlign w:val="center"/>
                </w:tcPr>
                <w:p w14:paraId="75D1A883">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厂内</w:t>
                  </w:r>
                </w:p>
              </w:tc>
              <w:tc>
                <w:tcPr>
                  <w:tcW w:w="2006" w:type="pct"/>
                  <w:noWrap w:val="0"/>
                  <w:vAlign w:val="center"/>
                </w:tcPr>
                <w:p w14:paraId="5EB27D0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在厂房外设置监控点位</w:t>
                  </w:r>
                </w:p>
              </w:tc>
              <w:tc>
                <w:tcPr>
                  <w:tcW w:w="684" w:type="pct"/>
                  <w:vMerge w:val="continue"/>
                  <w:noWrap w:val="0"/>
                  <w:vAlign w:val="center"/>
                </w:tcPr>
                <w:p w14:paraId="2BFFBC1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586" w:type="pct"/>
                  <w:noWrap w:val="0"/>
                  <w:vAlign w:val="center"/>
                </w:tcPr>
                <w:p w14:paraId="13DB663D">
                  <w:pPr>
                    <w:keepNext w:val="0"/>
                    <w:keepLines w:val="0"/>
                    <w:suppressLineNumbers w:val="0"/>
                    <w:spacing w:before="0" w:beforeAutospacing="0" w:after="0" w:afterAutospacing="0" w:line="240" w:lineRule="auto"/>
                    <w:ind w:left="0" w:right="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1次/年</w:t>
                  </w:r>
                </w:p>
              </w:tc>
            </w:tr>
          </w:tbl>
          <w:p w14:paraId="7693480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32"/>
                <w:highlight w:val="none"/>
                <w:lang w:val="en-US" w:eastAsia="zh-CN"/>
              </w:rPr>
            </w:pPr>
            <w:r>
              <w:rPr>
                <w:rFonts w:hint="eastAsia" w:ascii="Times New Roman" w:hAnsi="Times New Roman" w:cs="Times New Roman"/>
                <w:color w:val="auto"/>
                <w:sz w:val="24"/>
                <w:szCs w:val="32"/>
                <w:highlight w:val="none"/>
                <w:lang w:val="en-US" w:eastAsia="zh-CN"/>
              </w:rPr>
              <w:t>综上所述，本项目各工序产生的废气均能够达标排放，符合相关环保政策的要求。</w:t>
            </w:r>
          </w:p>
          <w:p w14:paraId="4F3D5622">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32"/>
                <w:highlight w:val="none"/>
                <w:lang w:val="en-US" w:eastAsia="zh-CN"/>
              </w:rPr>
            </w:pPr>
            <w:r>
              <w:rPr>
                <w:rFonts w:hint="eastAsia" w:ascii="Times New Roman" w:hAnsi="Times New Roman" w:cs="Times New Roman"/>
                <w:color w:val="auto"/>
                <w:sz w:val="24"/>
                <w:szCs w:val="32"/>
                <w:highlight w:val="none"/>
                <w:lang w:val="en-US" w:eastAsia="zh-CN"/>
              </w:rPr>
              <w:t>1.3结论</w:t>
            </w:r>
          </w:p>
          <w:p w14:paraId="0898391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eastAsia" w:ascii="宋体" w:hAnsi="宋体" w:cs="宋体"/>
                <w:color w:val="auto"/>
                <w:sz w:val="24"/>
                <w:szCs w:val="24"/>
                <w:highlight w:val="none"/>
                <w:lang w:eastAsia="zh-CN"/>
              </w:rPr>
            </w:pPr>
            <w:r>
              <w:rPr>
                <w:rFonts w:hint="default" w:ascii="宋体" w:hAnsi="宋体" w:eastAsia="宋体" w:cs="宋体"/>
                <w:color w:val="auto"/>
                <w:sz w:val="24"/>
                <w:szCs w:val="24"/>
                <w:highlight w:val="none"/>
              </w:rPr>
              <w:t>本项目在严格按照环评要求的环保措施实施</w:t>
            </w:r>
            <w:r>
              <w:rPr>
                <w:rFonts w:hint="eastAsia" w:ascii="宋体" w:hAnsi="宋体" w:eastAsia="宋体" w:cs="宋体"/>
                <w:color w:val="auto"/>
                <w:sz w:val="24"/>
                <w:szCs w:val="24"/>
                <w:highlight w:val="none"/>
                <w:lang w:val="en-US" w:eastAsia="zh-CN"/>
              </w:rPr>
              <w:t>后</w:t>
            </w:r>
            <w:r>
              <w:rPr>
                <w:rFonts w:hint="default" w:ascii="宋体" w:hAnsi="宋体" w:eastAsia="宋体" w:cs="宋体"/>
                <w:color w:val="auto"/>
                <w:sz w:val="24"/>
                <w:szCs w:val="24"/>
                <w:highlight w:val="none"/>
              </w:rPr>
              <w:t>，各污染物均能达到达标排放，对当地的区域环境空气质量</w:t>
            </w:r>
            <w:r>
              <w:rPr>
                <w:rFonts w:hint="eastAsia" w:ascii="宋体" w:hAnsi="宋体" w:cs="宋体"/>
                <w:color w:val="auto"/>
                <w:sz w:val="24"/>
                <w:szCs w:val="24"/>
                <w:highlight w:val="none"/>
                <w:lang w:val="en-US" w:eastAsia="zh-CN"/>
              </w:rPr>
              <w:t>及周边居民</w:t>
            </w:r>
            <w:r>
              <w:rPr>
                <w:rFonts w:hint="default" w:ascii="宋体" w:hAnsi="宋体" w:eastAsia="宋体" w:cs="宋体"/>
                <w:color w:val="auto"/>
                <w:sz w:val="24"/>
                <w:szCs w:val="24"/>
                <w:highlight w:val="none"/>
              </w:rPr>
              <w:t>影响较小</w:t>
            </w:r>
            <w:r>
              <w:rPr>
                <w:rFonts w:hint="eastAsia" w:ascii="宋体" w:hAnsi="宋体" w:cs="宋体"/>
                <w:color w:val="auto"/>
                <w:sz w:val="24"/>
                <w:szCs w:val="24"/>
                <w:highlight w:val="none"/>
                <w:lang w:eastAsia="zh-CN"/>
              </w:rPr>
              <w:t>。</w:t>
            </w:r>
          </w:p>
          <w:p w14:paraId="254982E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eastAsia" w:ascii="Times New Roman" w:hAnsi="Times New Roman" w:cs="Times New Roman"/>
                <w:b/>
                <w:bCs/>
                <w:color w:val="auto"/>
                <w:sz w:val="24"/>
                <w:highlight w:val="none"/>
                <w:lang w:val="en-US" w:eastAsia="zh-CN"/>
              </w:rPr>
            </w:pPr>
            <w:r>
              <w:rPr>
                <w:rFonts w:hint="eastAsia" w:cs="Times New Roman"/>
                <w:b/>
                <w:bCs/>
                <w:color w:val="auto"/>
                <w:sz w:val="24"/>
                <w:highlight w:val="none"/>
                <w:lang w:val="en-US" w:eastAsia="zh-CN"/>
              </w:rPr>
              <w:t>2.</w:t>
            </w:r>
            <w:r>
              <w:rPr>
                <w:rFonts w:hint="eastAsia" w:ascii="Times New Roman" w:hAnsi="Times New Roman" w:cs="Times New Roman"/>
                <w:b/>
                <w:bCs/>
                <w:color w:val="auto"/>
                <w:sz w:val="24"/>
                <w:highlight w:val="none"/>
                <w:lang w:val="en-US" w:eastAsia="zh-CN"/>
              </w:rPr>
              <w:t>废水环境影响分析</w:t>
            </w:r>
          </w:p>
          <w:p w14:paraId="2BDA938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lang w:val="en-US" w:eastAsia="zh-CN"/>
              </w:rPr>
            </w:pPr>
            <w:bookmarkStart w:id="2" w:name="OLE_LINK18"/>
            <w:r>
              <w:rPr>
                <w:rFonts w:hint="eastAsia" w:ascii="Times New Roman" w:hAnsi="Times New Roman" w:cs="Times New Roman"/>
                <w:color w:val="auto"/>
                <w:sz w:val="24"/>
                <w:szCs w:val="24"/>
                <w:highlight w:val="none"/>
              </w:rPr>
              <w:t>本项目废水包括</w:t>
            </w:r>
            <w:r>
              <w:rPr>
                <w:rFonts w:hint="eastAsia" w:ascii="Times New Roman" w:hAnsi="Times New Roman" w:cs="Times New Roman"/>
                <w:color w:val="auto"/>
                <w:sz w:val="24"/>
                <w:szCs w:val="24"/>
                <w:highlight w:val="none"/>
                <w:lang w:val="en-US" w:eastAsia="zh-CN"/>
              </w:rPr>
              <w:t>生产废水</w:t>
            </w:r>
            <w:r>
              <w:rPr>
                <w:rFonts w:hint="eastAsia" w:ascii="Times New Roman" w:hAnsi="Times New Roman" w:cs="Times New Roman"/>
                <w:color w:val="auto"/>
                <w:sz w:val="24"/>
                <w:szCs w:val="24"/>
                <w:highlight w:val="none"/>
              </w:rPr>
              <w:t>、生活污水</w:t>
            </w:r>
            <w:r>
              <w:rPr>
                <w:rFonts w:hint="eastAsia" w:ascii="Times New Roman" w:hAnsi="Times New Roman" w:cs="Times New Roman"/>
                <w:color w:val="auto"/>
                <w:sz w:val="24"/>
                <w:szCs w:val="24"/>
                <w:highlight w:val="none"/>
                <w:lang w:val="en-US" w:eastAsia="zh-CN"/>
              </w:rPr>
              <w:t>以及</w:t>
            </w:r>
            <w:r>
              <w:rPr>
                <w:rFonts w:hint="eastAsia" w:ascii="Times New Roman" w:hAnsi="Times New Roman" w:cs="Times New Roman"/>
                <w:color w:val="auto"/>
                <w:sz w:val="24"/>
                <w:szCs w:val="24"/>
                <w:highlight w:val="none"/>
              </w:rPr>
              <w:t>初期雨水。</w:t>
            </w:r>
          </w:p>
          <w:p w14:paraId="324E0141">
            <w:pPr>
              <w:pStyle w:val="7"/>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（1）</w:t>
            </w:r>
            <w:r>
              <w:rPr>
                <w:rFonts w:hint="eastAsia" w:ascii="Times New Roman" w:hAnsi="Times New Roman" w:eastAsia="宋体" w:cs="Times New Roman"/>
                <w:color w:val="auto"/>
                <w:kern w:val="2"/>
                <w:szCs w:val="24"/>
                <w:highlight w:val="none"/>
                <w:lang w:val="en-US" w:eastAsia="zh-CN"/>
              </w:rPr>
              <w:t>生产废水</w:t>
            </w:r>
          </w:p>
          <w:p w14:paraId="1281ED6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本项目运行期间生产废水主要为循环冷却水，循环冷却水</w:t>
            </w:r>
            <w:r>
              <w:rPr>
                <w:rFonts w:hint="eastAsia" w:cs="Times New Roman"/>
                <w:color w:val="auto"/>
                <w:sz w:val="24"/>
                <w:szCs w:val="24"/>
                <w:highlight w:val="none"/>
                <w:lang w:val="en-US" w:eastAsia="zh-CN"/>
              </w:rPr>
              <w:t>经循环水池沉淀后</w:t>
            </w:r>
            <w:r>
              <w:rPr>
                <w:rFonts w:hint="eastAsia" w:ascii="Times New Roman" w:hAnsi="Times New Roman" w:eastAsia="宋体" w:cs="Times New Roman"/>
                <w:color w:val="auto"/>
                <w:sz w:val="24"/>
                <w:szCs w:val="24"/>
                <w:highlight w:val="none"/>
                <w:lang w:val="en-US" w:eastAsia="zh-CN"/>
              </w:rPr>
              <w:t>循环使用不外排。</w:t>
            </w:r>
          </w:p>
          <w:p w14:paraId="6A0B4B6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盥洗用水</w:t>
            </w:r>
          </w:p>
          <w:p w14:paraId="1BD2B52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本项目定员10人，</w:t>
            </w:r>
            <w:r>
              <w:rPr>
                <w:rFonts w:hint="eastAsia" w:ascii="Times New Roman" w:hAnsi="Times New Roman" w:eastAsia="宋体" w:cs="Times New Roman"/>
                <w:color w:val="auto"/>
                <w:sz w:val="24"/>
                <w:szCs w:val="24"/>
                <w:highlight w:val="none"/>
              </w:rPr>
              <w:t>职工均为附近村庄居民，厂内</w:t>
            </w:r>
            <w:r>
              <w:rPr>
                <w:rFonts w:hint="eastAsia" w:ascii="Times New Roman" w:hAnsi="Times New Roman" w:eastAsia="宋体" w:cs="Times New Roman"/>
                <w:color w:val="auto"/>
                <w:sz w:val="24"/>
                <w:szCs w:val="24"/>
                <w:highlight w:val="none"/>
                <w:lang w:val="en-US" w:eastAsia="zh-CN"/>
              </w:rPr>
              <w:t>设宿舍，不设食堂</w:t>
            </w:r>
            <w:r>
              <w:rPr>
                <w:rFonts w:hint="eastAsia" w:ascii="Times New Roman" w:hAnsi="Times New Roman" w:eastAsia="宋体" w:cs="Times New Roman"/>
                <w:color w:val="auto"/>
                <w:sz w:val="24"/>
                <w:szCs w:val="24"/>
                <w:highlight w:val="none"/>
              </w:rPr>
              <w:t>。</w:t>
            </w:r>
          </w:p>
          <w:p w14:paraId="7DAEC542">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cs="宋体"/>
                <w:bCs/>
                <w:color w:val="auto"/>
                <w:sz w:val="24"/>
                <w:highlight w:val="none"/>
                <w:lang w:val="en-US" w:eastAsia="zh-CN"/>
              </w:rPr>
            </w:pPr>
            <w:r>
              <w:rPr>
                <w:rFonts w:hint="eastAsia" w:ascii="Times New Roman" w:hAnsi="Times New Roman" w:eastAsia="宋体" w:cs="Times New Roman"/>
                <w:color w:val="auto"/>
                <w:sz w:val="24"/>
                <w:szCs w:val="24"/>
                <w:highlight w:val="none"/>
                <w:lang w:val="en-US" w:eastAsia="zh-CN"/>
              </w:rPr>
              <w:t>由前文水平衡可知，项目</w:t>
            </w:r>
            <w:r>
              <w:rPr>
                <w:rFonts w:hint="eastAsia" w:cs="Times New Roman"/>
                <w:color w:val="auto"/>
                <w:sz w:val="24"/>
                <w:szCs w:val="24"/>
                <w:highlight w:val="none"/>
                <w:lang w:val="en-US" w:eastAsia="zh-CN"/>
              </w:rPr>
              <w:t>盥洗用水</w:t>
            </w:r>
            <w:r>
              <w:rPr>
                <w:rFonts w:hint="eastAsia" w:ascii="Times New Roman" w:hAnsi="Times New Roman" w:eastAsia="宋体" w:cs="Times New Roman"/>
                <w:color w:val="auto"/>
                <w:sz w:val="24"/>
                <w:szCs w:val="24"/>
                <w:highlight w:val="none"/>
                <w:lang w:val="en-US" w:eastAsia="zh-CN"/>
              </w:rPr>
              <w:t>产生量为0.64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/d，</w:t>
            </w:r>
            <w:r>
              <w:rPr>
                <w:rFonts w:hint="eastAsia" w:cs="Times New Roman"/>
                <w:color w:val="auto"/>
                <w:sz w:val="24"/>
                <w:szCs w:val="24"/>
                <w:highlight w:val="none"/>
                <w:lang w:val="en-US" w:eastAsia="zh-CN"/>
              </w:rPr>
              <w:t>关系污水</w:t>
            </w:r>
            <w:r>
              <w:rPr>
                <w:rFonts w:hint="eastAsia" w:ascii="Times New Roman" w:hAnsi="Times New Roman" w:eastAsia="宋体" w:cs="Times New Roman"/>
                <w:color w:val="auto"/>
                <w:sz w:val="24"/>
                <w:szCs w:val="24"/>
                <w:highlight w:val="none"/>
                <w:lang w:val="en-US" w:eastAsia="zh-CN"/>
              </w:rPr>
              <w:t>用于</w:t>
            </w:r>
            <w:r>
              <w:rPr>
                <w:rFonts w:hint="default" w:ascii="Times New Roman" w:hAnsi="Times New Roman" w:eastAsia="宋体" w:cs="Times New Roman"/>
                <w:color w:val="auto"/>
                <w:sz w:val="24"/>
                <w:szCs w:val="24"/>
                <w:highlight w:val="none"/>
                <w:lang w:val="en-US" w:eastAsia="zh-CN"/>
              </w:rPr>
              <w:t>厂区增湿抑尘，如</w:t>
            </w:r>
            <w:r>
              <w:rPr>
                <w:rFonts w:hint="default" w:ascii="Times New Roman" w:hAnsi="Times New Roman" w:cs="Times New Roman"/>
                <w:color w:val="auto"/>
                <w:sz w:val="24"/>
                <w:szCs w:val="24"/>
                <w:highlight w:val="none"/>
                <w:lang w:val="en-US" w:eastAsia="zh-CN"/>
              </w:rPr>
              <w:t>厕采用卫生旱厕，</w:t>
            </w:r>
            <w:r>
              <w:rPr>
                <w:rFonts w:hint="eastAsia" w:ascii="Times New Roman" w:hAnsi="Times New Roman" w:cs="Times New Roman"/>
                <w:color w:val="auto"/>
                <w:sz w:val="24"/>
                <w:szCs w:val="24"/>
                <w:highlight w:val="none"/>
                <w:lang w:val="en-US" w:eastAsia="zh-CN"/>
              </w:rPr>
              <w:t>环卫部门</w:t>
            </w:r>
            <w:r>
              <w:rPr>
                <w:rFonts w:hint="default" w:ascii="Times New Roman" w:hAnsi="Times New Roman" w:cs="Times New Roman"/>
                <w:color w:val="auto"/>
                <w:sz w:val="24"/>
                <w:szCs w:val="24"/>
                <w:highlight w:val="none"/>
                <w:lang w:val="en-US" w:eastAsia="zh-CN"/>
              </w:rPr>
              <w:t>定期清掏</w:t>
            </w:r>
            <w:r>
              <w:rPr>
                <w:rFonts w:hint="eastAsia" w:ascii="Times New Roman" w:hAnsi="Times New Roman" w:cs="宋体"/>
                <w:bCs/>
                <w:color w:val="auto"/>
                <w:sz w:val="24"/>
                <w:highlight w:val="none"/>
                <w:lang w:val="en-US" w:eastAsia="zh-CN"/>
              </w:rPr>
              <w:t>。</w:t>
            </w:r>
          </w:p>
          <w:p w14:paraId="229D1307">
            <w:pPr>
              <w:keepNext w:val="0"/>
              <w:keepLines w:val="0"/>
              <w:widowControl/>
              <w:numPr>
                <w:ilvl w:val="0"/>
                <w:numId w:val="6"/>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初期雨水</w:t>
            </w:r>
          </w:p>
          <w:p w14:paraId="7B8B3DAA">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本次采用阳泉市暴雨计算强度公式对初期雨水收集池容积进行了重新核算，公式如下</w:t>
            </w:r>
            <w:r>
              <w:rPr>
                <w:rFonts w:hint="default" w:ascii="Times New Roman" w:hAnsi="Times New Roman" w:eastAsia="宋体" w:cs="Times New Roman"/>
                <w:color w:val="auto"/>
                <w:kern w:val="0"/>
                <w:sz w:val="24"/>
                <w:highlight w:val="none"/>
                <w:lang w:val="en-US" w:eastAsia="zh-CN" w:bidi="ar"/>
              </w:rPr>
              <w:t>：</w:t>
            </w:r>
          </w:p>
          <w:p w14:paraId="39D042A7">
            <w:pPr>
              <w:keepNext w:val="0"/>
              <w:keepLines w:val="0"/>
              <w:widowControl/>
              <w:suppressLineNumbers w:val="0"/>
              <w:spacing w:before="0" w:beforeAutospacing="0" w:after="0" w:afterAutospacing="0" w:line="480" w:lineRule="exact"/>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雨水池=Φ×q×F×t×60/1000</w:t>
            </w:r>
          </w:p>
          <w:p w14:paraId="00B9B7F2">
            <w:pPr>
              <w:keepNext w:val="0"/>
              <w:keepLines w:val="0"/>
              <w:widowControl/>
              <w:suppressLineNumbers w:val="0"/>
              <w:spacing w:before="0" w:beforeAutospacing="0" w:after="0" w:afterAutospacing="0" w:line="480" w:lineRule="exact"/>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式中：Φ——径流系数，取0.9；</w:t>
            </w:r>
          </w:p>
          <w:p w14:paraId="551F0025">
            <w:pPr>
              <w:keepNext w:val="0"/>
              <w:keepLines w:val="0"/>
              <w:widowControl/>
              <w:suppressLineNumbers w:val="0"/>
              <w:spacing w:before="0" w:beforeAutospacing="0" w:after="0" w:afterAutospacing="0" w:line="480" w:lineRule="exact"/>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q——设计暴雨强度公式，（L/s·ha）；</w:t>
            </w:r>
          </w:p>
          <w:p w14:paraId="514A2CD6">
            <w:pPr>
              <w:keepNext w:val="0"/>
              <w:keepLines w:val="0"/>
              <w:widowControl/>
              <w:suppressLineNumbers w:val="0"/>
              <w:spacing w:before="0" w:beforeAutospacing="0" w:after="0" w:afterAutospacing="0" w:line="480" w:lineRule="exact"/>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F——汇水面积，hm</w:t>
            </w:r>
            <w:r>
              <w:rPr>
                <w:rFonts w:hint="default" w:ascii="Times New Roman" w:hAnsi="Times New Roman" w:eastAsia="宋体" w:cs="Times New Roman"/>
                <w:color w:val="auto"/>
                <w:kern w:val="0"/>
                <w:sz w:val="24"/>
                <w:highlight w:val="none"/>
                <w:vertAlign w:val="superscript"/>
                <w:lang w:val="en-US" w:eastAsia="zh-CN" w:bidi="ar"/>
              </w:rPr>
              <w:t>2</w:t>
            </w:r>
            <w:r>
              <w:rPr>
                <w:rFonts w:hint="default" w:ascii="Times New Roman" w:hAnsi="Times New Roman" w:eastAsia="宋体" w:cs="Times New Roman"/>
                <w:color w:val="auto"/>
                <w:kern w:val="0"/>
                <w:sz w:val="24"/>
                <w:highlight w:val="none"/>
                <w:lang w:val="en-US" w:eastAsia="zh-CN" w:bidi="ar"/>
              </w:rPr>
              <w:t>；</w:t>
            </w:r>
          </w:p>
          <w:p w14:paraId="734B4FC2">
            <w:pPr>
              <w:keepNext w:val="0"/>
              <w:keepLines w:val="0"/>
              <w:widowControl/>
              <w:suppressLineNumbers w:val="0"/>
              <w:spacing w:before="0" w:beforeAutospacing="0" w:after="0" w:afterAutospacing="0" w:line="480" w:lineRule="exact"/>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暴雨强度q采用阳泉市暴雨强度公式：</w:t>
            </w:r>
          </w:p>
          <w:p w14:paraId="6B1C306B">
            <w:pPr>
              <w:keepNext w:val="0"/>
              <w:keepLines w:val="0"/>
              <w:widowControl/>
              <w:suppressLineNumbers w:val="0"/>
              <w:spacing w:before="0" w:beforeAutospacing="0" w:after="0" w:afterAutospacing="0" w:line="480" w:lineRule="exact"/>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q=1730.1</w:t>
            </w:r>
            <w:r>
              <w:rPr>
                <w:rFonts w:hint="eastAsia" w:cs="Times New Roman"/>
                <w:color w:val="auto"/>
                <w:kern w:val="0"/>
                <w:sz w:val="24"/>
                <w:highlight w:val="none"/>
                <w:lang w:val="en-US" w:eastAsia="zh-CN" w:bidi="ar"/>
              </w:rPr>
              <w:t>(</w:t>
            </w:r>
            <w:r>
              <w:rPr>
                <w:rFonts w:hint="default" w:ascii="Times New Roman" w:hAnsi="Times New Roman" w:eastAsia="宋体" w:cs="Times New Roman"/>
                <w:color w:val="auto"/>
                <w:kern w:val="0"/>
                <w:sz w:val="24"/>
                <w:highlight w:val="none"/>
                <w:lang w:val="en-US" w:eastAsia="zh-CN" w:bidi="ar"/>
              </w:rPr>
              <w:t>1+0.61LgT</w:t>
            </w:r>
            <w:r>
              <w:rPr>
                <w:rFonts w:hint="eastAsia" w:cs="Times New Roman"/>
                <w:color w:val="auto"/>
                <w:kern w:val="0"/>
                <w:sz w:val="24"/>
                <w:highlight w:val="none"/>
                <w:lang w:val="en-US" w:eastAsia="zh-CN" w:bidi="ar"/>
              </w:rPr>
              <w:t>)</w:t>
            </w:r>
            <w:r>
              <w:rPr>
                <w:rFonts w:hint="default" w:ascii="Times New Roman" w:hAnsi="Times New Roman" w:eastAsia="宋体" w:cs="Times New Roman"/>
                <w:color w:val="auto"/>
                <w:kern w:val="0"/>
                <w:sz w:val="24"/>
                <w:highlight w:val="none"/>
                <w:lang w:val="en-US" w:eastAsia="zh-CN" w:bidi="ar"/>
              </w:rPr>
              <w:t>/</w:t>
            </w:r>
            <w:r>
              <w:rPr>
                <w:rFonts w:hint="eastAsia" w:cs="Times New Roman"/>
                <w:color w:val="auto"/>
                <w:kern w:val="0"/>
                <w:sz w:val="24"/>
                <w:highlight w:val="none"/>
                <w:lang w:val="en-US" w:eastAsia="zh-CN" w:bidi="ar"/>
              </w:rPr>
              <w:t>(</w:t>
            </w:r>
            <w:r>
              <w:rPr>
                <w:rFonts w:hint="default" w:ascii="Times New Roman" w:hAnsi="Times New Roman" w:eastAsia="宋体" w:cs="Times New Roman"/>
                <w:color w:val="auto"/>
                <w:kern w:val="0"/>
                <w:sz w:val="24"/>
                <w:highlight w:val="none"/>
                <w:lang w:val="en-US" w:eastAsia="zh-CN" w:bidi="ar"/>
              </w:rPr>
              <w:t>t+9.6</w:t>
            </w:r>
            <w:r>
              <w:rPr>
                <w:rFonts w:hint="eastAsia" w:cs="Times New Roman"/>
                <w:color w:val="auto"/>
                <w:kern w:val="0"/>
                <w:sz w:val="24"/>
                <w:highlight w:val="none"/>
                <w:lang w:val="en-US" w:eastAsia="zh-CN" w:bidi="ar"/>
              </w:rPr>
              <w:t>)</w:t>
            </w:r>
            <w:r>
              <w:rPr>
                <w:rFonts w:hint="default" w:ascii="Times New Roman" w:hAnsi="Times New Roman" w:eastAsia="宋体" w:cs="Times New Roman"/>
                <w:color w:val="auto"/>
                <w:kern w:val="0"/>
                <w:sz w:val="24"/>
                <w:highlight w:val="none"/>
                <w:vertAlign w:val="superscript"/>
                <w:lang w:val="en-US" w:eastAsia="zh-CN" w:bidi="ar"/>
              </w:rPr>
              <w:t>0.78</w:t>
            </w:r>
          </w:p>
          <w:p w14:paraId="18C441BE">
            <w:pPr>
              <w:keepNext w:val="0"/>
              <w:keepLines w:val="0"/>
              <w:widowControl/>
              <w:suppressLineNumbers w:val="0"/>
              <w:spacing w:before="0" w:beforeAutospacing="0" w:after="0" w:afterAutospacing="0" w:line="480" w:lineRule="exact"/>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式中：t——降雨时间（取15min）；</w:t>
            </w:r>
          </w:p>
          <w:p w14:paraId="0E5F3304">
            <w:pPr>
              <w:keepNext w:val="0"/>
              <w:keepLines w:val="0"/>
              <w:widowControl/>
              <w:suppressLineNumbers w:val="0"/>
              <w:spacing w:before="0" w:beforeAutospacing="0" w:after="0" w:afterAutospacing="0" w:line="480" w:lineRule="exact"/>
              <w:ind w:left="0" w:right="0" w:firstLine="1200" w:firstLineChars="5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T——重现期，取2；</w:t>
            </w:r>
          </w:p>
          <w:p w14:paraId="178F37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根据计算，阳泉市暴雨强度为144.88L/s·ha，本项目占地面积为</w:t>
            </w:r>
            <w:r>
              <w:rPr>
                <w:rFonts w:hint="eastAsia" w:ascii="Times New Roman" w:hAnsi="Times New Roman" w:eastAsia="宋体" w:cs="Times New Roman"/>
                <w:color w:val="auto"/>
                <w:kern w:val="0"/>
                <w:sz w:val="24"/>
                <w:highlight w:val="none"/>
                <w:lang w:val="en-US" w:eastAsia="zh-CN" w:bidi="ar"/>
              </w:rPr>
              <w:t>0.1</w:t>
            </w:r>
            <w:r>
              <w:rPr>
                <w:rFonts w:hint="default" w:ascii="Times New Roman" w:hAnsi="Times New Roman" w:eastAsia="宋体" w:cs="Times New Roman"/>
                <w:color w:val="auto"/>
                <w:kern w:val="0"/>
                <w:sz w:val="24"/>
                <w:highlight w:val="none"/>
                <w:lang w:val="en-US" w:eastAsia="zh-CN" w:bidi="ar"/>
              </w:rPr>
              <w:t>公顷，经计算15min最大初期雨水量为</w:t>
            </w:r>
            <w:r>
              <w:rPr>
                <w:rFonts w:hint="eastAsia" w:ascii="Times New Roman" w:hAnsi="Times New Roman" w:eastAsia="宋体" w:cs="Times New Roman"/>
                <w:color w:val="auto"/>
                <w:kern w:val="0"/>
                <w:sz w:val="24"/>
                <w:highlight w:val="none"/>
                <w:lang w:val="en-US" w:eastAsia="zh-CN" w:bidi="ar"/>
              </w:rPr>
              <w:t>11.73</w:t>
            </w:r>
            <w:r>
              <w:rPr>
                <w:rFonts w:hint="default" w:ascii="Times New Roman" w:hAnsi="Times New Roman" w:eastAsia="宋体" w:cs="Times New Roman"/>
                <w:color w:val="auto"/>
                <w:kern w:val="0"/>
                <w:sz w:val="24"/>
                <w:highlight w:val="none"/>
                <w:lang w:val="en-US" w:eastAsia="zh-CN" w:bidi="ar"/>
              </w:rPr>
              <w:t>m</w:t>
            </w:r>
            <w:r>
              <w:rPr>
                <w:rFonts w:hint="default" w:ascii="Times New Roman" w:hAnsi="Times New Roman" w:eastAsia="宋体" w:cs="Times New Roman"/>
                <w:color w:val="auto"/>
                <w:kern w:val="0"/>
                <w:sz w:val="24"/>
                <w:highlight w:val="none"/>
                <w:vertAlign w:val="superscript"/>
                <w:lang w:val="en-US" w:eastAsia="zh-CN" w:bidi="ar"/>
              </w:rPr>
              <w:t>3</w:t>
            </w:r>
            <w:r>
              <w:rPr>
                <w:rFonts w:hint="default" w:ascii="Times New Roman" w:hAnsi="Times New Roman" w:eastAsia="宋体" w:cs="Times New Roman"/>
                <w:color w:val="auto"/>
                <w:kern w:val="0"/>
                <w:sz w:val="24"/>
                <w:highlight w:val="none"/>
                <w:lang w:val="en-US" w:eastAsia="zh-CN" w:bidi="ar"/>
              </w:rPr>
              <w:t>，</w:t>
            </w:r>
            <w:r>
              <w:rPr>
                <w:rFonts w:hint="eastAsia" w:ascii="Times New Roman" w:hAnsi="Times New Roman" w:eastAsia="宋体" w:cs="Times New Roman"/>
                <w:color w:val="auto"/>
                <w:kern w:val="0"/>
                <w:sz w:val="24"/>
                <w:highlight w:val="none"/>
                <w:lang w:val="en-US" w:eastAsia="zh-CN" w:bidi="ar"/>
              </w:rPr>
              <w:t>本项目在地势较低处建设1座容积为15m</w:t>
            </w:r>
            <w:r>
              <w:rPr>
                <w:rFonts w:hint="eastAsia" w:ascii="Times New Roman" w:hAnsi="Times New Roman" w:eastAsia="宋体" w:cs="Times New Roman"/>
                <w:color w:val="auto"/>
                <w:kern w:val="0"/>
                <w:sz w:val="24"/>
                <w:highlight w:val="none"/>
                <w:vertAlign w:val="superscript"/>
                <w:lang w:val="en-US" w:eastAsia="zh-CN" w:bidi="ar"/>
              </w:rPr>
              <w:t>3</w:t>
            </w:r>
            <w:r>
              <w:rPr>
                <w:rFonts w:hint="eastAsia" w:ascii="Times New Roman" w:hAnsi="Times New Roman" w:eastAsia="宋体" w:cs="Times New Roman"/>
                <w:color w:val="auto"/>
                <w:kern w:val="0"/>
                <w:sz w:val="24"/>
                <w:highlight w:val="none"/>
                <w:lang w:val="en-US" w:eastAsia="zh-CN" w:bidi="ar"/>
              </w:rPr>
              <w:t>的初期雨水收集池，</w:t>
            </w:r>
            <w:r>
              <w:rPr>
                <w:rFonts w:hint="default" w:ascii="Times New Roman" w:hAnsi="Times New Roman" w:cs="Times New Roman"/>
                <w:color w:val="auto"/>
                <w:sz w:val="24"/>
                <w:szCs w:val="24"/>
                <w:highlight w:val="none"/>
              </w:rPr>
              <w:t>配套设置初期雨水导流渠</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在成品库及生产车间周边设置雨水导流渠</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，并对导流渠及初期雨水收集池进行防渗处理；</w:t>
            </w:r>
            <w:r>
              <w:rPr>
                <w:rFonts w:hint="eastAsia" w:ascii="Times New Roman" w:hAnsi="Times New Roman" w:eastAsia="宋体" w:cs="Times New Roman"/>
                <w:color w:val="auto"/>
                <w:kern w:val="0"/>
                <w:sz w:val="24"/>
                <w:highlight w:val="none"/>
                <w:lang w:val="en-US" w:eastAsia="zh-CN" w:bidi="ar"/>
              </w:rPr>
              <w:t>初期雨水收集后回用于厂区洒水抑尘，不外排。</w:t>
            </w:r>
          </w:p>
          <w:bookmarkEnd w:id="2"/>
          <w:p w14:paraId="72E250D1">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废水污染源基本情况见表4-</w:t>
            </w:r>
            <w:r>
              <w:rPr>
                <w:rFonts w:hint="eastAsia" w:ascii="Times New Roman" w:cs="Times New Roman"/>
                <w:color w:val="auto"/>
                <w:kern w:val="2"/>
                <w:sz w:val="24"/>
                <w:szCs w:val="24"/>
                <w:highlight w:val="none"/>
                <w:lang w:val="en-US" w:eastAsia="zh-CN" w:bidi="ar-SA"/>
              </w:rPr>
              <w:t>7</w:t>
            </w:r>
            <w:r>
              <w:rPr>
                <w:rFonts w:hint="eastAsia" w:ascii="Times New Roman" w:hAnsi="Times New Roman" w:eastAsia="宋体" w:cs="Times New Roman"/>
                <w:color w:val="auto"/>
                <w:kern w:val="2"/>
                <w:sz w:val="24"/>
                <w:szCs w:val="24"/>
                <w:highlight w:val="none"/>
                <w:lang w:val="en-US" w:eastAsia="zh-CN" w:bidi="ar-SA"/>
              </w:rPr>
              <w:t>。</w:t>
            </w:r>
          </w:p>
          <w:p w14:paraId="3673819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561"/>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表</w:t>
            </w:r>
            <w:r>
              <w:rPr>
                <w:rFonts w:hint="eastAsia" w:ascii="Times New Roman" w:hAnsi="Times New Roman" w:eastAsia="宋体" w:cs="Times New Roman"/>
                <w:b/>
                <w:bCs/>
                <w:color w:val="auto"/>
                <w:sz w:val="24"/>
                <w:szCs w:val="24"/>
                <w:highlight w:val="none"/>
                <w:lang w:val="en-US" w:eastAsia="zh-CN"/>
              </w:rPr>
              <w:t>4-</w:t>
            </w:r>
            <w:r>
              <w:rPr>
                <w:rFonts w:hint="eastAsia" w:ascii="Times New Roman" w:cs="Times New Roman"/>
                <w:b/>
                <w:bCs/>
                <w:color w:val="auto"/>
                <w:sz w:val="24"/>
                <w:szCs w:val="24"/>
                <w:highlight w:val="none"/>
                <w:lang w:val="en-US" w:eastAsia="zh-CN"/>
              </w:rPr>
              <w:t>7</w:t>
            </w:r>
            <w:r>
              <w:rPr>
                <w:rFonts w:hint="eastAsia" w:ascii="宋体" w:hAnsi="宋体" w:eastAsia="宋体" w:cs="宋体"/>
                <w:b/>
                <w:bCs/>
                <w:color w:val="auto"/>
                <w:sz w:val="24"/>
                <w:szCs w:val="24"/>
                <w:highlight w:val="none"/>
                <w:lang w:val="en-US" w:eastAsia="zh-CN"/>
              </w:rPr>
              <w:t>废水污染源基本情况表</w:t>
            </w:r>
          </w:p>
          <w:tbl>
            <w:tblPr>
              <w:tblStyle w:val="24"/>
              <w:tblW w:w="4998"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
              <w:gridCol w:w="675"/>
              <w:gridCol w:w="987"/>
              <w:gridCol w:w="916"/>
              <w:gridCol w:w="2544"/>
              <w:gridCol w:w="2376"/>
            </w:tblGrid>
            <w:tr w14:paraId="2592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 w:type="pct"/>
                  <w:noWrap w:val="0"/>
                  <w:vAlign w:val="center"/>
                </w:tcPr>
                <w:p w14:paraId="6F4CC2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序号</w:t>
                  </w:r>
                </w:p>
              </w:tc>
              <w:tc>
                <w:tcPr>
                  <w:tcW w:w="426" w:type="pct"/>
                  <w:noWrap w:val="0"/>
                  <w:vAlign w:val="center"/>
                </w:tcPr>
                <w:p w14:paraId="26E579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废水类别</w:t>
                  </w:r>
                </w:p>
              </w:tc>
              <w:tc>
                <w:tcPr>
                  <w:tcW w:w="623" w:type="pct"/>
                  <w:noWrap w:val="0"/>
                  <w:vAlign w:val="center"/>
                </w:tcPr>
                <w:p w14:paraId="41CCC5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废水来源</w:t>
                  </w:r>
                </w:p>
              </w:tc>
              <w:tc>
                <w:tcPr>
                  <w:tcW w:w="578" w:type="pct"/>
                  <w:noWrap w:val="0"/>
                  <w:vAlign w:val="center"/>
                </w:tcPr>
                <w:p w14:paraId="53CBAE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污染物种类</w:t>
                  </w:r>
                </w:p>
              </w:tc>
              <w:tc>
                <w:tcPr>
                  <w:tcW w:w="1605" w:type="pct"/>
                  <w:noWrap w:val="0"/>
                  <w:vAlign w:val="center"/>
                </w:tcPr>
                <w:p w14:paraId="3B5828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污染治理设施</w:t>
                  </w:r>
                </w:p>
              </w:tc>
              <w:tc>
                <w:tcPr>
                  <w:tcW w:w="1499" w:type="pct"/>
                  <w:noWrap w:val="0"/>
                  <w:vAlign w:val="center"/>
                </w:tcPr>
                <w:p w14:paraId="065372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去向</w:t>
                  </w:r>
                </w:p>
              </w:tc>
            </w:tr>
            <w:tr w14:paraId="2B1C1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 w:type="pct"/>
                  <w:noWrap w:val="0"/>
                  <w:vAlign w:val="center"/>
                </w:tcPr>
                <w:p w14:paraId="2B03DB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w:t>
                  </w:r>
                </w:p>
              </w:tc>
              <w:tc>
                <w:tcPr>
                  <w:tcW w:w="426" w:type="pct"/>
                  <w:noWrap w:val="0"/>
                  <w:vAlign w:val="center"/>
                </w:tcPr>
                <w:p w14:paraId="360591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生活污水</w:t>
                  </w:r>
                </w:p>
              </w:tc>
              <w:tc>
                <w:tcPr>
                  <w:tcW w:w="623" w:type="pct"/>
                  <w:noWrap w:val="0"/>
                  <w:vAlign w:val="center"/>
                </w:tcPr>
                <w:p w14:paraId="1D7672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办公生活</w:t>
                  </w:r>
                </w:p>
              </w:tc>
              <w:tc>
                <w:tcPr>
                  <w:tcW w:w="578" w:type="pct"/>
                  <w:noWrap w:val="0"/>
                  <w:vAlign w:val="center"/>
                </w:tcPr>
                <w:p w14:paraId="6AC771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SS、COD等</w:t>
                  </w:r>
                </w:p>
              </w:tc>
              <w:tc>
                <w:tcPr>
                  <w:tcW w:w="1605" w:type="pct"/>
                  <w:noWrap w:val="0"/>
                  <w:vAlign w:val="center"/>
                </w:tcPr>
                <w:p w14:paraId="09C9F1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499" w:type="pct"/>
                  <w:noWrap w:val="0"/>
                  <w:vAlign w:val="center"/>
                </w:tcPr>
                <w:p w14:paraId="4CDD1E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vertAlign w:val="baseline"/>
                      <w:lang w:val="en-US"/>
                    </w:rPr>
                  </w:pPr>
                  <w:r>
                    <w:rPr>
                      <w:rFonts w:hint="eastAsia" w:ascii="Times New Roman" w:hAnsi="Times New Roman" w:eastAsia="宋体" w:cs="Times New Roman"/>
                      <w:color w:val="auto"/>
                      <w:sz w:val="21"/>
                      <w:szCs w:val="21"/>
                      <w:highlight w:val="none"/>
                      <w:lang w:val="en-US" w:eastAsia="zh-CN"/>
                    </w:rPr>
                    <w:t>用于厂区洒水抑尘</w:t>
                  </w:r>
                </w:p>
              </w:tc>
            </w:tr>
            <w:tr w14:paraId="69EE3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 w:type="pct"/>
                  <w:noWrap w:val="0"/>
                  <w:vAlign w:val="center"/>
                </w:tcPr>
                <w:p w14:paraId="6175BC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w:t>
                  </w:r>
                </w:p>
              </w:tc>
              <w:tc>
                <w:tcPr>
                  <w:tcW w:w="426" w:type="pct"/>
                  <w:noWrap w:val="0"/>
                  <w:vAlign w:val="center"/>
                </w:tcPr>
                <w:p w14:paraId="1584B8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循环冷却水</w:t>
                  </w:r>
                </w:p>
              </w:tc>
              <w:tc>
                <w:tcPr>
                  <w:tcW w:w="623" w:type="pct"/>
                  <w:noWrap w:val="0"/>
                  <w:vAlign w:val="center"/>
                </w:tcPr>
                <w:p w14:paraId="2232B4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循环冷却水</w:t>
                  </w:r>
                </w:p>
              </w:tc>
              <w:tc>
                <w:tcPr>
                  <w:tcW w:w="578" w:type="pct"/>
                  <w:noWrap w:val="0"/>
                  <w:vAlign w:val="center"/>
                </w:tcPr>
                <w:p w14:paraId="340342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SS</w:t>
                  </w:r>
                </w:p>
              </w:tc>
              <w:tc>
                <w:tcPr>
                  <w:tcW w:w="1605" w:type="pct"/>
                  <w:noWrap w:val="0"/>
                  <w:vAlign w:val="center"/>
                </w:tcPr>
                <w:p w14:paraId="57D2D7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循环水池</w:t>
                  </w:r>
                </w:p>
              </w:tc>
              <w:tc>
                <w:tcPr>
                  <w:tcW w:w="1499" w:type="pct"/>
                  <w:noWrap w:val="0"/>
                  <w:vAlign w:val="center"/>
                </w:tcPr>
                <w:p w14:paraId="69746D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循环使用，不外排</w:t>
                  </w:r>
                </w:p>
              </w:tc>
            </w:tr>
            <w:tr w14:paraId="4CB3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 w:type="pct"/>
                  <w:noWrap w:val="0"/>
                  <w:vAlign w:val="center"/>
                </w:tcPr>
                <w:p w14:paraId="38F32D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w:t>
                  </w:r>
                </w:p>
              </w:tc>
              <w:tc>
                <w:tcPr>
                  <w:tcW w:w="426" w:type="pct"/>
                  <w:noWrap w:val="0"/>
                  <w:vAlign w:val="center"/>
                </w:tcPr>
                <w:p w14:paraId="2AFD07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初期雨水</w:t>
                  </w:r>
                </w:p>
              </w:tc>
              <w:tc>
                <w:tcPr>
                  <w:tcW w:w="623" w:type="pct"/>
                  <w:noWrap w:val="0"/>
                  <w:vAlign w:val="center"/>
                </w:tcPr>
                <w:p w14:paraId="1154AB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雨水</w:t>
                  </w:r>
                </w:p>
              </w:tc>
              <w:tc>
                <w:tcPr>
                  <w:tcW w:w="578" w:type="pct"/>
                  <w:noWrap w:val="0"/>
                  <w:vAlign w:val="center"/>
                </w:tcPr>
                <w:p w14:paraId="1C353A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SS、COD等</w:t>
                  </w:r>
                </w:p>
              </w:tc>
              <w:tc>
                <w:tcPr>
                  <w:tcW w:w="1605" w:type="pct"/>
                  <w:noWrap w:val="0"/>
                  <w:vAlign w:val="center"/>
                </w:tcPr>
                <w:p w14:paraId="36785F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厂区最低处</w:t>
                  </w:r>
                  <w:r>
                    <w:rPr>
                      <w:rFonts w:hint="default" w:ascii="Times New Roman" w:hAnsi="Times New Roman" w:eastAsia="宋体" w:cs="Times New Roman"/>
                      <w:color w:val="auto"/>
                      <w:sz w:val="21"/>
                      <w:szCs w:val="21"/>
                      <w:highlight w:val="none"/>
                      <w:lang w:val="en-US" w:eastAsia="zh-CN"/>
                    </w:rPr>
                    <w:t>，容积为</w:t>
                  </w:r>
                  <w:r>
                    <w:rPr>
                      <w:rFonts w:hint="eastAsia" w:ascii="Times New Roman" w:hAnsi="Times New Roman" w:eastAsia="宋体"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p>
              </w:tc>
              <w:tc>
                <w:tcPr>
                  <w:tcW w:w="1499" w:type="pct"/>
                  <w:noWrap w:val="0"/>
                  <w:vAlign w:val="center"/>
                </w:tcPr>
                <w:p w14:paraId="31E074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lang w:val="en-US" w:eastAsia="zh-CN"/>
                    </w:rPr>
                    <w:t>厂区洒水抑尘</w:t>
                  </w:r>
                </w:p>
              </w:tc>
            </w:tr>
          </w:tbl>
          <w:p w14:paraId="6CBEDD2C">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auto"/>
                <w:sz w:val="24"/>
                <w:szCs w:val="32"/>
                <w:highlight w:val="none"/>
                <w:lang w:val="en-US" w:eastAsia="zh-CN"/>
              </w:rPr>
            </w:pPr>
            <w:r>
              <w:rPr>
                <w:rFonts w:hint="eastAsia" w:ascii="Times New Roman" w:hAnsi="Times New Roman" w:cs="Times New Roman"/>
                <w:color w:val="auto"/>
                <w:sz w:val="24"/>
                <w:szCs w:val="32"/>
                <w:highlight w:val="none"/>
                <w:lang w:val="en-US" w:eastAsia="zh-CN"/>
              </w:rPr>
              <w:t>综上所述，本项目无废水外排，不会对地表水造成影响。</w:t>
            </w:r>
          </w:p>
          <w:p w14:paraId="406E32F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cs="Times New Roman"/>
                <w:b/>
                <w:bCs/>
                <w:color w:val="auto"/>
                <w:sz w:val="24"/>
                <w:highlight w:val="none"/>
                <w:lang w:val="en-US" w:eastAsia="zh-CN"/>
              </w:rPr>
            </w:pPr>
            <w:r>
              <w:rPr>
                <w:rFonts w:hint="eastAsia" w:cs="Times New Roman"/>
                <w:b/>
                <w:bCs/>
                <w:color w:val="auto"/>
                <w:sz w:val="24"/>
                <w:highlight w:val="none"/>
                <w:lang w:val="en-US" w:eastAsia="zh-CN"/>
              </w:rPr>
              <w:t>3.</w:t>
            </w:r>
            <w:r>
              <w:rPr>
                <w:rFonts w:hint="eastAsia" w:ascii="Times New Roman" w:hAnsi="Times New Roman" w:cs="Times New Roman"/>
                <w:b/>
                <w:bCs/>
                <w:color w:val="auto"/>
                <w:sz w:val="24"/>
                <w:highlight w:val="none"/>
                <w:lang w:val="en-US" w:eastAsia="zh-CN"/>
              </w:rPr>
              <w:t>噪声环境影响分析</w:t>
            </w:r>
          </w:p>
          <w:p w14:paraId="44B9CAC2">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eastAsia="zh-CN"/>
              </w:rPr>
              <w:t>源强分析</w:t>
            </w:r>
          </w:p>
          <w:p w14:paraId="34E93D1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本项目</w:t>
            </w:r>
            <w:r>
              <w:rPr>
                <w:rFonts w:hint="default" w:ascii="Times New Roman" w:hAnsi="Times New Roman" w:cs="Times New Roman"/>
                <w:color w:val="auto"/>
                <w:sz w:val="24"/>
                <w:szCs w:val="24"/>
                <w:highlight w:val="none"/>
                <w:lang w:val="en-US" w:eastAsia="zh-CN"/>
              </w:rPr>
              <w:t>营运期噪声源主要为：</w:t>
            </w:r>
            <w:r>
              <w:rPr>
                <w:rFonts w:hint="eastAsia" w:ascii="Times New Roman" w:hAnsi="Times New Roman" w:cs="Times New Roman"/>
                <w:color w:val="auto"/>
                <w:sz w:val="24"/>
                <w:szCs w:val="24"/>
                <w:highlight w:val="none"/>
                <w:lang w:val="en-US" w:eastAsia="zh-CN"/>
              </w:rPr>
              <w:t>振动筛、冷却</w:t>
            </w:r>
            <w:r>
              <w:rPr>
                <w:rFonts w:hint="eastAsia" w:cs="Times New Roman"/>
                <w:color w:val="auto"/>
                <w:sz w:val="24"/>
                <w:szCs w:val="24"/>
                <w:highlight w:val="none"/>
                <w:lang w:val="en-US" w:eastAsia="zh-CN"/>
              </w:rPr>
              <w:t>绞龙</w:t>
            </w:r>
            <w:r>
              <w:rPr>
                <w:rFonts w:hint="eastAsia" w:ascii="Times New Roman" w:hAnsi="Times New Roman" w:cs="Times New Roman"/>
                <w:color w:val="auto"/>
                <w:sz w:val="24"/>
                <w:szCs w:val="24"/>
                <w:highlight w:val="none"/>
                <w:lang w:val="en-US" w:eastAsia="zh-CN"/>
              </w:rPr>
              <w:t>、提升机、风机</w:t>
            </w:r>
            <w:r>
              <w:rPr>
                <w:rFonts w:hint="default" w:ascii="Times New Roman" w:hAnsi="Times New Roman" w:cs="Times New Roman"/>
                <w:color w:val="auto"/>
                <w:sz w:val="24"/>
                <w:szCs w:val="24"/>
                <w:highlight w:val="none"/>
                <w:lang w:val="en-US" w:eastAsia="zh-CN"/>
              </w:rPr>
              <w:t>等设备产生的噪声，本项目主要声源及其控制措施见下表。</w:t>
            </w:r>
          </w:p>
          <w:p w14:paraId="65604CA0">
            <w:pPr>
              <w:keepNext w:val="0"/>
              <w:keepLines w:val="0"/>
              <w:pageBreakBefore w:val="0"/>
              <w:widowControl w:val="0"/>
              <w:suppressLineNumbers w:val="0"/>
              <w:tabs>
                <w:tab w:val="left" w:pos="0"/>
              </w:tabs>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baseline"/>
              <w:rPr>
                <w:rFonts w:hint="default" w:ascii="Times New Roman" w:hAnsi="Times New Roman" w:eastAsia="宋体" w:cs="Times New Roman"/>
                <w:b/>
                <w:bCs/>
                <w:color w:val="auto"/>
                <w:spacing w:val="0"/>
                <w:kern w:val="2"/>
                <w:sz w:val="24"/>
                <w:szCs w:val="24"/>
                <w:highlight w:val="none"/>
                <w:lang w:val="en-US" w:eastAsia="zh-CN" w:bidi="ar-SA"/>
              </w:rPr>
            </w:pPr>
            <w:r>
              <w:rPr>
                <w:rFonts w:hint="default" w:ascii="Times New Roman" w:hAnsi="Times New Roman" w:eastAsia="宋体" w:cs="Times New Roman"/>
                <w:b/>
                <w:bCs/>
                <w:color w:val="auto"/>
                <w:spacing w:val="0"/>
                <w:kern w:val="2"/>
                <w:sz w:val="24"/>
                <w:szCs w:val="24"/>
                <w:highlight w:val="none"/>
                <w:lang w:val="en-US" w:eastAsia="zh-CN" w:bidi="ar-SA"/>
              </w:rPr>
              <w:t>表</w:t>
            </w:r>
            <w:r>
              <w:rPr>
                <w:rFonts w:hint="eastAsia" w:ascii="Times New Roman" w:hAnsi="Times New Roman" w:cs="Times New Roman"/>
                <w:b/>
                <w:bCs/>
                <w:color w:val="auto"/>
                <w:spacing w:val="0"/>
                <w:kern w:val="2"/>
                <w:sz w:val="24"/>
                <w:szCs w:val="24"/>
                <w:highlight w:val="none"/>
                <w:lang w:val="en-US" w:eastAsia="zh-CN" w:bidi="ar-SA"/>
              </w:rPr>
              <w:t>4-</w:t>
            </w:r>
            <w:r>
              <w:rPr>
                <w:rFonts w:hint="eastAsia" w:cs="Times New Roman"/>
                <w:b/>
                <w:bCs/>
                <w:color w:val="auto"/>
                <w:spacing w:val="0"/>
                <w:kern w:val="2"/>
                <w:sz w:val="24"/>
                <w:szCs w:val="24"/>
                <w:highlight w:val="none"/>
                <w:lang w:val="en-US" w:eastAsia="zh-CN" w:bidi="ar-SA"/>
              </w:rPr>
              <w:t>8</w:t>
            </w:r>
            <w:r>
              <w:rPr>
                <w:rFonts w:hint="eastAsia" w:ascii="Times New Roman" w:hAnsi="Times New Roman" w:eastAsia="宋体" w:cs="Times New Roman"/>
                <w:b/>
                <w:bCs/>
                <w:color w:val="auto"/>
                <w:spacing w:val="0"/>
                <w:kern w:val="2"/>
                <w:sz w:val="24"/>
                <w:szCs w:val="24"/>
                <w:highlight w:val="none"/>
                <w:lang w:val="en-US" w:eastAsia="zh-CN" w:bidi="ar-SA"/>
              </w:rPr>
              <w:t>本项目噪声源强调查清单（室内声源）</w:t>
            </w:r>
          </w:p>
          <w:tbl>
            <w:tblPr>
              <w:tblStyle w:val="23"/>
              <w:tblW w:w="4983"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239"/>
              <w:gridCol w:w="210"/>
              <w:gridCol w:w="705"/>
              <w:gridCol w:w="918"/>
              <w:gridCol w:w="1171"/>
              <w:gridCol w:w="619"/>
              <w:gridCol w:w="403"/>
              <w:gridCol w:w="409"/>
              <w:gridCol w:w="300"/>
              <w:gridCol w:w="499"/>
              <w:gridCol w:w="619"/>
              <w:gridCol w:w="226"/>
              <w:gridCol w:w="588"/>
              <w:gridCol w:w="507"/>
              <w:gridCol w:w="479"/>
            </w:tblGrid>
            <w:tr w14:paraId="76DD3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76" w:hRule="atLeast"/>
                <w:jc w:val="center"/>
              </w:trPr>
              <w:tc>
                <w:tcPr>
                  <w:tcW w:w="151" w:type="pct"/>
                  <w:vMerge w:val="restart"/>
                  <w:tcBorders>
                    <w:tl2br w:val="nil"/>
                    <w:tr2bl w:val="nil"/>
                  </w:tcBorders>
                  <w:noWrap w:val="0"/>
                  <w:vAlign w:val="center"/>
                </w:tcPr>
                <w:p w14:paraId="0930D33C">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序号</w:t>
                  </w:r>
                </w:p>
              </w:tc>
              <w:tc>
                <w:tcPr>
                  <w:tcW w:w="133" w:type="pct"/>
                  <w:vMerge w:val="restart"/>
                  <w:tcBorders>
                    <w:tl2br w:val="nil"/>
                    <w:tr2bl w:val="nil"/>
                  </w:tcBorders>
                  <w:noWrap w:val="0"/>
                  <w:vAlign w:val="center"/>
                </w:tcPr>
                <w:p w14:paraId="778013E4">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建筑物名称</w:t>
                  </w:r>
                </w:p>
              </w:tc>
              <w:tc>
                <w:tcPr>
                  <w:tcW w:w="446" w:type="pct"/>
                  <w:vMerge w:val="restart"/>
                  <w:tcBorders>
                    <w:tl2br w:val="nil"/>
                    <w:tr2bl w:val="nil"/>
                  </w:tcBorders>
                  <w:noWrap w:val="0"/>
                  <w:vAlign w:val="center"/>
                </w:tcPr>
                <w:p w14:paraId="42F5A90C">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声源名称</w:t>
                  </w:r>
                </w:p>
              </w:tc>
              <w:tc>
                <w:tcPr>
                  <w:tcW w:w="581" w:type="pct"/>
                  <w:vMerge w:val="restart"/>
                  <w:tcBorders>
                    <w:tl2br w:val="nil"/>
                    <w:tr2bl w:val="nil"/>
                  </w:tcBorders>
                  <w:noWrap w:val="0"/>
                  <w:vAlign w:val="center"/>
                </w:tcPr>
                <w:p w14:paraId="1EEBE112">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型号</w:t>
                  </w:r>
                </w:p>
              </w:tc>
              <w:tc>
                <w:tcPr>
                  <w:tcW w:w="741" w:type="pct"/>
                  <w:tcBorders>
                    <w:tl2br w:val="nil"/>
                    <w:tr2bl w:val="nil"/>
                  </w:tcBorders>
                  <w:noWrap w:val="0"/>
                  <w:vAlign w:val="center"/>
                </w:tcPr>
                <w:p w14:paraId="18822606">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声源源强</w:t>
                  </w:r>
                </w:p>
              </w:tc>
              <w:tc>
                <w:tcPr>
                  <w:tcW w:w="392" w:type="pct"/>
                  <w:vMerge w:val="restart"/>
                  <w:tcBorders>
                    <w:tl2br w:val="nil"/>
                    <w:tr2bl w:val="nil"/>
                  </w:tcBorders>
                  <w:noWrap w:val="0"/>
                  <w:vAlign w:val="center"/>
                </w:tcPr>
                <w:p w14:paraId="407E1BFD">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声源控制措施</w:t>
                  </w:r>
                </w:p>
              </w:tc>
              <w:tc>
                <w:tcPr>
                  <w:tcW w:w="704" w:type="pct"/>
                  <w:gridSpan w:val="3"/>
                  <w:tcBorders>
                    <w:tl2br w:val="nil"/>
                    <w:tr2bl w:val="nil"/>
                  </w:tcBorders>
                  <w:noWrap w:val="0"/>
                  <w:vAlign w:val="center"/>
                </w:tcPr>
                <w:p w14:paraId="39DBEA6A">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空间相对位置/m</w:t>
                  </w:r>
                </w:p>
              </w:tc>
              <w:tc>
                <w:tcPr>
                  <w:tcW w:w="316" w:type="pct"/>
                  <w:vMerge w:val="restart"/>
                  <w:tcBorders>
                    <w:tl2br w:val="nil"/>
                    <w:tr2bl w:val="nil"/>
                  </w:tcBorders>
                  <w:noWrap w:val="0"/>
                  <w:vAlign w:val="center"/>
                </w:tcPr>
                <w:p w14:paraId="0F1732C7">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距离内边界距离/m</w:t>
                  </w:r>
                </w:p>
              </w:tc>
              <w:tc>
                <w:tcPr>
                  <w:tcW w:w="392" w:type="pct"/>
                  <w:vMerge w:val="restart"/>
                  <w:tcBorders>
                    <w:tl2br w:val="nil"/>
                    <w:tr2bl w:val="nil"/>
                  </w:tcBorders>
                  <w:noWrap w:val="0"/>
                  <w:vAlign w:val="center"/>
                </w:tcPr>
                <w:p w14:paraId="79CF4B98">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室内边界声级/dB（A）</w:t>
                  </w:r>
                </w:p>
              </w:tc>
              <w:tc>
                <w:tcPr>
                  <w:tcW w:w="143" w:type="pct"/>
                  <w:vMerge w:val="restart"/>
                  <w:tcBorders>
                    <w:tl2br w:val="nil"/>
                    <w:tr2bl w:val="nil"/>
                  </w:tcBorders>
                  <w:noWrap w:val="0"/>
                  <w:vAlign w:val="center"/>
                </w:tcPr>
                <w:p w14:paraId="27AE392D">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运行时段</w:t>
                  </w:r>
                </w:p>
              </w:tc>
              <w:tc>
                <w:tcPr>
                  <w:tcW w:w="372" w:type="pct"/>
                  <w:vMerge w:val="restart"/>
                  <w:tcBorders>
                    <w:tl2br w:val="nil"/>
                    <w:tr2bl w:val="nil"/>
                  </w:tcBorders>
                  <w:noWrap w:val="0"/>
                  <w:vAlign w:val="center"/>
                </w:tcPr>
                <w:p w14:paraId="26514C38">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建筑物插入损失/dB（A）</w:t>
                  </w:r>
                </w:p>
              </w:tc>
              <w:tc>
                <w:tcPr>
                  <w:tcW w:w="624" w:type="pct"/>
                  <w:gridSpan w:val="2"/>
                  <w:tcBorders>
                    <w:tl2br w:val="nil"/>
                    <w:tr2bl w:val="nil"/>
                  </w:tcBorders>
                  <w:noWrap w:val="0"/>
                  <w:vAlign w:val="center"/>
                </w:tcPr>
                <w:p w14:paraId="56BE3DEA">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建筑物外噪声</w:t>
                  </w:r>
                </w:p>
              </w:tc>
            </w:tr>
            <w:tr w14:paraId="0D4EF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151" w:type="pct"/>
                  <w:vMerge w:val="continue"/>
                  <w:tcBorders>
                    <w:tl2br w:val="nil"/>
                    <w:tr2bl w:val="nil"/>
                  </w:tcBorders>
                  <w:noWrap w:val="0"/>
                  <w:vAlign w:val="center"/>
                </w:tcPr>
                <w:p w14:paraId="07047DCF">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133" w:type="pct"/>
                  <w:vMerge w:val="continue"/>
                  <w:tcBorders>
                    <w:tl2br w:val="nil"/>
                    <w:tr2bl w:val="nil"/>
                  </w:tcBorders>
                  <w:noWrap w:val="0"/>
                  <w:vAlign w:val="center"/>
                </w:tcPr>
                <w:p w14:paraId="072BD1BF">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446" w:type="pct"/>
                  <w:vMerge w:val="continue"/>
                  <w:tcBorders>
                    <w:tl2br w:val="nil"/>
                    <w:tr2bl w:val="nil"/>
                  </w:tcBorders>
                  <w:noWrap w:val="0"/>
                  <w:vAlign w:val="center"/>
                </w:tcPr>
                <w:p w14:paraId="635781C3">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581" w:type="pct"/>
                  <w:vMerge w:val="continue"/>
                  <w:tcBorders>
                    <w:tl2br w:val="nil"/>
                    <w:tr2bl w:val="nil"/>
                  </w:tcBorders>
                  <w:noWrap w:val="0"/>
                  <w:vAlign w:val="center"/>
                </w:tcPr>
                <w:p w14:paraId="6D8B99AC">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741" w:type="pct"/>
                  <w:tcBorders>
                    <w:tl2br w:val="nil"/>
                    <w:tr2bl w:val="nil"/>
                  </w:tcBorders>
                  <w:noWrap w:val="0"/>
                  <w:vAlign w:val="center"/>
                </w:tcPr>
                <w:p w14:paraId="311BB5FD">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（声压级/距声源距离）/（dB（A）/m）</w:t>
                  </w:r>
                </w:p>
              </w:tc>
              <w:tc>
                <w:tcPr>
                  <w:tcW w:w="392" w:type="pct"/>
                  <w:vMerge w:val="continue"/>
                  <w:tcBorders>
                    <w:tl2br w:val="nil"/>
                    <w:tr2bl w:val="nil"/>
                  </w:tcBorders>
                  <w:noWrap w:val="0"/>
                  <w:vAlign w:val="center"/>
                </w:tcPr>
                <w:p w14:paraId="000A671B">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255" w:type="pct"/>
                  <w:tcBorders>
                    <w:tl2br w:val="nil"/>
                    <w:tr2bl w:val="nil"/>
                  </w:tcBorders>
                  <w:noWrap w:val="0"/>
                  <w:vAlign w:val="center"/>
                </w:tcPr>
                <w:p w14:paraId="099FC6A7">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X</w:t>
                  </w:r>
                </w:p>
              </w:tc>
              <w:tc>
                <w:tcPr>
                  <w:tcW w:w="259" w:type="pct"/>
                  <w:tcBorders>
                    <w:tl2br w:val="nil"/>
                    <w:tr2bl w:val="nil"/>
                  </w:tcBorders>
                  <w:noWrap w:val="0"/>
                  <w:vAlign w:val="center"/>
                </w:tcPr>
                <w:p w14:paraId="54E24A36">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Y</w:t>
                  </w:r>
                </w:p>
              </w:tc>
              <w:tc>
                <w:tcPr>
                  <w:tcW w:w="190" w:type="pct"/>
                  <w:tcBorders>
                    <w:tl2br w:val="nil"/>
                    <w:tr2bl w:val="nil"/>
                  </w:tcBorders>
                  <w:noWrap w:val="0"/>
                  <w:vAlign w:val="center"/>
                </w:tcPr>
                <w:p w14:paraId="26725AB0">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Z</w:t>
                  </w:r>
                </w:p>
              </w:tc>
              <w:tc>
                <w:tcPr>
                  <w:tcW w:w="316" w:type="pct"/>
                  <w:vMerge w:val="continue"/>
                  <w:tcBorders>
                    <w:tl2br w:val="nil"/>
                    <w:tr2bl w:val="nil"/>
                  </w:tcBorders>
                  <w:noWrap w:val="0"/>
                  <w:vAlign w:val="center"/>
                </w:tcPr>
                <w:p w14:paraId="524A5E07">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392" w:type="pct"/>
                  <w:vMerge w:val="continue"/>
                  <w:tcBorders>
                    <w:tl2br w:val="nil"/>
                    <w:tr2bl w:val="nil"/>
                  </w:tcBorders>
                  <w:noWrap w:val="0"/>
                  <w:vAlign w:val="center"/>
                </w:tcPr>
                <w:p w14:paraId="7834FD47">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143" w:type="pct"/>
                  <w:vMerge w:val="continue"/>
                  <w:tcBorders>
                    <w:tl2br w:val="nil"/>
                    <w:tr2bl w:val="nil"/>
                  </w:tcBorders>
                  <w:noWrap w:val="0"/>
                  <w:vAlign w:val="center"/>
                </w:tcPr>
                <w:p w14:paraId="138B9967">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372" w:type="pct"/>
                  <w:vMerge w:val="continue"/>
                  <w:tcBorders>
                    <w:tl2br w:val="nil"/>
                    <w:tr2bl w:val="nil"/>
                  </w:tcBorders>
                  <w:noWrap w:val="0"/>
                  <w:vAlign w:val="center"/>
                </w:tcPr>
                <w:p w14:paraId="49A1C2D5">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321" w:type="pct"/>
                  <w:tcBorders>
                    <w:tl2br w:val="nil"/>
                    <w:tr2bl w:val="nil"/>
                  </w:tcBorders>
                  <w:noWrap w:val="0"/>
                  <w:vAlign w:val="center"/>
                </w:tcPr>
                <w:p w14:paraId="2F9F31C7">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声压级/dB（A）</w:t>
                  </w:r>
                </w:p>
              </w:tc>
              <w:tc>
                <w:tcPr>
                  <w:tcW w:w="302" w:type="pct"/>
                  <w:tcBorders>
                    <w:tl2br w:val="nil"/>
                    <w:tr2bl w:val="nil"/>
                  </w:tcBorders>
                  <w:noWrap w:val="0"/>
                  <w:vAlign w:val="center"/>
                </w:tcPr>
                <w:p w14:paraId="590AC746">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建筑物外距离</w:t>
                  </w:r>
                </w:p>
              </w:tc>
            </w:tr>
            <w:tr w14:paraId="16CC9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69" w:hRule="atLeast"/>
                <w:jc w:val="center"/>
              </w:trPr>
              <w:tc>
                <w:tcPr>
                  <w:tcW w:w="151" w:type="pct"/>
                  <w:tcBorders>
                    <w:tl2br w:val="nil"/>
                    <w:tr2bl w:val="nil"/>
                  </w:tcBorders>
                  <w:noWrap w:val="0"/>
                  <w:vAlign w:val="center"/>
                </w:tcPr>
                <w:p w14:paraId="73C327FC">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1</w:t>
                  </w:r>
                </w:p>
              </w:tc>
              <w:tc>
                <w:tcPr>
                  <w:tcW w:w="133" w:type="pct"/>
                  <w:vMerge w:val="restart"/>
                  <w:tcBorders>
                    <w:tl2br w:val="nil"/>
                    <w:tr2bl w:val="nil"/>
                  </w:tcBorders>
                  <w:noWrap w:val="0"/>
                  <w:vAlign w:val="center"/>
                </w:tcPr>
                <w:p w14:paraId="0D7FDFFF">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生产车间</w:t>
                  </w:r>
                </w:p>
              </w:tc>
              <w:tc>
                <w:tcPr>
                  <w:tcW w:w="446" w:type="pct"/>
                  <w:tcBorders>
                    <w:tl2br w:val="nil"/>
                    <w:tr2bl w:val="nil"/>
                  </w:tcBorders>
                  <w:noWrap w:val="0"/>
                  <w:vAlign w:val="center"/>
                </w:tcPr>
                <w:p w14:paraId="725BA90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rPr>
                      <w:rFonts w:hint="default"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振动筛</w:t>
                  </w:r>
                </w:p>
              </w:tc>
              <w:tc>
                <w:tcPr>
                  <w:tcW w:w="581" w:type="pct"/>
                  <w:tcBorders>
                    <w:tl2br w:val="nil"/>
                    <w:tr2bl w:val="nil"/>
                  </w:tcBorders>
                  <w:noWrap w:val="0"/>
                  <w:vAlign w:val="center"/>
                </w:tcPr>
                <w:p w14:paraId="2739BB99">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YK1230</w:t>
                  </w:r>
                </w:p>
              </w:tc>
              <w:tc>
                <w:tcPr>
                  <w:tcW w:w="741" w:type="pct"/>
                  <w:tcBorders>
                    <w:tl2br w:val="nil"/>
                    <w:tr2bl w:val="nil"/>
                  </w:tcBorders>
                  <w:noWrap w:val="0"/>
                  <w:vAlign w:val="center"/>
                </w:tcPr>
                <w:p w14:paraId="77A9838A">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392" w:type="pct"/>
                  <w:vMerge w:val="restart"/>
                  <w:tcBorders>
                    <w:tl2br w:val="nil"/>
                    <w:tr2bl w:val="nil"/>
                  </w:tcBorders>
                  <w:noWrap w:val="0"/>
                  <w:vAlign w:val="center"/>
                </w:tcPr>
                <w:p w14:paraId="21DF33DA">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基础减振，厂房隔声</w:t>
                  </w: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南</w:t>
                  </w:r>
                  <w:r>
                    <w:rPr>
                      <w:rFonts w:hint="default" w:ascii="Times New Roman" w:hAnsi="Times New Roman" w:eastAsia="宋体" w:cs="Times New Roman"/>
                      <w:color w:val="auto"/>
                      <w:sz w:val="21"/>
                      <w:szCs w:val="21"/>
                      <w:highlight w:val="none"/>
                      <w:lang w:val="en-US" w:eastAsia="zh-CN"/>
                    </w:rPr>
                    <w:t>侧内墙设置吸隔声结构</w:t>
                  </w:r>
                </w:p>
              </w:tc>
              <w:tc>
                <w:tcPr>
                  <w:tcW w:w="255" w:type="pct"/>
                  <w:tcBorders>
                    <w:tl2br w:val="nil"/>
                    <w:tr2bl w:val="nil"/>
                  </w:tcBorders>
                  <w:noWrap w:val="0"/>
                  <w:vAlign w:val="center"/>
                </w:tcPr>
                <w:p w14:paraId="749EDCB8">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259" w:type="pct"/>
                  <w:tcBorders>
                    <w:tl2br w:val="nil"/>
                    <w:tr2bl w:val="nil"/>
                  </w:tcBorders>
                  <w:noWrap w:val="0"/>
                  <w:vAlign w:val="center"/>
                </w:tcPr>
                <w:p w14:paraId="6B52C3A3">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c>
                <w:tcPr>
                  <w:tcW w:w="190" w:type="pct"/>
                  <w:tcBorders>
                    <w:tl2br w:val="nil"/>
                    <w:tr2bl w:val="nil"/>
                  </w:tcBorders>
                  <w:noWrap w:val="0"/>
                  <w:vAlign w:val="center"/>
                </w:tcPr>
                <w:p w14:paraId="3AE00B44">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1.2</w:t>
                  </w:r>
                </w:p>
              </w:tc>
              <w:tc>
                <w:tcPr>
                  <w:tcW w:w="316" w:type="pct"/>
                  <w:tcBorders>
                    <w:tl2br w:val="nil"/>
                    <w:tr2bl w:val="nil"/>
                  </w:tcBorders>
                  <w:noWrap w:val="0"/>
                  <w:vAlign w:val="center"/>
                </w:tcPr>
                <w:p w14:paraId="0026D186">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c>
                <w:tcPr>
                  <w:tcW w:w="392" w:type="pct"/>
                  <w:tcBorders>
                    <w:tl2br w:val="nil"/>
                    <w:tr2bl w:val="nil"/>
                  </w:tcBorders>
                  <w:noWrap w:val="0"/>
                  <w:vAlign w:val="center"/>
                </w:tcPr>
                <w:p w14:paraId="0928EAAA">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81</w:t>
                  </w:r>
                </w:p>
              </w:tc>
              <w:tc>
                <w:tcPr>
                  <w:tcW w:w="143" w:type="pct"/>
                  <w:tcBorders>
                    <w:tl2br w:val="nil"/>
                    <w:tr2bl w:val="nil"/>
                  </w:tcBorders>
                  <w:noWrap w:val="0"/>
                  <w:vAlign w:val="center"/>
                </w:tcPr>
                <w:p w14:paraId="6CE84101">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w:t>
                  </w:r>
                </w:p>
              </w:tc>
              <w:tc>
                <w:tcPr>
                  <w:tcW w:w="372" w:type="pct"/>
                  <w:tcBorders>
                    <w:tl2br w:val="nil"/>
                    <w:tr2bl w:val="nil"/>
                  </w:tcBorders>
                  <w:noWrap w:val="0"/>
                  <w:vAlign w:val="center"/>
                </w:tcPr>
                <w:p w14:paraId="64233F09">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20</w:t>
                  </w:r>
                </w:p>
              </w:tc>
              <w:tc>
                <w:tcPr>
                  <w:tcW w:w="321" w:type="pct"/>
                  <w:tcBorders>
                    <w:tl2br w:val="nil"/>
                    <w:tr2bl w:val="nil"/>
                  </w:tcBorders>
                  <w:noWrap w:val="0"/>
                  <w:vAlign w:val="center"/>
                </w:tcPr>
                <w:p w14:paraId="04C9A6E6">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61</w:t>
                  </w:r>
                </w:p>
              </w:tc>
              <w:tc>
                <w:tcPr>
                  <w:tcW w:w="302" w:type="pct"/>
                  <w:tcBorders>
                    <w:tl2br w:val="nil"/>
                    <w:tr2bl w:val="nil"/>
                  </w:tcBorders>
                  <w:noWrap w:val="0"/>
                  <w:vAlign w:val="center"/>
                </w:tcPr>
                <w:p w14:paraId="3BD95ED2">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1B096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151" w:type="pct"/>
                  <w:tcBorders>
                    <w:tl2br w:val="nil"/>
                    <w:tr2bl w:val="nil"/>
                  </w:tcBorders>
                  <w:noWrap w:val="0"/>
                  <w:vAlign w:val="center"/>
                </w:tcPr>
                <w:p w14:paraId="625FE4D0">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133" w:type="pct"/>
                  <w:vMerge w:val="continue"/>
                  <w:tcBorders>
                    <w:tl2br w:val="nil"/>
                    <w:tr2bl w:val="nil"/>
                  </w:tcBorders>
                  <w:noWrap w:val="0"/>
                  <w:vAlign w:val="center"/>
                </w:tcPr>
                <w:p w14:paraId="546A4159">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446" w:type="pct"/>
                  <w:tcBorders>
                    <w:tl2br w:val="nil"/>
                    <w:tr2bl w:val="nil"/>
                  </w:tcBorders>
                  <w:noWrap w:val="0"/>
                  <w:vAlign w:val="center"/>
                </w:tcPr>
                <w:p w14:paraId="6FE60E5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振动筛</w:t>
                  </w:r>
                </w:p>
              </w:tc>
              <w:tc>
                <w:tcPr>
                  <w:tcW w:w="581" w:type="pct"/>
                  <w:tcBorders>
                    <w:tl2br w:val="nil"/>
                    <w:tr2bl w:val="nil"/>
                  </w:tcBorders>
                  <w:noWrap w:val="0"/>
                  <w:vAlign w:val="center"/>
                </w:tcPr>
                <w:p w14:paraId="1BF44BF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rPr>
                      <w:rFonts w:hint="default" w:ascii="宋体" w:hAnsi="宋体" w:eastAsia="宋体" w:cs="宋体"/>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YK1230</w:t>
                  </w:r>
                </w:p>
              </w:tc>
              <w:tc>
                <w:tcPr>
                  <w:tcW w:w="741" w:type="pct"/>
                  <w:tcBorders>
                    <w:tl2br w:val="nil"/>
                    <w:tr2bl w:val="nil"/>
                  </w:tcBorders>
                  <w:noWrap w:val="0"/>
                  <w:vAlign w:val="center"/>
                </w:tcPr>
                <w:p w14:paraId="2CCB8CE0">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392" w:type="pct"/>
                  <w:vMerge w:val="continue"/>
                  <w:tcBorders>
                    <w:tl2br w:val="nil"/>
                    <w:tr2bl w:val="nil"/>
                  </w:tcBorders>
                  <w:noWrap w:val="0"/>
                  <w:vAlign w:val="center"/>
                </w:tcPr>
                <w:p w14:paraId="6FA8698A">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255" w:type="pct"/>
                  <w:tcBorders>
                    <w:tl2br w:val="nil"/>
                    <w:tr2bl w:val="nil"/>
                  </w:tcBorders>
                  <w:noWrap w:val="0"/>
                  <w:vAlign w:val="center"/>
                </w:tcPr>
                <w:p w14:paraId="14B13D86">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w:t>
                  </w:r>
                </w:p>
              </w:tc>
              <w:tc>
                <w:tcPr>
                  <w:tcW w:w="259" w:type="pct"/>
                  <w:tcBorders>
                    <w:tl2br w:val="nil"/>
                    <w:tr2bl w:val="nil"/>
                  </w:tcBorders>
                  <w:noWrap w:val="0"/>
                  <w:vAlign w:val="center"/>
                </w:tcPr>
                <w:p w14:paraId="317440AA">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宋体" w:hAnsi="Times New Roman" w:eastAsia="宋体" w:cs="Times New Roman"/>
                      <w:color w:val="auto"/>
                      <w:sz w:val="21"/>
                      <w:szCs w:val="21"/>
                      <w:highlight w:val="none"/>
                      <w:lang w:val="en-US" w:eastAsia="zh-CN"/>
                    </w:rPr>
                    <w:t>8</w:t>
                  </w:r>
                </w:p>
              </w:tc>
              <w:tc>
                <w:tcPr>
                  <w:tcW w:w="190" w:type="pct"/>
                  <w:tcBorders>
                    <w:tl2br w:val="nil"/>
                    <w:tr2bl w:val="nil"/>
                  </w:tcBorders>
                  <w:noWrap w:val="0"/>
                  <w:vAlign w:val="center"/>
                </w:tcPr>
                <w:p w14:paraId="14D0DD29">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1.2</w:t>
                  </w:r>
                </w:p>
              </w:tc>
              <w:tc>
                <w:tcPr>
                  <w:tcW w:w="316" w:type="pct"/>
                  <w:tcBorders>
                    <w:tl2br w:val="nil"/>
                    <w:tr2bl w:val="nil"/>
                  </w:tcBorders>
                  <w:noWrap w:val="0"/>
                  <w:vAlign w:val="center"/>
                </w:tcPr>
                <w:p w14:paraId="0BB30646">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c>
                <w:tcPr>
                  <w:tcW w:w="392" w:type="pct"/>
                  <w:tcBorders>
                    <w:tl2br w:val="nil"/>
                    <w:tr2bl w:val="nil"/>
                  </w:tcBorders>
                  <w:noWrap w:val="0"/>
                  <w:vAlign w:val="center"/>
                </w:tcPr>
                <w:p w14:paraId="69A767E6">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81</w:t>
                  </w:r>
                </w:p>
              </w:tc>
              <w:tc>
                <w:tcPr>
                  <w:tcW w:w="143" w:type="pct"/>
                  <w:tcBorders>
                    <w:tl2br w:val="nil"/>
                    <w:tr2bl w:val="nil"/>
                  </w:tcBorders>
                  <w:noWrap w:val="0"/>
                  <w:vAlign w:val="center"/>
                </w:tcPr>
                <w:p w14:paraId="0139A6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昼</w:t>
                  </w:r>
                </w:p>
              </w:tc>
              <w:tc>
                <w:tcPr>
                  <w:tcW w:w="372" w:type="pct"/>
                  <w:tcBorders>
                    <w:tl2br w:val="nil"/>
                    <w:tr2bl w:val="nil"/>
                  </w:tcBorders>
                  <w:noWrap w:val="0"/>
                  <w:vAlign w:val="center"/>
                </w:tcPr>
                <w:p w14:paraId="28AC4C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w:t>
                  </w:r>
                </w:p>
              </w:tc>
              <w:tc>
                <w:tcPr>
                  <w:tcW w:w="321" w:type="pct"/>
                  <w:tcBorders>
                    <w:tl2br w:val="nil"/>
                    <w:tr2bl w:val="nil"/>
                  </w:tcBorders>
                  <w:noWrap w:val="0"/>
                  <w:vAlign w:val="center"/>
                </w:tcPr>
                <w:p w14:paraId="46FFA157">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61</w:t>
                  </w:r>
                </w:p>
              </w:tc>
              <w:tc>
                <w:tcPr>
                  <w:tcW w:w="302" w:type="pct"/>
                  <w:tcBorders>
                    <w:tl2br w:val="nil"/>
                    <w:tr2bl w:val="nil"/>
                  </w:tcBorders>
                  <w:noWrap w:val="0"/>
                  <w:vAlign w:val="center"/>
                </w:tcPr>
                <w:p w14:paraId="160A8080">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60628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151" w:type="pct"/>
                  <w:tcBorders>
                    <w:tl2br w:val="nil"/>
                    <w:tr2bl w:val="nil"/>
                  </w:tcBorders>
                  <w:noWrap w:val="0"/>
                  <w:vAlign w:val="center"/>
                </w:tcPr>
                <w:p w14:paraId="649FEE30">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133" w:type="pct"/>
                  <w:vMerge w:val="continue"/>
                  <w:tcBorders>
                    <w:tl2br w:val="nil"/>
                    <w:tr2bl w:val="nil"/>
                  </w:tcBorders>
                  <w:noWrap w:val="0"/>
                  <w:vAlign w:val="center"/>
                </w:tcPr>
                <w:p w14:paraId="2581841F">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446" w:type="pct"/>
                  <w:tcBorders>
                    <w:tl2br w:val="nil"/>
                    <w:tr2bl w:val="nil"/>
                  </w:tcBorders>
                  <w:noWrap w:val="0"/>
                  <w:vAlign w:val="center"/>
                </w:tcPr>
                <w:p w14:paraId="2AE1CFA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rPr>
                      <w:rFonts w:hint="default"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振动筛</w:t>
                  </w:r>
                </w:p>
              </w:tc>
              <w:tc>
                <w:tcPr>
                  <w:tcW w:w="581" w:type="pct"/>
                  <w:tcBorders>
                    <w:tl2br w:val="nil"/>
                    <w:tr2bl w:val="nil"/>
                  </w:tcBorders>
                  <w:noWrap w:val="0"/>
                  <w:vAlign w:val="center"/>
                </w:tcPr>
                <w:p w14:paraId="7025A8B1">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YK1230</w:t>
                  </w:r>
                </w:p>
              </w:tc>
              <w:tc>
                <w:tcPr>
                  <w:tcW w:w="741" w:type="pct"/>
                  <w:tcBorders>
                    <w:tl2br w:val="nil"/>
                    <w:tr2bl w:val="nil"/>
                  </w:tcBorders>
                  <w:noWrap w:val="0"/>
                  <w:vAlign w:val="center"/>
                </w:tcPr>
                <w:p w14:paraId="4DB0C03E">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392" w:type="pct"/>
                  <w:vMerge w:val="continue"/>
                  <w:tcBorders>
                    <w:tl2br w:val="nil"/>
                    <w:tr2bl w:val="nil"/>
                  </w:tcBorders>
                  <w:noWrap w:val="0"/>
                  <w:vAlign w:val="center"/>
                </w:tcPr>
                <w:p w14:paraId="0AD06BD4">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255" w:type="pct"/>
                  <w:tcBorders>
                    <w:tl2br w:val="nil"/>
                    <w:tr2bl w:val="nil"/>
                  </w:tcBorders>
                  <w:noWrap w:val="0"/>
                  <w:vAlign w:val="center"/>
                </w:tcPr>
                <w:p w14:paraId="566E178C">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w:t>
                  </w:r>
                </w:p>
              </w:tc>
              <w:tc>
                <w:tcPr>
                  <w:tcW w:w="259" w:type="pct"/>
                  <w:tcBorders>
                    <w:tl2br w:val="nil"/>
                    <w:tr2bl w:val="nil"/>
                  </w:tcBorders>
                  <w:noWrap w:val="0"/>
                  <w:vAlign w:val="center"/>
                </w:tcPr>
                <w:p w14:paraId="3376352B">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c>
                <w:tcPr>
                  <w:tcW w:w="190" w:type="pct"/>
                  <w:tcBorders>
                    <w:tl2br w:val="nil"/>
                    <w:tr2bl w:val="nil"/>
                  </w:tcBorders>
                  <w:noWrap w:val="0"/>
                  <w:vAlign w:val="center"/>
                </w:tcPr>
                <w:p w14:paraId="0EAC852D">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1.2</w:t>
                  </w:r>
                </w:p>
              </w:tc>
              <w:tc>
                <w:tcPr>
                  <w:tcW w:w="316" w:type="pct"/>
                  <w:tcBorders>
                    <w:tl2br w:val="nil"/>
                    <w:tr2bl w:val="nil"/>
                  </w:tcBorders>
                  <w:noWrap w:val="0"/>
                  <w:vAlign w:val="center"/>
                </w:tcPr>
                <w:p w14:paraId="507CED45">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c>
                <w:tcPr>
                  <w:tcW w:w="392" w:type="pct"/>
                  <w:tcBorders>
                    <w:tl2br w:val="nil"/>
                    <w:tr2bl w:val="nil"/>
                  </w:tcBorders>
                  <w:noWrap w:val="0"/>
                  <w:vAlign w:val="center"/>
                </w:tcPr>
                <w:p w14:paraId="39392019">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81</w:t>
                  </w:r>
                </w:p>
              </w:tc>
              <w:tc>
                <w:tcPr>
                  <w:tcW w:w="143" w:type="pct"/>
                  <w:tcBorders>
                    <w:tl2br w:val="nil"/>
                    <w:tr2bl w:val="nil"/>
                  </w:tcBorders>
                  <w:noWrap w:val="0"/>
                  <w:vAlign w:val="center"/>
                </w:tcPr>
                <w:p w14:paraId="15844554">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昼</w:t>
                  </w:r>
                </w:p>
              </w:tc>
              <w:tc>
                <w:tcPr>
                  <w:tcW w:w="372" w:type="pct"/>
                  <w:tcBorders>
                    <w:tl2br w:val="nil"/>
                    <w:tr2bl w:val="nil"/>
                  </w:tcBorders>
                  <w:noWrap w:val="0"/>
                  <w:vAlign w:val="center"/>
                </w:tcPr>
                <w:p w14:paraId="309F30BA">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20</w:t>
                  </w:r>
                </w:p>
              </w:tc>
              <w:tc>
                <w:tcPr>
                  <w:tcW w:w="321" w:type="pct"/>
                  <w:tcBorders>
                    <w:tl2br w:val="nil"/>
                    <w:tr2bl w:val="nil"/>
                  </w:tcBorders>
                  <w:noWrap w:val="0"/>
                  <w:vAlign w:val="center"/>
                </w:tcPr>
                <w:p w14:paraId="664EFE3B">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61</w:t>
                  </w:r>
                </w:p>
              </w:tc>
              <w:tc>
                <w:tcPr>
                  <w:tcW w:w="302" w:type="pct"/>
                  <w:tcBorders>
                    <w:tl2br w:val="nil"/>
                    <w:tr2bl w:val="nil"/>
                  </w:tcBorders>
                  <w:noWrap w:val="0"/>
                  <w:vAlign w:val="center"/>
                </w:tcPr>
                <w:p w14:paraId="53635B3B">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r>
            <w:tr w14:paraId="45FC7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151" w:type="pct"/>
                  <w:tcBorders>
                    <w:tl2br w:val="nil"/>
                    <w:tr2bl w:val="nil"/>
                  </w:tcBorders>
                  <w:noWrap w:val="0"/>
                  <w:vAlign w:val="center"/>
                </w:tcPr>
                <w:p w14:paraId="76C89567">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133" w:type="pct"/>
                  <w:vMerge w:val="continue"/>
                  <w:tcBorders>
                    <w:tl2br w:val="nil"/>
                    <w:tr2bl w:val="nil"/>
                  </w:tcBorders>
                  <w:noWrap w:val="0"/>
                  <w:vAlign w:val="center"/>
                </w:tcPr>
                <w:p w14:paraId="2375B393">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446" w:type="pct"/>
                  <w:tcBorders>
                    <w:tl2br w:val="nil"/>
                    <w:tr2bl w:val="nil"/>
                  </w:tcBorders>
                  <w:noWrap w:val="0"/>
                  <w:vAlign w:val="center"/>
                </w:tcPr>
                <w:p w14:paraId="71F8528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提升机</w:t>
                  </w:r>
                </w:p>
              </w:tc>
              <w:tc>
                <w:tcPr>
                  <w:tcW w:w="581" w:type="pct"/>
                  <w:tcBorders>
                    <w:tl2br w:val="nil"/>
                    <w:tr2bl w:val="nil"/>
                  </w:tcBorders>
                  <w:noWrap w:val="0"/>
                  <w:vAlign w:val="center"/>
                </w:tcPr>
                <w:p w14:paraId="1FD5A920">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w:t>
                  </w:r>
                </w:p>
              </w:tc>
              <w:tc>
                <w:tcPr>
                  <w:tcW w:w="741" w:type="pct"/>
                  <w:tcBorders>
                    <w:tl2br w:val="nil"/>
                    <w:tr2bl w:val="nil"/>
                  </w:tcBorders>
                  <w:noWrap w:val="0"/>
                  <w:vAlign w:val="center"/>
                </w:tcPr>
                <w:p w14:paraId="30AF7DE6">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95</w:t>
                  </w:r>
                </w:p>
              </w:tc>
              <w:tc>
                <w:tcPr>
                  <w:tcW w:w="392" w:type="pct"/>
                  <w:vMerge w:val="continue"/>
                  <w:tcBorders>
                    <w:tl2br w:val="nil"/>
                    <w:tr2bl w:val="nil"/>
                  </w:tcBorders>
                  <w:noWrap w:val="0"/>
                  <w:vAlign w:val="center"/>
                </w:tcPr>
                <w:p w14:paraId="5B2FC30A">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255" w:type="pct"/>
                  <w:tcBorders>
                    <w:tl2br w:val="nil"/>
                    <w:tr2bl w:val="nil"/>
                  </w:tcBorders>
                  <w:noWrap w:val="0"/>
                  <w:vAlign w:val="center"/>
                </w:tcPr>
                <w:p w14:paraId="661D7B84">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259" w:type="pct"/>
                  <w:tcBorders>
                    <w:tl2br w:val="nil"/>
                    <w:tr2bl w:val="nil"/>
                  </w:tcBorders>
                  <w:noWrap w:val="0"/>
                  <w:vAlign w:val="center"/>
                </w:tcPr>
                <w:p w14:paraId="2EB678EF">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w:t>
                  </w:r>
                </w:p>
              </w:tc>
              <w:tc>
                <w:tcPr>
                  <w:tcW w:w="190" w:type="pct"/>
                  <w:tcBorders>
                    <w:tl2br w:val="nil"/>
                    <w:tr2bl w:val="nil"/>
                  </w:tcBorders>
                  <w:noWrap w:val="0"/>
                  <w:vAlign w:val="center"/>
                </w:tcPr>
                <w:p w14:paraId="64205ADF">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1.2</w:t>
                  </w:r>
                </w:p>
              </w:tc>
              <w:tc>
                <w:tcPr>
                  <w:tcW w:w="316" w:type="pct"/>
                  <w:tcBorders>
                    <w:tl2br w:val="nil"/>
                    <w:tr2bl w:val="nil"/>
                  </w:tcBorders>
                  <w:noWrap w:val="0"/>
                  <w:vAlign w:val="center"/>
                </w:tcPr>
                <w:p w14:paraId="0C18C2F3">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w:t>
                  </w:r>
                </w:p>
              </w:tc>
              <w:tc>
                <w:tcPr>
                  <w:tcW w:w="392" w:type="pct"/>
                  <w:tcBorders>
                    <w:tl2br w:val="nil"/>
                    <w:tr2bl w:val="nil"/>
                  </w:tcBorders>
                  <w:noWrap w:val="0"/>
                  <w:vAlign w:val="center"/>
                </w:tcPr>
                <w:p w14:paraId="7A012F9F">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r>
                    <w:rPr>
                      <w:rFonts w:hint="eastAsia" w:cs="Times New Roman"/>
                      <w:color w:val="auto"/>
                      <w:kern w:val="2"/>
                      <w:sz w:val="21"/>
                      <w:szCs w:val="21"/>
                      <w:highlight w:val="none"/>
                      <w:lang w:val="en-US" w:eastAsia="zh-CN" w:bidi="ar-SA"/>
                    </w:rPr>
                    <w:t>5</w:t>
                  </w:r>
                </w:p>
              </w:tc>
              <w:tc>
                <w:tcPr>
                  <w:tcW w:w="143" w:type="pct"/>
                  <w:tcBorders>
                    <w:tl2br w:val="nil"/>
                    <w:tr2bl w:val="nil"/>
                  </w:tcBorders>
                  <w:noWrap w:val="0"/>
                  <w:vAlign w:val="center"/>
                </w:tcPr>
                <w:p w14:paraId="10F89962">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昼</w:t>
                  </w:r>
                </w:p>
              </w:tc>
              <w:tc>
                <w:tcPr>
                  <w:tcW w:w="372" w:type="pct"/>
                  <w:tcBorders>
                    <w:tl2br w:val="nil"/>
                    <w:tr2bl w:val="nil"/>
                  </w:tcBorders>
                  <w:noWrap w:val="0"/>
                  <w:vAlign w:val="center"/>
                </w:tcPr>
                <w:p w14:paraId="69B6B66A">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20</w:t>
                  </w:r>
                </w:p>
              </w:tc>
              <w:tc>
                <w:tcPr>
                  <w:tcW w:w="321" w:type="pct"/>
                  <w:tcBorders>
                    <w:tl2br w:val="nil"/>
                    <w:tr2bl w:val="nil"/>
                  </w:tcBorders>
                  <w:noWrap w:val="0"/>
                  <w:vAlign w:val="center"/>
                </w:tcPr>
                <w:p w14:paraId="02D07EFD">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r>
                    <w:rPr>
                      <w:rFonts w:hint="eastAsia" w:cs="Times New Roman"/>
                      <w:color w:val="auto"/>
                      <w:kern w:val="2"/>
                      <w:sz w:val="21"/>
                      <w:szCs w:val="21"/>
                      <w:highlight w:val="none"/>
                      <w:lang w:val="en-US" w:eastAsia="zh-CN" w:bidi="ar-SA"/>
                    </w:rPr>
                    <w:t>5</w:t>
                  </w:r>
                </w:p>
              </w:tc>
              <w:tc>
                <w:tcPr>
                  <w:tcW w:w="302" w:type="pct"/>
                  <w:tcBorders>
                    <w:tl2br w:val="nil"/>
                    <w:tr2bl w:val="nil"/>
                  </w:tcBorders>
                  <w:noWrap w:val="0"/>
                  <w:vAlign w:val="center"/>
                </w:tcPr>
                <w:p w14:paraId="3DB4657F">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r>
            <w:tr w14:paraId="10183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151" w:type="pct"/>
                  <w:tcBorders>
                    <w:tl2br w:val="nil"/>
                    <w:tr2bl w:val="nil"/>
                  </w:tcBorders>
                  <w:noWrap w:val="0"/>
                  <w:vAlign w:val="center"/>
                </w:tcPr>
                <w:p w14:paraId="32929B5D">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133" w:type="pct"/>
                  <w:vMerge w:val="continue"/>
                  <w:tcBorders>
                    <w:tl2br w:val="nil"/>
                    <w:tr2bl w:val="nil"/>
                  </w:tcBorders>
                  <w:noWrap w:val="0"/>
                  <w:vAlign w:val="center"/>
                </w:tcPr>
                <w:p w14:paraId="6B125DFE">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446" w:type="pct"/>
                  <w:tcBorders>
                    <w:tl2br w:val="nil"/>
                    <w:tr2bl w:val="nil"/>
                  </w:tcBorders>
                  <w:noWrap w:val="0"/>
                  <w:vAlign w:val="center"/>
                </w:tcPr>
                <w:p w14:paraId="23599C1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提升机</w:t>
                  </w:r>
                </w:p>
              </w:tc>
              <w:tc>
                <w:tcPr>
                  <w:tcW w:w="581" w:type="pct"/>
                  <w:tcBorders>
                    <w:tl2br w:val="nil"/>
                    <w:tr2bl w:val="nil"/>
                  </w:tcBorders>
                  <w:noWrap w:val="0"/>
                  <w:vAlign w:val="center"/>
                </w:tcPr>
                <w:p w14:paraId="0E8BC617">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w:t>
                  </w:r>
                </w:p>
              </w:tc>
              <w:tc>
                <w:tcPr>
                  <w:tcW w:w="741" w:type="pct"/>
                  <w:tcBorders>
                    <w:tl2br w:val="nil"/>
                    <w:tr2bl w:val="nil"/>
                  </w:tcBorders>
                  <w:noWrap w:val="0"/>
                  <w:vAlign w:val="center"/>
                </w:tcPr>
                <w:p w14:paraId="2DB9BC50">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95</w:t>
                  </w:r>
                </w:p>
              </w:tc>
              <w:tc>
                <w:tcPr>
                  <w:tcW w:w="392" w:type="pct"/>
                  <w:vMerge w:val="continue"/>
                  <w:tcBorders>
                    <w:tl2br w:val="nil"/>
                    <w:tr2bl w:val="nil"/>
                  </w:tcBorders>
                  <w:noWrap w:val="0"/>
                  <w:vAlign w:val="center"/>
                </w:tcPr>
                <w:p w14:paraId="6B617D64">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255" w:type="pct"/>
                  <w:tcBorders>
                    <w:tl2br w:val="nil"/>
                    <w:tr2bl w:val="nil"/>
                  </w:tcBorders>
                  <w:noWrap w:val="0"/>
                  <w:vAlign w:val="center"/>
                </w:tcPr>
                <w:p w14:paraId="26B263B0">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w:t>
                  </w:r>
                </w:p>
              </w:tc>
              <w:tc>
                <w:tcPr>
                  <w:tcW w:w="259" w:type="pct"/>
                  <w:tcBorders>
                    <w:tl2br w:val="nil"/>
                    <w:tr2bl w:val="nil"/>
                  </w:tcBorders>
                  <w:noWrap w:val="0"/>
                  <w:vAlign w:val="center"/>
                </w:tcPr>
                <w:p w14:paraId="648151F3">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w:t>
                  </w:r>
                </w:p>
              </w:tc>
              <w:tc>
                <w:tcPr>
                  <w:tcW w:w="190" w:type="pct"/>
                  <w:tcBorders>
                    <w:tl2br w:val="nil"/>
                    <w:tr2bl w:val="nil"/>
                  </w:tcBorders>
                  <w:noWrap w:val="0"/>
                  <w:vAlign w:val="center"/>
                </w:tcPr>
                <w:p w14:paraId="668CEBF2">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1.2</w:t>
                  </w:r>
                </w:p>
              </w:tc>
              <w:tc>
                <w:tcPr>
                  <w:tcW w:w="316" w:type="pct"/>
                  <w:tcBorders>
                    <w:tl2br w:val="nil"/>
                    <w:tr2bl w:val="nil"/>
                  </w:tcBorders>
                  <w:noWrap w:val="0"/>
                  <w:vAlign w:val="center"/>
                </w:tcPr>
                <w:p w14:paraId="124BFB87">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w:t>
                  </w:r>
                </w:p>
              </w:tc>
              <w:tc>
                <w:tcPr>
                  <w:tcW w:w="392" w:type="pct"/>
                  <w:tcBorders>
                    <w:tl2br w:val="nil"/>
                    <w:tr2bl w:val="nil"/>
                  </w:tcBorders>
                  <w:noWrap w:val="0"/>
                  <w:vAlign w:val="center"/>
                </w:tcPr>
                <w:p w14:paraId="5EA5EA3C">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r>
                    <w:rPr>
                      <w:rFonts w:hint="eastAsia" w:cs="Times New Roman"/>
                      <w:color w:val="auto"/>
                      <w:kern w:val="2"/>
                      <w:sz w:val="21"/>
                      <w:szCs w:val="21"/>
                      <w:highlight w:val="none"/>
                      <w:lang w:val="en-US" w:eastAsia="zh-CN" w:bidi="ar-SA"/>
                    </w:rPr>
                    <w:t>5</w:t>
                  </w:r>
                </w:p>
              </w:tc>
              <w:tc>
                <w:tcPr>
                  <w:tcW w:w="143" w:type="pct"/>
                  <w:tcBorders>
                    <w:tl2br w:val="nil"/>
                    <w:tr2bl w:val="nil"/>
                  </w:tcBorders>
                  <w:noWrap w:val="0"/>
                  <w:vAlign w:val="center"/>
                </w:tcPr>
                <w:p w14:paraId="0E722203">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昼</w:t>
                  </w:r>
                </w:p>
              </w:tc>
              <w:tc>
                <w:tcPr>
                  <w:tcW w:w="372" w:type="pct"/>
                  <w:tcBorders>
                    <w:tl2br w:val="nil"/>
                    <w:tr2bl w:val="nil"/>
                  </w:tcBorders>
                  <w:noWrap w:val="0"/>
                  <w:vAlign w:val="center"/>
                </w:tcPr>
                <w:p w14:paraId="1E16A994">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20</w:t>
                  </w:r>
                </w:p>
              </w:tc>
              <w:tc>
                <w:tcPr>
                  <w:tcW w:w="321" w:type="pct"/>
                  <w:tcBorders>
                    <w:tl2br w:val="nil"/>
                    <w:tr2bl w:val="nil"/>
                  </w:tcBorders>
                  <w:noWrap w:val="0"/>
                  <w:vAlign w:val="center"/>
                </w:tcPr>
                <w:p w14:paraId="6127DF2C">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r>
                    <w:rPr>
                      <w:rFonts w:hint="eastAsia" w:cs="Times New Roman"/>
                      <w:color w:val="auto"/>
                      <w:kern w:val="2"/>
                      <w:sz w:val="21"/>
                      <w:szCs w:val="21"/>
                      <w:highlight w:val="none"/>
                      <w:lang w:val="en-US" w:eastAsia="zh-CN" w:bidi="ar-SA"/>
                    </w:rPr>
                    <w:t>5</w:t>
                  </w:r>
                </w:p>
              </w:tc>
              <w:tc>
                <w:tcPr>
                  <w:tcW w:w="302" w:type="pct"/>
                  <w:tcBorders>
                    <w:tl2br w:val="nil"/>
                    <w:tr2bl w:val="nil"/>
                  </w:tcBorders>
                  <w:noWrap w:val="0"/>
                  <w:vAlign w:val="center"/>
                </w:tcPr>
                <w:p w14:paraId="61061136">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r>
            <w:tr w14:paraId="5D323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151" w:type="pct"/>
                  <w:tcBorders>
                    <w:tl2br w:val="nil"/>
                    <w:tr2bl w:val="nil"/>
                  </w:tcBorders>
                  <w:noWrap w:val="0"/>
                  <w:vAlign w:val="center"/>
                </w:tcPr>
                <w:p w14:paraId="6AB627D1">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133" w:type="pct"/>
                  <w:vMerge w:val="continue"/>
                  <w:tcBorders>
                    <w:tl2br w:val="nil"/>
                    <w:tr2bl w:val="nil"/>
                  </w:tcBorders>
                  <w:noWrap w:val="0"/>
                  <w:vAlign w:val="center"/>
                </w:tcPr>
                <w:p w14:paraId="26AE8C35">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446" w:type="pct"/>
                  <w:tcBorders>
                    <w:tl2br w:val="nil"/>
                    <w:tr2bl w:val="nil"/>
                  </w:tcBorders>
                  <w:noWrap w:val="0"/>
                  <w:vAlign w:val="center"/>
                </w:tcPr>
                <w:p w14:paraId="29778F6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提升机</w:t>
                  </w:r>
                </w:p>
              </w:tc>
              <w:tc>
                <w:tcPr>
                  <w:tcW w:w="581" w:type="pct"/>
                  <w:tcBorders>
                    <w:tl2br w:val="nil"/>
                    <w:tr2bl w:val="nil"/>
                  </w:tcBorders>
                  <w:noWrap w:val="0"/>
                  <w:vAlign w:val="center"/>
                </w:tcPr>
                <w:p w14:paraId="6977F789">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w:t>
                  </w:r>
                </w:p>
              </w:tc>
              <w:tc>
                <w:tcPr>
                  <w:tcW w:w="741" w:type="pct"/>
                  <w:tcBorders>
                    <w:tl2br w:val="nil"/>
                    <w:tr2bl w:val="nil"/>
                  </w:tcBorders>
                  <w:noWrap w:val="0"/>
                  <w:vAlign w:val="center"/>
                </w:tcPr>
                <w:p w14:paraId="4B9A1D20">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95</w:t>
                  </w:r>
                </w:p>
              </w:tc>
              <w:tc>
                <w:tcPr>
                  <w:tcW w:w="392" w:type="pct"/>
                  <w:vMerge w:val="continue"/>
                  <w:tcBorders>
                    <w:tl2br w:val="nil"/>
                    <w:tr2bl w:val="nil"/>
                  </w:tcBorders>
                  <w:noWrap w:val="0"/>
                  <w:vAlign w:val="center"/>
                </w:tcPr>
                <w:p w14:paraId="283B463A">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255" w:type="pct"/>
                  <w:tcBorders>
                    <w:tl2br w:val="nil"/>
                    <w:tr2bl w:val="nil"/>
                  </w:tcBorders>
                  <w:noWrap w:val="0"/>
                  <w:vAlign w:val="center"/>
                </w:tcPr>
                <w:p w14:paraId="497C3D8B">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w:t>
                  </w:r>
                </w:p>
              </w:tc>
              <w:tc>
                <w:tcPr>
                  <w:tcW w:w="259" w:type="pct"/>
                  <w:tcBorders>
                    <w:tl2br w:val="nil"/>
                    <w:tr2bl w:val="nil"/>
                  </w:tcBorders>
                  <w:noWrap w:val="0"/>
                  <w:vAlign w:val="center"/>
                </w:tcPr>
                <w:p w14:paraId="11BBD1C6">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w:t>
                  </w:r>
                </w:p>
              </w:tc>
              <w:tc>
                <w:tcPr>
                  <w:tcW w:w="190" w:type="pct"/>
                  <w:tcBorders>
                    <w:tl2br w:val="nil"/>
                    <w:tr2bl w:val="nil"/>
                  </w:tcBorders>
                  <w:noWrap w:val="0"/>
                  <w:vAlign w:val="center"/>
                </w:tcPr>
                <w:p w14:paraId="2ED35B35">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1.2</w:t>
                  </w:r>
                </w:p>
              </w:tc>
              <w:tc>
                <w:tcPr>
                  <w:tcW w:w="316" w:type="pct"/>
                  <w:tcBorders>
                    <w:tl2br w:val="nil"/>
                    <w:tr2bl w:val="nil"/>
                  </w:tcBorders>
                  <w:noWrap w:val="0"/>
                  <w:vAlign w:val="center"/>
                </w:tcPr>
                <w:p w14:paraId="0AC8D651">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w:t>
                  </w:r>
                </w:p>
              </w:tc>
              <w:tc>
                <w:tcPr>
                  <w:tcW w:w="392" w:type="pct"/>
                  <w:tcBorders>
                    <w:tl2br w:val="nil"/>
                    <w:tr2bl w:val="nil"/>
                  </w:tcBorders>
                  <w:noWrap w:val="0"/>
                  <w:vAlign w:val="center"/>
                </w:tcPr>
                <w:p w14:paraId="03E99644">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r>
                    <w:rPr>
                      <w:rFonts w:hint="eastAsia" w:cs="Times New Roman"/>
                      <w:color w:val="auto"/>
                      <w:kern w:val="2"/>
                      <w:sz w:val="21"/>
                      <w:szCs w:val="21"/>
                      <w:highlight w:val="none"/>
                      <w:lang w:val="en-US" w:eastAsia="zh-CN" w:bidi="ar-SA"/>
                    </w:rPr>
                    <w:t>5</w:t>
                  </w:r>
                </w:p>
              </w:tc>
              <w:tc>
                <w:tcPr>
                  <w:tcW w:w="143" w:type="pct"/>
                  <w:tcBorders>
                    <w:tl2br w:val="nil"/>
                    <w:tr2bl w:val="nil"/>
                  </w:tcBorders>
                  <w:noWrap w:val="0"/>
                  <w:vAlign w:val="center"/>
                </w:tcPr>
                <w:p w14:paraId="588B0B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昼</w:t>
                  </w:r>
                </w:p>
              </w:tc>
              <w:tc>
                <w:tcPr>
                  <w:tcW w:w="372" w:type="pct"/>
                  <w:tcBorders>
                    <w:tl2br w:val="nil"/>
                    <w:tr2bl w:val="nil"/>
                  </w:tcBorders>
                  <w:noWrap w:val="0"/>
                  <w:vAlign w:val="center"/>
                </w:tcPr>
                <w:p w14:paraId="0FF23C91">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20</w:t>
                  </w:r>
                </w:p>
              </w:tc>
              <w:tc>
                <w:tcPr>
                  <w:tcW w:w="321" w:type="pct"/>
                  <w:tcBorders>
                    <w:tl2br w:val="nil"/>
                    <w:tr2bl w:val="nil"/>
                  </w:tcBorders>
                  <w:noWrap w:val="0"/>
                  <w:vAlign w:val="center"/>
                </w:tcPr>
                <w:p w14:paraId="55DBE919">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r>
                    <w:rPr>
                      <w:rFonts w:hint="eastAsia" w:cs="Times New Roman"/>
                      <w:color w:val="auto"/>
                      <w:kern w:val="2"/>
                      <w:sz w:val="21"/>
                      <w:szCs w:val="21"/>
                      <w:highlight w:val="none"/>
                      <w:lang w:val="en-US" w:eastAsia="zh-CN" w:bidi="ar-SA"/>
                    </w:rPr>
                    <w:t>5</w:t>
                  </w:r>
                </w:p>
              </w:tc>
              <w:tc>
                <w:tcPr>
                  <w:tcW w:w="302" w:type="pct"/>
                  <w:tcBorders>
                    <w:tl2br w:val="nil"/>
                    <w:tr2bl w:val="nil"/>
                  </w:tcBorders>
                  <w:noWrap w:val="0"/>
                  <w:vAlign w:val="center"/>
                </w:tcPr>
                <w:p w14:paraId="7D764787">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r>
            <w:tr w14:paraId="0D39C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151" w:type="pct"/>
                  <w:tcBorders>
                    <w:tl2br w:val="nil"/>
                    <w:tr2bl w:val="nil"/>
                  </w:tcBorders>
                  <w:noWrap w:val="0"/>
                  <w:vAlign w:val="center"/>
                </w:tcPr>
                <w:p w14:paraId="2F546E86">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6</w:t>
                  </w:r>
                </w:p>
              </w:tc>
              <w:tc>
                <w:tcPr>
                  <w:tcW w:w="133" w:type="pct"/>
                  <w:vMerge w:val="continue"/>
                  <w:tcBorders>
                    <w:tl2br w:val="nil"/>
                    <w:tr2bl w:val="nil"/>
                  </w:tcBorders>
                  <w:noWrap w:val="0"/>
                  <w:vAlign w:val="center"/>
                </w:tcPr>
                <w:p w14:paraId="065B5F5F">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446" w:type="pct"/>
                  <w:tcBorders>
                    <w:tl2br w:val="nil"/>
                    <w:tr2bl w:val="nil"/>
                  </w:tcBorders>
                  <w:noWrap w:val="0"/>
                  <w:vAlign w:val="center"/>
                </w:tcPr>
                <w:p w14:paraId="355041C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冷却</w:t>
                  </w:r>
                  <w:r>
                    <w:rPr>
                      <w:rFonts w:hint="eastAsia" w:ascii="宋体" w:hAnsi="宋体" w:cs="宋体"/>
                      <w:bCs/>
                      <w:color w:val="auto"/>
                      <w:sz w:val="21"/>
                      <w:szCs w:val="21"/>
                      <w:highlight w:val="none"/>
                      <w:lang w:val="en-US" w:eastAsia="zh-CN"/>
                    </w:rPr>
                    <w:t>绞龙</w:t>
                  </w:r>
                </w:p>
              </w:tc>
              <w:tc>
                <w:tcPr>
                  <w:tcW w:w="581" w:type="pct"/>
                  <w:tcBorders>
                    <w:tl2br w:val="nil"/>
                    <w:tr2bl w:val="nil"/>
                  </w:tcBorders>
                  <w:noWrap w:val="0"/>
                  <w:vAlign w:val="center"/>
                </w:tcPr>
                <w:p w14:paraId="7274A603">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w:t>
                  </w:r>
                </w:p>
              </w:tc>
              <w:tc>
                <w:tcPr>
                  <w:tcW w:w="741" w:type="pct"/>
                  <w:tcBorders>
                    <w:tl2br w:val="nil"/>
                    <w:tr2bl w:val="nil"/>
                  </w:tcBorders>
                  <w:noWrap w:val="0"/>
                  <w:vAlign w:val="center"/>
                </w:tcPr>
                <w:p w14:paraId="5155BDA1">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90</w:t>
                  </w:r>
                </w:p>
              </w:tc>
              <w:tc>
                <w:tcPr>
                  <w:tcW w:w="392" w:type="pct"/>
                  <w:vMerge w:val="continue"/>
                  <w:tcBorders>
                    <w:tl2br w:val="nil"/>
                    <w:tr2bl w:val="nil"/>
                  </w:tcBorders>
                  <w:noWrap w:val="0"/>
                  <w:vAlign w:val="center"/>
                </w:tcPr>
                <w:p w14:paraId="5B51F47B">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255" w:type="pct"/>
                  <w:tcBorders>
                    <w:tl2br w:val="nil"/>
                    <w:tr2bl w:val="nil"/>
                  </w:tcBorders>
                  <w:noWrap w:val="0"/>
                  <w:vAlign w:val="center"/>
                </w:tcPr>
                <w:p w14:paraId="0D5BF5DF">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259" w:type="pct"/>
                  <w:tcBorders>
                    <w:tl2br w:val="nil"/>
                    <w:tr2bl w:val="nil"/>
                  </w:tcBorders>
                  <w:noWrap w:val="0"/>
                  <w:vAlign w:val="center"/>
                </w:tcPr>
                <w:p w14:paraId="1354990C">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w:t>
                  </w:r>
                </w:p>
              </w:tc>
              <w:tc>
                <w:tcPr>
                  <w:tcW w:w="190" w:type="pct"/>
                  <w:tcBorders>
                    <w:tl2br w:val="nil"/>
                    <w:tr2bl w:val="nil"/>
                  </w:tcBorders>
                  <w:noWrap w:val="0"/>
                  <w:vAlign w:val="center"/>
                </w:tcPr>
                <w:p w14:paraId="0A6DE9BC">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1.2</w:t>
                  </w:r>
                </w:p>
              </w:tc>
              <w:tc>
                <w:tcPr>
                  <w:tcW w:w="316" w:type="pct"/>
                  <w:tcBorders>
                    <w:tl2br w:val="nil"/>
                    <w:tr2bl w:val="nil"/>
                  </w:tcBorders>
                  <w:noWrap w:val="0"/>
                  <w:vAlign w:val="center"/>
                </w:tcPr>
                <w:p w14:paraId="67146418">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w:t>
                  </w:r>
                </w:p>
              </w:tc>
              <w:tc>
                <w:tcPr>
                  <w:tcW w:w="392" w:type="pct"/>
                  <w:tcBorders>
                    <w:tl2br w:val="nil"/>
                    <w:tr2bl w:val="nil"/>
                  </w:tcBorders>
                  <w:noWrap w:val="0"/>
                  <w:vAlign w:val="center"/>
                </w:tcPr>
                <w:p w14:paraId="29A5FB90">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74</w:t>
                  </w:r>
                </w:p>
              </w:tc>
              <w:tc>
                <w:tcPr>
                  <w:tcW w:w="143" w:type="pct"/>
                  <w:tcBorders>
                    <w:tl2br w:val="nil"/>
                    <w:tr2bl w:val="nil"/>
                  </w:tcBorders>
                  <w:noWrap w:val="0"/>
                  <w:vAlign w:val="center"/>
                </w:tcPr>
                <w:p w14:paraId="08E7ABA1">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昼</w:t>
                  </w:r>
                </w:p>
              </w:tc>
              <w:tc>
                <w:tcPr>
                  <w:tcW w:w="372" w:type="pct"/>
                  <w:tcBorders>
                    <w:tl2br w:val="nil"/>
                    <w:tr2bl w:val="nil"/>
                  </w:tcBorders>
                  <w:noWrap w:val="0"/>
                  <w:vAlign w:val="center"/>
                </w:tcPr>
                <w:p w14:paraId="53684623">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20</w:t>
                  </w:r>
                </w:p>
              </w:tc>
              <w:tc>
                <w:tcPr>
                  <w:tcW w:w="321" w:type="pct"/>
                  <w:tcBorders>
                    <w:tl2br w:val="nil"/>
                    <w:tr2bl w:val="nil"/>
                  </w:tcBorders>
                  <w:noWrap w:val="0"/>
                  <w:vAlign w:val="center"/>
                </w:tcPr>
                <w:p w14:paraId="4BC9AA71">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54</w:t>
                  </w:r>
                </w:p>
              </w:tc>
              <w:tc>
                <w:tcPr>
                  <w:tcW w:w="302" w:type="pct"/>
                  <w:tcBorders>
                    <w:tl2br w:val="nil"/>
                    <w:tr2bl w:val="nil"/>
                  </w:tcBorders>
                  <w:noWrap w:val="0"/>
                  <w:vAlign w:val="center"/>
                </w:tcPr>
                <w:p w14:paraId="01064F59">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r>
            <w:tr w14:paraId="31D95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151" w:type="pct"/>
                  <w:tcBorders>
                    <w:tl2br w:val="nil"/>
                    <w:tr2bl w:val="nil"/>
                  </w:tcBorders>
                  <w:noWrap w:val="0"/>
                  <w:vAlign w:val="center"/>
                </w:tcPr>
                <w:p w14:paraId="1A1239F6">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7</w:t>
                  </w:r>
                </w:p>
              </w:tc>
              <w:tc>
                <w:tcPr>
                  <w:tcW w:w="133" w:type="pct"/>
                  <w:vMerge w:val="continue"/>
                  <w:tcBorders>
                    <w:tl2br w:val="nil"/>
                    <w:tr2bl w:val="nil"/>
                  </w:tcBorders>
                  <w:noWrap w:val="0"/>
                  <w:vAlign w:val="center"/>
                </w:tcPr>
                <w:p w14:paraId="5120DF9C">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446" w:type="pct"/>
                  <w:tcBorders>
                    <w:tl2br w:val="nil"/>
                    <w:tr2bl w:val="nil"/>
                  </w:tcBorders>
                  <w:noWrap w:val="0"/>
                  <w:vAlign w:val="center"/>
                </w:tcPr>
                <w:p w14:paraId="43B1FED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冷却</w:t>
                  </w:r>
                  <w:r>
                    <w:rPr>
                      <w:rFonts w:hint="eastAsia" w:ascii="宋体" w:hAnsi="宋体" w:cs="宋体"/>
                      <w:bCs/>
                      <w:color w:val="auto"/>
                      <w:sz w:val="21"/>
                      <w:szCs w:val="21"/>
                      <w:highlight w:val="none"/>
                      <w:lang w:val="en-US" w:eastAsia="zh-CN"/>
                    </w:rPr>
                    <w:t>绞龙</w:t>
                  </w:r>
                </w:p>
              </w:tc>
              <w:tc>
                <w:tcPr>
                  <w:tcW w:w="581" w:type="pct"/>
                  <w:tcBorders>
                    <w:tl2br w:val="nil"/>
                    <w:tr2bl w:val="nil"/>
                  </w:tcBorders>
                  <w:noWrap w:val="0"/>
                  <w:vAlign w:val="center"/>
                </w:tcPr>
                <w:p w14:paraId="7F2D36D8">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w:t>
                  </w:r>
                </w:p>
              </w:tc>
              <w:tc>
                <w:tcPr>
                  <w:tcW w:w="741" w:type="pct"/>
                  <w:tcBorders>
                    <w:tl2br w:val="nil"/>
                    <w:tr2bl w:val="nil"/>
                  </w:tcBorders>
                  <w:noWrap w:val="0"/>
                  <w:vAlign w:val="center"/>
                </w:tcPr>
                <w:p w14:paraId="51ADB3ED">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90</w:t>
                  </w:r>
                </w:p>
              </w:tc>
              <w:tc>
                <w:tcPr>
                  <w:tcW w:w="392" w:type="pct"/>
                  <w:vMerge w:val="continue"/>
                  <w:tcBorders>
                    <w:tl2br w:val="nil"/>
                    <w:tr2bl w:val="nil"/>
                  </w:tcBorders>
                  <w:noWrap w:val="0"/>
                  <w:vAlign w:val="center"/>
                </w:tcPr>
                <w:p w14:paraId="713801EC">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255" w:type="pct"/>
                  <w:tcBorders>
                    <w:tl2br w:val="nil"/>
                    <w:tr2bl w:val="nil"/>
                  </w:tcBorders>
                  <w:noWrap w:val="0"/>
                  <w:vAlign w:val="center"/>
                </w:tcPr>
                <w:p w14:paraId="5908D3AB">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w:t>
                  </w:r>
                </w:p>
              </w:tc>
              <w:tc>
                <w:tcPr>
                  <w:tcW w:w="259" w:type="pct"/>
                  <w:tcBorders>
                    <w:tl2br w:val="nil"/>
                    <w:tr2bl w:val="nil"/>
                  </w:tcBorders>
                  <w:noWrap w:val="0"/>
                  <w:vAlign w:val="center"/>
                </w:tcPr>
                <w:p w14:paraId="778F61DD">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w:t>
                  </w:r>
                </w:p>
              </w:tc>
              <w:tc>
                <w:tcPr>
                  <w:tcW w:w="190" w:type="pct"/>
                  <w:tcBorders>
                    <w:tl2br w:val="nil"/>
                    <w:tr2bl w:val="nil"/>
                  </w:tcBorders>
                  <w:noWrap w:val="0"/>
                  <w:vAlign w:val="center"/>
                </w:tcPr>
                <w:p w14:paraId="622A54CB">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1.2</w:t>
                  </w:r>
                </w:p>
              </w:tc>
              <w:tc>
                <w:tcPr>
                  <w:tcW w:w="316" w:type="pct"/>
                  <w:tcBorders>
                    <w:tl2br w:val="nil"/>
                    <w:tr2bl w:val="nil"/>
                  </w:tcBorders>
                  <w:noWrap w:val="0"/>
                  <w:vAlign w:val="center"/>
                </w:tcPr>
                <w:p w14:paraId="5036F88C">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w:t>
                  </w:r>
                </w:p>
              </w:tc>
              <w:tc>
                <w:tcPr>
                  <w:tcW w:w="392" w:type="pct"/>
                  <w:tcBorders>
                    <w:tl2br w:val="nil"/>
                    <w:tr2bl w:val="nil"/>
                  </w:tcBorders>
                  <w:noWrap w:val="0"/>
                  <w:vAlign w:val="center"/>
                </w:tcPr>
                <w:p w14:paraId="0DC191E1">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74</w:t>
                  </w:r>
                </w:p>
              </w:tc>
              <w:tc>
                <w:tcPr>
                  <w:tcW w:w="143" w:type="pct"/>
                  <w:tcBorders>
                    <w:tl2br w:val="nil"/>
                    <w:tr2bl w:val="nil"/>
                  </w:tcBorders>
                  <w:noWrap w:val="0"/>
                  <w:vAlign w:val="center"/>
                </w:tcPr>
                <w:p w14:paraId="4329DE0C">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昼</w:t>
                  </w:r>
                </w:p>
              </w:tc>
              <w:tc>
                <w:tcPr>
                  <w:tcW w:w="372" w:type="pct"/>
                  <w:tcBorders>
                    <w:tl2br w:val="nil"/>
                    <w:tr2bl w:val="nil"/>
                  </w:tcBorders>
                  <w:noWrap w:val="0"/>
                  <w:vAlign w:val="center"/>
                </w:tcPr>
                <w:p w14:paraId="3C47C7AD">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20</w:t>
                  </w:r>
                </w:p>
              </w:tc>
              <w:tc>
                <w:tcPr>
                  <w:tcW w:w="321" w:type="pct"/>
                  <w:tcBorders>
                    <w:tl2br w:val="nil"/>
                    <w:tr2bl w:val="nil"/>
                  </w:tcBorders>
                  <w:noWrap w:val="0"/>
                  <w:vAlign w:val="center"/>
                </w:tcPr>
                <w:p w14:paraId="7B6A636A">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54</w:t>
                  </w:r>
                </w:p>
              </w:tc>
              <w:tc>
                <w:tcPr>
                  <w:tcW w:w="302" w:type="pct"/>
                  <w:tcBorders>
                    <w:tl2br w:val="nil"/>
                    <w:tr2bl w:val="nil"/>
                  </w:tcBorders>
                  <w:noWrap w:val="0"/>
                  <w:vAlign w:val="center"/>
                </w:tcPr>
                <w:p w14:paraId="40617400">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r>
            <w:tr w14:paraId="7E781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151" w:type="pct"/>
                  <w:tcBorders>
                    <w:tl2br w:val="nil"/>
                    <w:tr2bl w:val="nil"/>
                  </w:tcBorders>
                  <w:noWrap w:val="0"/>
                  <w:vAlign w:val="center"/>
                </w:tcPr>
                <w:p w14:paraId="35C63A35">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c>
                <w:tcPr>
                  <w:tcW w:w="133" w:type="pct"/>
                  <w:vMerge w:val="continue"/>
                  <w:tcBorders>
                    <w:tl2br w:val="nil"/>
                    <w:tr2bl w:val="nil"/>
                  </w:tcBorders>
                  <w:noWrap w:val="0"/>
                  <w:vAlign w:val="center"/>
                </w:tcPr>
                <w:p w14:paraId="10D60F04">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446" w:type="pct"/>
                  <w:tcBorders>
                    <w:tl2br w:val="nil"/>
                    <w:tr2bl w:val="nil"/>
                  </w:tcBorders>
                  <w:noWrap w:val="0"/>
                  <w:vAlign w:val="center"/>
                </w:tcPr>
                <w:p w14:paraId="2709FBF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冷却</w:t>
                  </w:r>
                  <w:r>
                    <w:rPr>
                      <w:rFonts w:hint="eastAsia" w:ascii="宋体" w:hAnsi="宋体" w:cs="宋体"/>
                      <w:bCs/>
                      <w:color w:val="auto"/>
                      <w:sz w:val="21"/>
                      <w:szCs w:val="21"/>
                      <w:highlight w:val="none"/>
                      <w:lang w:val="en-US" w:eastAsia="zh-CN"/>
                    </w:rPr>
                    <w:t>绞龙</w:t>
                  </w:r>
                </w:p>
              </w:tc>
              <w:tc>
                <w:tcPr>
                  <w:tcW w:w="581" w:type="pct"/>
                  <w:tcBorders>
                    <w:tl2br w:val="nil"/>
                    <w:tr2bl w:val="nil"/>
                  </w:tcBorders>
                  <w:noWrap w:val="0"/>
                  <w:vAlign w:val="center"/>
                </w:tcPr>
                <w:p w14:paraId="7245638B">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w:t>
                  </w:r>
                </w:p>
              </w:tc>
              <w:tc>
                <w:tcPr>
                  <w:tcW w:w="741" w:type="pct"/>
                  <w:tcBorders>
                    <w:tl2br w:val="nil"/>
                    <w:tr2bl w:val="nil"/>
                  </w:tcBorders>
                  <w:noWrap w:val="0"/>
                  <w:vAlign w:val="center"/>
                </w:tcPr>
                <w:p w14:paraId="7438E98F">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90</w:t>
                  </w:r>
                </w:p>
              </w:tc>
              <w:tc>
                <w:tcPr>
                  <w:tcW w:w="392" w:type="pct"/>
                  <w:vMerge w:val="continue"/>
                  <w:tcBorders>
                    <w:tl2br w:val="nil"/>
                    <w:tr2bl w:val="nil"/>
                  </w:tcBorders>
                  <w:noWrap w:val="0"/>
                  <w:vAlign w:val="center"/>
                </w:tcPr>
                <w:p w14:paraId="6467F27F">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255" w:type="pct"/>
                  <w:tcBorders>
                    <w:tl2br w:val="nil"/>
                    <w:tr2bl w:val="nil"/>
                  </w:tcBorders>
                  <w:noWrap w:val="0"/>
                  <w:vAlign w:val="center"/>
                </w:tcPr>
                <w:p w14:paraId="68D15C27">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w:t>
                  </w:r>
                </w:p>
              </w:tc>
              <w:tc>
                <w:tcPr>
                  <w:tcW w:w="259" w:type="pct"/>
                  <w:tcBorders>
                    <w:tl2br w:val="nil"/>
                    <w:tr2bl w:val="nil"/>
                  </w:tcBorders>
                  <w:noWrap w:val="0"/>
                  <w:vAlign w:val="center"/>
                </w:tcPr>
                <w:p w14:paraId="15DD1444">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w:t>
                  </w:r>
                </w:p>
              </w:tc>
              <w:tc>
                <w:tcPr>
                  <w:tcW w:w="190" w:type="pct"/>
                  <w:tcBorders>
                    <w:tl2br w:val="nil"/>
                    <w:tr2bl w:val="nil"/>
                  </w:tcBorders>
                  <w:noWrap w:val="0"/>
                  <w:vAlign w:val="center"/>
                </w:tcPr>
                <w:p w14:paraId="22BFAD89">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1.2</w:t>
                  </w:r>
                </w:p>
              </w:tc>
              <w:tc>
                <w:tcPr>
                  <w:tcW w:w="316" w:type="pct"/>
                  <w:tcBorders>
                    <w:tl2br w:val="nil"/>
                    <w:tr2bl w:val="nil"/>
                  </w:tcBorders>
                  <w:noWrap w:val="0"/>
                  <w:vAlign w:val="center"/>
                </w:tcPr>
                <w:p w14:paraId="71CADD10">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6</w:t>
                  </w:r>
                </w:p>
              </w:tc>
              <w:tc>
                <w:tcPr>
                  <w:tcW w:w="392" w:type="pct"/>
                  <w:tcBorders>
                    <w:tl2br w:val="nil"/>
                    <w:tr2bl w:val="nil"/>
                  </w:tcBorders>
                  <w:noWrap w:val="0"/>
                  <w:vAlign w:val="center"/>
                </w:tcPr>
                <w:p w14:paraId="58473C4C">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74</w:t>
                  </w:r>
                </w:p>
              </w:tc>
              <w:tc>
                <w:tcPr>
                  <w:tcW w:w="143" w:type="pct"/>
                  <w:tcBorders>
                    <w:tl2br w:val="nil"/>
                    <w:tr2bl w:val="nil"/>
                  </w:tcBorders>
                  <w:noWrap w:val="0"/>
                  <w:vAlign w:val="center"/>
                </w:tcPr>
                <w:p w14:paraId="51F41216">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昼</w:t>
                  </w:r>
                </w:p>
              </w:tc>
              <w:tc>
                <w:tcPr>
                  <w:tcW w:w="372" w:type="pct"/>
                  <w:tcBorders>
                    <w:tl2br w:val="nil"/>
                    <w:tr2bl w:val="nil"/>
                  </w:tcBorders>
                  <w:noWrap w:val="0"/>
                  <w:vAlign w:val="center"/>
                </w:tcPr>
                <w:p w14:paraId="695921AB">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20</w:t>
                  </w:r>
                </w:p>
              </w:tc>
              <w:tc>
                <w:tcPr>
                  <w:tcW w:w="321" w:type="pct"/>
                  <w:tcBorders>
                    <w:tl2br w:val="nil"/>
                    <w:tr2bl w:val="nil"/>
                  </w:tcBorders>
                  <w:noWrap w:val="0"/>
                  <w:vAlign w:val="center"/>
                </w:tcPr>
                <w:p w14:paraId="678EA863">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54</w:t>
                  </w:r>
                </w:p>
              </w:tc>
              <w:tc>
                <w:tcPr>
                  <w:tcW w:w="302" w:type="pct"/>
                  <w:tcBorders>
                    <w:tl2br w:val="nil"/>
                    <w:tr2bl w:val="nil"/>
                  </w:tcBorders>
                  <w:noWrap w:val="0"/>
                  <w:vAlign w:val="center"/>
                </w:tcPr>
                <w:p w14:paraId="67DD5139">
                  <w:pPr>
                    <w:pStyle w:val="5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r>
          </w:tbl>
          <w:p w14:paraId="6583A7A5">
            <w:pPr>
              <w:pStyle w:val="6"/>
              <w:widowControl/>
              <w:spacing w:line="480" w:lineRule="exact"/>
              <w:ind w:firstLine="0" w:firstLineChars="0"/>
              <w:jc w:val="both"/>
              <w:rPr>
                <w:rFonts w:hint="default" w:ascii="Times New Roman" w:hAnsi="Times New Roman" w:eastAsia="宋体" w:cs="Times New Roman"/>
                <w:b w:val="0"/>
                <w:bCs/>
                <w:color w:val="auto"/>
                <w:sz w:val="24"/>
                <w:szCs w:val="24"/>
                <w:highlight w:val="none"/>
                <w:lang w:val="en-US" w:eastAsia="zh-CN" w:bidi="ar-SA"/>
              </w:rPr>
            </w:pPr>
            <w:r>
              <w:rPr>
                <w:rFonts w:hint="default" w:ascii="Times New Roman" w:hAnsi="Times New Roman" w:eastAsia="宋体" w:cs="Times New Roman"/>
                <w:b w:val="0"/>
                <w:bCs/>
                <w:color w:val="auto"/>
                <w:sz w:val="24"/>
                <w:szCs w:val="24"/>
                <w:highlight w:val="none"/>
                <w:lang w:val="en-US" w:eastAsia="zh-CN" w:bidi="ar-SA"/>
              </w:rPr>
              <w:t>坐标原点为：</w:t>
            </w:r>
            <w:r>
              <w:rPr>
                <w:rFonts w:hint="eastAsia" w:ascii="Times New Roman" w:hAnsi="Times New Roman" w:eastAsia="宋体" w:cs="Times New Roman"/>
                <w:b w:val="0"/>
                <w:bCs/>
                <w:color w:val="auto"/>
                <w:sz w:val="24"/>
                <w:szCs w:val="24"/>
                <w:highlight w:val="none"/>
                <w:lang w:val="en-US" w:eastAsia="zh-CN" w:bidi="ar-SA"/>
              </w:rPr>
              <w:t>厂界东南角</w:t>
            </w:r>
            <w:r>
              <w:rPr>
                <w:rFonts w:hint="default" w:ascii="Times New Roman" w:hAnsi="Times New Roman" w:eastAsia="宋体" w:cs="Times New Roman"/>
                <w:b w:val="0"/>
                <w:bCs/>
                <w:color w:val="auto"/>
                <w:sz w:val="24"/>
                <w:szCs w:val="24"/>
                <w:highlight w:val="none"/>
                <w:lang w:val="en-US" w:eastAsia="zh-CN" w:bidi="ar-SA"/>
              </w:rPr>
              <w:t>。</w:t>
            </w:r>
          </w:p>
          <w:p w14:paraId="4F603BCE">
            <w:pPr>
              <w:pStyle w:val="6"/>
              <w:widowControl/>
              <w:spacing w:line="480" w:lineRule="exact"/>
              <w:ind w:firstLine="0" w:firstLineChars="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表4-</w:t>
            </w:r>
            <w:r>
              <w:rPr>
                <w:rFonts w:hint="eastAsia" w:eastAsia="宋体" w:cs="Times New Roman"/>
                <w:b/>
                <w:bCs/>
                <w:color w:val="auto"/>
                <w:sz w:val="24"/>
                <w:szCs w:val="24"/>
                <w:highlight w:val="none"/>
                <w:lang w:val="en-US" w:eastAsia="zh-CN"/>
              </w:rPr>
              <w:t>9</w:t>
            </w:r>
            <w:r>
              <w:rPr>
                <w:rFonts w:hint="default" w:ascii="Times New Roman" w:hAnsi="Times New Roman" w:eastAsia="宋体" w:cs="Times New Roman"/>
                <w:b/>
                <w:bCs/>
                <w:color w:val="auto"/>
                <w:sz w:val="24"/>
                <w:szCs w:val="24"/>
                <w:highlight w:val="none"/>
                <w:lang w:val="en-US" w:eastAsia="zh-CN"/>
              </w:rPr>
              <w:t>项目主要噪声源统计表（室外声源）</w:t>
            </w:r>
          </w:p>
          <w:tbl>
            <w:tblPr>
              <w:tblStyle w:val="23"/>
              <w:tblW w:w="4998" w:type="pct"/>
              <w:tblInd w:w="-8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2"/>
              <w:gridCol w:w="1286"/>
              <w:gridCol w:w="819"/>
              <w:gridCol w:w="708"/>
              <w:gridCol w:w="792"/>
              <w:gridCol w:w="1200"/>
              <w:gridCol w:w="1705"/>
              <w:gridCol w:w="919"/>
            </w:tblGrid>
            <w:tr w14:paraId="4DAE58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9" w:type="pct"/>
                  <w:vMerge w:val="restart"/>
                  <w:tcBorders>
                    <w:tl2br w:val="nil"/>
                    <w:tr2bl w:val="nil"/>
                  </w:tcBorders>
                  <w:noWrap w:val="0"/>
                  <w:vAlign w:val="center"/>
                </w:tcPr>
                <w:p w14:paraId="7BAFF678">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序号</w:t>
                  </w:r>
                </w:p>
              </w:tc>
              <w:tc>
                <w:tcPr>
                  <w:tcW w:w="813" w:type="pct"/>
                  <w:vMerge w:val="restart"/>
                  <w:tcBorders>
                    <w:tl2br w:val="nil"/>
                    <w:tr2bl w:val="nil"/>
                  </w:tcBorders>
                  <w:noWrap w:val="0"/>
                  <w:vAlign w:val="center"/>
                </w:tcPr>
                <w:p w14:paraId="5C2CFBB2">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声源名称</w:t>
                  </w:r>
                </w:p>
              </w:tc>
              <w:tc>
                <w:tcPr>
                  <w:tcW w:w="1467" w:type="pct"/>
                  <w:gridSpan w:val="3"/>
                  <w:tcBorders>
                    <w:tl2br w:val="nil"/>
                    <w:tr2bl w:val="nil"/>
                  </w:tcBorders>
                  <w:noWrap w:val="0"/>
                  <w:vAlign w:val="center"/>
                </w:tcPr>
                <w:p w14:paraId="46714475">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空间相对位置/m</w:t>
                  </w:r>
                </w:p>
              </w:tc>
              <w:tc>
                <w:tcPr>
                  <w:tcW w:w="759" w:type="pct"/>
                  <w:vMerge w:val="restart"/>
                  <w:tcBorders>
                    <w:tl2br w:val="nil"/>
                    <w:tr2bl w:val="nil"/>
                  </w:tcBorders>
                  <w:noWrap w:val="0"/>
                  <w:vAlign w:val="center"/>
                </w:tcPr>
                <w:p w14:paraId="637CA93E">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声功率级/dB(A)</w:t>
                  </w:r>
                </w:p>
              </w:tc>
              <w:tc>
                <w:tcPr>
                  <w:tcW w:w="1078" w:type="pct"/>
                  <w:vMerge w:val="restart"/>
                  <w:tcBorders>
                    <w:tl2br w:val="nil"/>
                    <w:tr2bl w:val="nil"/>
                  </w:tcBorders>
                  <w:noWrap w:val="0"/>
                  <w:vAlign w:val="center"/>
                </w:tcPr>
                <w:p w14:paraId="327EBC04">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声源控制措施</w:t>
                  </w:r>
                </w:p>
              </w:tc>
              <w:tc>
                <w:tcPr>
                  <w:tcW w:w="581" w:type="pct"/>
                  <w:vMerge w:val="restart"/>
                  <w:tcBorders>
                    <w:tl2br w:val="nil"/>
                    <w:tr2bl w:val="nil"/>
                  </w:tcBorders>
                  <w:noWrap w:val="0"/>
                  <w:vAlign w:val="center"/>
                </w:tcPr>
                <w:p w14:paraId="2B2472F1">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运行时段</w:t>
                  </w:r>
                </w:p>
              </w:tc>
            </w:tr>
            <w:tr w14:paraId="3B44F7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299" w:type="pct"/>
                  <w:vMerge w:val="continue"/>
                  <w:tcBorders>
                    <w:tl2br w:val="nil"/>
                    <w:tr2bl w:val="nil"/>
                  </w:tcBorders>
                  <w:shd w:val="clear" w:color="auto" w:fill="FFFFFF"/>
                  <w:noWrap w:val="0"/>
                  <w:vAlign w:val="center"/>
                </w:tcPr>
                <w:p w14:paraId="18282E1B">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p>
              </w:tc>
              <w:tc>
                <w:tcPr>
                  <w:tcW w:w="813" w:type="pct"/>
                  <w:vMerge w:val="continue"/>
                  <w:tcBorders>
                    <w:tl2br w:val="nil"/>
                    <w:tr2bl w:val="nil"/>
                  </w:tcBorders>
                  <w:shd w:val="clear" w:color="auto" w:fill="FFFFFF"/>
                  <w:noWrap w:val="0"/>
                  <w:vAlign w:val="center"/>
                </w:tcPr>
                <w:p w14:paraId="3816E909">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p>
              </w:tc>
              <w:tc>
                <w:tcPr>
                  <w:tcW w:w="518" w:type="pct"/>
                  <w:tcBorders>
                    <w:tl2br w:val="nil"/>
                    <w:tr2bl w:val="nil"/>
                  </w:tcBorders>
                  <w:shd w:val="clear" w:color="auto" w:fill="FFFFFF"/>
                  <w:noWrap w:val="0"/>
                  <w:vAlign w:val="center"/>
                </w:tcPr>
                <w:p w14:paraId="2130581A">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X</w:t>
                  </w:r>
                </w:p>
              </w:tc>
              <w:tc>
                <w:tcPr>
                  <w:tcW w:w="448" w:type="pct"/>
                  <w:tcBorders>
                    <w:tl2br w:val="nil"/>
                    <w:tr2bl w:val="nil"/>
                  </w:tcBorders>
                  <w:shd w:val="clear" w:color="auto" w:fill="FFFFFF"/>
                  <w:noWrap w:val="0"/>
                  <w:vAlign w:val="center"/>
                </w:tcPr>
                <w:p w14:paraId="413E362E">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Y</w:t>
                  </w:r>
                </w:p>
              </w:tc>
              <w:tc>
                <w:tcPr>
                  <w:tcW w:w="500" w:type="pct"/>
                  <w:tcBorders>
                    <w:tl2br w:val="nil"/>
                    <w:tr2bl w:val="nil"/>
                  </w:tcBorders>
                  <w:shd w:val="clear" w:color="auto" w:fill="FFFFFF"/>
                  <w:noWrap w:val="0"/>
                  <w:vAlign w:val="center"/>
                </w:tcPr>
                <w:p w14:paraId="4C46AC46">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Z</w:t>
                  </w:r>
                </w:p>
              </w:tc>
              <w:tc>
                <w:tcPr>
                  <w:tcW w:w="759" w:type="pct"/>
                  <w:vMerge w:val="continue"/>
                  <w:tcBorders>
                    <w:tl2br w:val="nil"/>
                    <w:tr2bl w:val="nil"/>
                  </w:tcBorders>
                  <w:shd w:val="clear" w:color="auto" w:fill="FFFFFF"/>
                  <w:noWrap w:val="0"/>
                  <w:vAlign w:val="center"/>
                </w:tcPr>
                <w:p w14:paraId="42158B14">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p>
              </w:tc>
              <w:tc>
                <w:tcPr>
                  <w:tcW w:w="1078" w:type="pct"/>
                  <w:vMerge w:val="continue"/>
                  <w:tcBorders>
                    <w:tl2br w:val="nil"/>
                    <w:tr2bl w:val="nil"/>
                  </w:tcBorders>
                  <w:shd w:val="clear" w:color="auto" w:fill="FFFFFF"/>
                  <w:noWrap w:val="0"/>
                  <w:vAlign w:val="center"/>
                </w:tcPr>
                <w:p w14:paraId="3E2EF91E">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p>
              </w:tc>
              <w:tc>
                <w:tcPr>
                  <w:tcW w:w="581" w:type="pct"/>
                  <w:vMerge w:val="continue"/>
                  <w:tcBorders>
                    <w:tl2br w:val="nil"/>
                    <w:tr2bl w:val="nil"/>
                  </w:tcBorders>
                  <w:shd w:val="clear" w:color="auto" w:fill="FFFFFF"/>
                  <w:noWrap w:val="0"/>
                  <w:vAlign w:val="center"/>
                </w:tcPr>
                <w:p w14:paraId="158E8BCB">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p>
              </w:tc>
            </w:tr>
            <w:tr w14:paraId="32FCF6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19" w:hRule="atLeast"/>
              </w:trPr>
              <w:tc>
                <w:tcPr>
                  <w:tcW w:w="299" w:type="pct"/>
                  <w:tcBorders>
                    <w:tl2br w:val="nil"/>
                    <w:tr2bl w:val="nil"/>
                  </w:tcBorders>
                  <w:shd w:val="clear" w:color="auto" w:fill="FFFFFF"/>
                  <w:noWrap w:val="0"/>
                  <w:vAlign w:val="center"/>
                </w:tcPr>
                <w:p w14:paraId="6B313AF9">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p>
              </w:tc>
              <w:tc>
                <w:tcPr>
                  <w:tcW w:w="813" w:type="pct"/>
                  <w:tcBorders>
                    <w:tl2br w:val="nil"/>
                    <w:tr2bl w:val="nil"/>
                  </w:tcBorders>
                  <w:shd w:val="clear" w:color="auto" w:fill="FFFFFF"/>
                  <w:noWrap w:val="0"/>
                  <w:vAlign w:val="center"/>
                </w:tcPr>
                <w:p w14:paraId="300EDF0C">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除尘器风机</w:t>
                  </w:r>
                </w:p>
              </w:tc>
              <w:tc>
                <w:tcPr>
                  <w:tcW w:w="518" w:type="pct"/>
                  <w:tcBorders>
                    <w:tl2br w:val="nil"/>
                    <w:tr2bl w:val="nil"/>
                  </w:tcBorders>
                  <w:shd w:val="clear" w:color="auto" w:fill="FFFFFF"/>
                  <w:noWrap w:val="0"/>
                  <w:vAlign w:val="center"/>
                </w:tcPr>
                <w:p w14:paraId="487AF935">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8</w:t>
                  </w:r>
                </w:p>
              </w:tc>
              <w:tc>
                <w:tcPr>
                  <w:tcW w:w="448" w:type="pct"/>
                  <w:tcBorders>
                    <w:tl2br w:val="nil"/>
                    <w:tr2bl w:val="nil"/>
                  </w:tcBorders>
                  <w:shd w:val="clear" w:color="auto" w:fill="FFFFFF"/>
                  <w:noWrap w:val="0"/>
                  <w:vAlign w:val="center"/>
                </w:tcPr>
                <w:p w14:paraId="49DEA129">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w:t>
                  </w:r>
                </w:p>
              </w:tc>
              <w:tc>
                <w:tcPr>
                  <w:tcW w:w="500" w:type="pct"/>
                  <w:tcBorders>
                    <w:tl2br w:val="nil"/>
                    <w:tr2bl w:val="nil"/>
                  </w:tcBorders>
                  <w:shd w:val="clear" w:color="auto" w:fill="FFFFFF"/>
                  <w:noWrap w:val="0"/>
                  <w:vAlign w:val="center"/>
                </w:tcPr>
                <w:p w14:paraId="3011258F">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1.2</w:t>
                  </w:r>
                </w:p>
              </w:tc>
              <w:tc>
                <w:tcPr>
                  <w:tcW w:w="759" w:type="pct"/>
                  <w:tcBorders>
                    <w:tl2br w:val="nil"/>
                    <w:tr2bl w:val="nil"/>
                  </w:tcBorders>
                  <w:shd w:val="clear" w:color="auto" w:fill="FFFFFF"/>
                  <w:noWrap w:val="0"/>
                  <w:vAlign w:val="center"/>
                </w:tcPr>
                <w:p w14:paraId="10664C28">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100</w:t>
                  </w:r>
                </w:p>
              </w:tc>
              <w:tc>
                <w:tcPr>
                  <w:tcW w:w="1078" w:type="pct"/>
                  <w:vMerge w:val="restart"/>
                  <w:tcBorders>
                    <w:tl2br w:val="nil"/>
                    <w:tr2bl w:val="nil"/>
                  </w:tcBorders>
                  <w:shd w:val="clear" w:color="auto" w:fill="FFFFFF"/>
                  <w:noWrap w:val="0"/>
                  <w:vAlign w:val="center"/>
                </w:tcPr>
                <w:p w14:paraId="6D31D460">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highlight w:val="none"/>
                      <w:lang w:val="en-US" w:eastAsia="zh-CN"/>
                    </w:rPr>
                    <w:t>选用低噪声设备，基础减振</w:t>
                  </w:r>
                </w:p>
              </w:tc>
              <w:tc>
                <w:tcPr>
                  <w:tcW w:w="581" w:type="pct"/>
                  <w:vMerge w:val="restart"/>
                  <w:tcBorders>
                    <w:tl2br w:val="nil"/>
                    <w:tr2bl w:val="nil"/>
                  </w:tcBorders>
                  <w:shd w:val="clear" w:color="auto" w:fill="FFFFFF"/>
                  <w:noWrap w:val="0"/>
                  <w:vAlign w:val="center"/>
                </w:tcPr>
                <w:p w14:paraId="6E1F16C8">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昼间</w:t>
                  </w:r>
                </w:p>
              </w:tc>
            </w:tr>
            <w:tr w14:paraId="3341E8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trPr>
              <w:tc>
                <w:tcPr>
                  <w:tcW w:w="299" w:type="pct"/>
                  <w:tcBorders>
                    <w:tl2br w:val="nil"/>
                    <w:tr2bl w:val="nil"/>
                  </w:tcBorders>
                  <w:shd w:val="clear" w:color="auto" w:fill="FFFFFF"/>
                  <w:noWrap w:val="0"/>
                  <w:vAlign w:val="center"/>
                </w:tcPr>
                <w:p w14:paraId="78F5449E">
                  <w:pPr>
                    <w:keepNext w:val="0"/>
                    <w:keepLines w:val="0"/>
                    <w:suppressLineNumbers w:val="0"/>
                    <w:snapToGrid w:val="0"/>
                    <w:spacing w:before="0" w:beforeAutospacing="0" w:after="0" w:afterAutospacing="0" w:line="30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c>
                <w:tcPr>
                  <w:tcW w:w="813" w:type="pct"/>
                  <w:tcBorders>
                    <w:tl2br w:val="nil"/>
                    <w:tr2bl w:val="nil"/>
                  </w:tcBorders>
                  <w:shd w:val="clear" w:color="auto" w:fill="FFFFFF"/>
                  <w:noWrap w:val="0"/>
                  <w:vAlign w:val="center"/>
                </w:tcPr>
                <w:p w14:paraId="14E36A75">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除尘器风机</w:t>
                  </w:r>
                </w:p>
              </w:tc>
              <w:tc>
                <w:tcPr>
                  <w:tcW w:w="518" w:type="pct"/>
                  <w:tcBorders>
                    <w:tl2br w:val="nil"/>
                    <w:tr2bl w:val="nil"/>
                  </w:tcBorders>
                  <w:shd w:val="clear" w:color="auto" w:fill="FFFFFF"/>
                  <w:noWrap w:val="0"/>
                  <w:vAlign w:val="center"/>
                </w:tcPr>
                <w:p w14:paraId="515303AB">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w:t>
                  </w:r>
                </w:p>
              </w:tc>
              <w:tc>
                <w:tcPr>
                  <w:tcW w:w="448" w:type="pct"/>
                  <w:tcBorders>
                    <w:tl2br w:val="nil"/>
                    <w:tr2bl w:val="nil"/>
                  </w:tcBorders>
                  <w:shd w:val="clear" w:color="auto" w:fill="FFFFFF"/>
                  <w:noWrap w:val="0"/>
                  <w:vAlign w:val="center"/>
                </w:tcPr>
                <w:p w14:paraId="3822B25B">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w:t>
                  </w:r>
                </w:p>
              </w:tc>
              <w:tc>
                <w:tcPr>
                  <w:tcW w:w="500" w:type="pct"/>
                  <w:tcBorders>
                    <w:tl2br w:val="nil"/>
                    <w:tr2bl w:val="nil"/>
                  </w:tcBorders>
                  <w:shd w:val="clear" w:color="auto" w:fill="FFFFFF"/>
                  <w:noWrap w:val="0"/>
                  <w:vAlign w:val="center"/>
                </w:tcPr>
                <w:p w14:paraId="5B15F3E2">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1.2</w:t>
                  </w:r>
                </w:p>
              </w:tc>
              <w:tc>
                <w:tcPr>
                  <w:tcW w:w="759" w:type="pct"/>
                  <w:tcBorders>
                    <w:tl2br w:val="nil"/>
                    <w:tr2bl w:val="nil"/>
                  </w:tcBorders>
                  <w:shd w:val="clear" w:color="auto" w:fill="FFFFFF"/>
                  <w:noWrap w:val="0"/>
                  <w:vAlign w:val="center"/>
                </w:tcPr>
                <w:p w14:paraId="1FC07598">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100</w:t>
                  </w:r>
                </w:p>
              </w:tc>
              <w:tc>
                <w:tcPr>
                  <w:tcW w:w="1078" w:type="pct"/>
                  <w:vMerge w:val="continue"/>
                  <w:tcBorders>
                    <w:tl2br w:val="nil"/>
                    <w:tr2bl w:val="nil"/>
                  </w:tcBorders>
                  <w:shd w:val="clear" w:color="auto" w:fill="FFFFFF"/>
                  <w:noWrap w:val="0"/>
                  <w:vAlign w:val="center"/>
                </w:tcPr>
                <w:p w14:paraId="2DCDF12B">
                  <w:pPr>
                    <w:keepNext w:val="0"/>
                    <w:keepLines w:val="0"/>
                    <w:suppressLineNumbers w:val="0"/>
                    <w:snapToGrid w:val="0"/>
                    <w:spacing w:before="0" w:beforeAutospacing="0" w:after="0" w:afterAutospacing="0" w:line="300" w:lineRule="exact"/>
                    <w:ind w:left="0" w:right="0"/>
                    <w:jc w:val="center"/>
                    <w:rPr>
                      <w:rFonts w:hint="eastAsia" w:ascii="Times New Roman" w:hAnsi="Times New Roman" w:eastAsia="宋体" w:cs="Times New Roman"/>
                      <w:color w:val="auto"/>
                      <w:highlight w:val="none"/>
                      <w:lang w:val="en-US" w:eastAsia="zh-CN"/>
                    </w:rPr>
                  </w:pPr>
                </w:p>
              </w:tc>
              <w:tc>
                <w:tcPr>
                  <w:tcW w:w="581" w:type="pct"/>
                  <w:vMerge w:val="continue"/>
                  <w:tcBorders>
                    <w:tl2br w:val="nil"/>
                    <w:tr2bl w:val="nil"/>
                  </w:tcBorders>
                  <w:shd w:val="clear" w:color="auto" w:fill="FFFFFF"/>
                  <w:noWrap w:val="0"/>
                  <w:vAlign w:val="center"/>
                </w:tcPr>
                <w:p w14:paraId="40672DEB">
                  <w:pPr>
                    <w:keepNext w:val="0"/>
                    <w:keepLines w:val="0"/>
                    <w:suppressLineNumbers w:val="0"/>
                    <w:snapToGrid w:val="0"/>
                    <w:spacing w:before="0" w:beforeAutospacing="0" w:after="0" w:afterAutospacing="0" w:line="300" w:lineRule="exact"/>
                    <w:ind w:left="0" w:right="0"/>
                    <w:jc w:val="center"/>
                    <w:rPr>
                      <w:rFonts w:hint="eastAsia" w:ascii="Times New Roman" w:hAnsi="Times New Roman" w:eastAsia="宋体" w:cs="Times New Roman"/>
                      <w:color w:val="auto"/>
                      <w:szCs w:val="21"/>
                      <w:highlight w:val="none"/>
                      <w:lang w:val="en-US" w:eastAsia="zh-CN"/>
                    </w:rPr>
                  </w:pPr>
                </w:p>
              </w:tc>
            </w:tr>
          </w:tbl>
          <w:p w14:paraId="7F0A5C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rPr>
              <w:t>（2）噪声源污染防治措施</w:t>
            </w:r>
            <w:r>
              <w:rPr>
                <w:rFonts w:hint="eastAsia" w:ascii="Times New Roman" w:hAnsi="Times New Roman" w:cs="Times New Roman"/>
                <w:color w:val="auto"/>
                <w:sz w:val="24"/>
                <w:szCs w:val="24"/>
                <w:highlight w:val="none"/>
                <w:lang w:val="en-US" w:eastAsia="zh-CN"/>
              </w:rPr>
              <w:t>分析</w:t>
            </w:r>
          </w:p>
          <w:p w14:paraId="5DA66C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default" w:ascii="Segoe UI" w:hAnsi="Segoe UI" w:eastAsia="Segoe UI" w:cs="Segoe UI"/>
                <w:i w:val="0"/>
                <w:iCs w:val="0"/>
                <w:caps w:val="0"/>
                <w:color w:val="auto"/>
                <w:spacing w:val="0"/>
                <w:sz w:val="24"/>
                <w:szCs w:val="24"/>
                <w:highlight w:val="none"/>
                <w:shd w:val="clear" w:color="auto" w:fill="F9FAFB"/>
              </w:rPr>
              <w:t>为最大程度降低项目运行对周边环境的噪声影响，环评提出如下措施：</w:t>
            </w:r>
          </w:p>
          <w:p w14:paraId="4D55A721">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rPr>
            </w:pPr>
            <w:r>
              <w:rPr>
                <w:rFonts w:hint="eastAsia" w:ascii="宋体" w:hAnsi="宋体" w:eastAsia="宋体" w:cs="宋体"/>
                <w:bCs/>
                <w:color w:val="auto"/>
                <w:kern w:val="0"/>
                <w:sz w:val="24"/>
                <w:szCs w:val="24"/>
                <w:lang w:val="en-US" w:eastAsia="zh-CN" w:bidi="ar"/>
              </w:rPr>
              <w:t>①要求运营</w:t>
            </w:r>
            <w:r>
              <w:rPr>
                <w:rFonts w:hint="eastAsia" w:ascii="宋体" w:hAnsi="宋体" w:cs="宋体"/>
                <w:bCs/>
                <w:color w:val="auto"/>
                <w:kern w:val="0"/>
                <w:sz w:val="24"/>
                <w:szCs w:val="24"/>
                <w:lang w:val="en-US" w:eastAsia="zh-CN" w:bidi="ar"/>
              </w:rPr>
              <w:t>期间</w:t>
            </w:r>
            <w:r>
              <w:rPr>
                <w:rFonts w:hint="eastAsia" w:ascii="宋体" w:hAnsi="宋体" w:eastAsia="宋体" w:cs="宋体"/>
                <w:bCs/>
                <w:color w:val="auto"/>
                <w:kern w:val="0"/>
                <w:sz w:val="24"/>
                <w:szCs w:val="24"/>
                <w:lang w:val="en-US" w:eastAsia="zh-CN" w:bidi="ar"/>
              </w:rPr>
              <w:t xml:space="preserve">应加强调度管理，限制车速，夜间禁止生产； </w:t>
            </w:r>
          </w:p>
          <w:p w14:paraId="42DDBA6D">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bCs/>
                <w:color w:val="auto"/>
                <w:kern w:val="0"/>
                <w:sz w:val="24"/>
                <w:szCs w:val="24"/>
                <w:lang w:val="en-US" w:eastAsia="zh-CN" w:bidi="ar"/>
              </w:rPr>
            </w:pPr>
            <w:r>
              <w:rPr>
                <w:rFonts w:hint="eastAsia" w:ascii="宋体" w:hAnsi="宋体" w:eastAsia="宋体" w:cs="宋体"/>
                <w:bCs/>
                <w:color w:val="auto"/>
                <w:kern w:val="0"/>
                <w:sz w:val="24"/>
                <w:szCs w:val="24"/>
                <w:lang w:val="en-US" w:eastAsia="zh-CN" w:bidi="ar"/>
              </w:rPr>
              <w:t>②</w:t>
            </w:r>
            <w:r>
              <w:rPr>
                <w:rFonts w:hint="default" w:ascii="宋体" w:hAnsi="宋体" w:eastAsia="宋体" w:cs="宋体"/>
                <w:color w:val="auto"/>
                <w:sz w:val="24"/>
                <w:szCs w:val="24"/>
              </w:rPr>
              <w:t>优先选用低噪声设备；高噪声设备设置减振底座，管道设置柔性接头，减少固体振动传声；风机类设备配套安装消声器</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减振底座</w:t>
            </w:r>
            <w:r>
              <w:rPr>
                <w:rFonts w:hint="eastAsia" w:ascii="宋体" w:hAnsi="宋体" w:eastAsia="宋体" w:cs="宋体"/>
                <w:color w:val="auto"/>
                <w:sz w:val="24"/>
                <w:szCs w:val="24"/>
                <w:lang w:eastAsia="zh-CN"/>
              </w:rPr>
              <w:t>；</w:t>
            </w:r>
          </w:p>
          <w:p w14:paraId="7CD5B410">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rPr>
            </w:pPr>
            <w:r>
              <w:rPr>
                <w:rFonts w:hint="eastAsia" w:ascii="宋体" w:hAnsi="宋体" w:eastAsia="宋体" w:cs="宋体"/>
                <w:bCs/>
                <w:color w:val="auto"/>
                <w:kern w:val="0"/>
                <w:sz w:val="24"/>
                <w:szCs w:val="24"/>
                <w:lang w:val="en-US" w:eastAsia="zh-CN" w:bidi="ar"/>
              </w:rPr>
              <w:t>③</w:t>
            </w:r>
            <w:r>
              <w:rPr>
                <w:rFonts w:hint="default" w:ascii="宋体" w:hAnsi="宋体" w:eastAsia="宋体" w:cs="宋体"/>
                <w:color w:val="auto"/>
                <w:sz w:val="24"/>
                <w:szCs w:val="24"/>
              </w:rPr>
              <w:t>厂房</w:t>
            </w:r>
            <w:r>
              <w:rPr>
                <w:rFonts w:hint="eastAsia" w:ascii="宋体" w:hAnsi="宋体" w:cs="宋体"/>
                <w:color w:val="auto"/>
                <w:sz w:val="24"/>
                <w:szCs w:val="24"/>
                <w:lang w:val="en-US" w:eastAsia="zh-CN"/>
              </w:rPr>
              <w:t>南</w:t>
            </w:r>
            <w:r>
              <w:rPr>
                <w:rFonts w:hint="default" w:ascii="宋体" w:hAnsi="宋体" w:eastAsia="宋体" w:cs="宋体"/>
                <w:color w:val="auto"/>
                <w:sz w:val="24"/>
                <w:szCs w:val="24"/>
              </w:rPr>
              <w:t>侧内墙设置吸隔声结构，龙骨空腔填充高密度隔声棉</w:t>
            </w:r>
            <w:r>
              <w:rPr>
                <w:rFonts w:hint="eastAsia" w:ascii="宋体" w:hAnsi="宋体" w:eastAsia="宋体" w:cs="宋体"/>
                <w:color w:val="auto"/>
                <w:sz w:val="24"/>
                <w:szCs w:val="24"/>
                <w:lang w:eastAsia="zh-CN"/>
              </w:rPr>
              <w:t>，</w:t>
            </w:r>
            <w:r>
              <w:rPr>
                <w:rFonts w:hint="default" w:ascii="宋体" w:hAnsi="宋体" w:eastAsia="宋体" w:cs="宋体"/>
                <w:color w:val="auto"/>
                <w:sz w:val="24"/>
                <w:szCs w:val="24"/>
              </w:rPr>
              <w:t>西侧门窗采用隔声密闭门窗，生产过程保持关闭，减少墙体透射噪声及缝隙漏声</w:t>
            </w:r>
            <w:r>
              <w:rPr>
                <w:rFonts w:hint="eastAsia" w:ascii="宋体" w:hAnsi="宋体" w:eastAsia="宋体" w:cs="宋体"/>
                <w:color w:val="auto"/>
                <w:sz w:val="24"/>
                <w:szCs w:val="24"/>
                <w:lang w:eastAsia="zh-CN"/>
              </w:rPr>
              <w:t>；</w:t>
            </w:r>
          </w:p>
          <w:p w14:paraId="06F94840">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bCs/>
                <w:color w:val="auto"/>
                <w:kern w:val="0"/>
                <w:sz w:val="24"/>
                <w:szCs w:val="24"/>
                <w:lang w:val="en-US" w:eastAsia="zh-CN" w:bidi="ar"/>
              </w:rPr>
            </w:pPr>
            <w:r>
              <w:rPr>
                <w:rFonts w:hint="default" w:ascii="宋体" w:hAnsi="宋体" w:eastAsia="宋体" w:cs="宋体"/>
                <w:color w:val="auto"/>
                <w:sz w:val="24"/>
                <w:szCs w:val="24"/>
              </w:rPr>
              <w:t>④厂房西厂界内侧种植乔灌结合绿化，辅助衰减噪声；加强设备日常维护保养，保证降噪设施正常运行。</w:t>
            </w:r>
          </w:p>
          <w:p w14:paraId="467E31FC">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cs="宋体"/>
                <w:color w:val="auto"/>
                <w:kern w:val="0"/>
                <w:sz w:val="24"/>
                <w:szCs w:val="24"/>
                <w:lang w:bidi="ar"/>
              </w:rPr>
            </w:pPr>
            <w:r>
              <w:rPr>
                <w:rFonts w:hint="eastAsia" w:ascii="宋体" w:hAnsi="宋体" w:eastAsia="宋体" w:cs="宋体"/>
                <w:bCs/>
                <w:color w:val="auto"/>
                <w:kern w:val="0"/>
                <w:sz w:val="24"/>
                <w:szCs w:val="24"/>
                <w:lang w:val="en-US" w:eastAsia="zh-CN" w:bidi="ar"/>
              </w:rPr>
              <w:fldChar w:fldCharType="begin"/>
            </w:r>
            <w:r>
              <w:rPr>
                <w:rFonts w:hint="eastAsia" w:ascii="宋体" w:hAnsi="宋体" w:eastAsia="宋体" w:cs="宋体"/>
                <w:bCs/>
                <w:color w:val="auto"/>
                <w:kern w:val="0"/>
                <w:sz w:val="24"/>
                <w:szCs w:val="24"/>
                <w:lang w:val="en-US" w:eastAsia="zh-CN" w:bidi="ar"/>
              </w:rPr>
              <w:instrText xml:space="preserve"> = 5 \* GB3 \* MERGEFORMAT </w:instrText>
            </w:r>
            <w:r>
              <w:rPr>
                <w:rFonts w:hint="eastAsia" w:ascii="宋体" w:hAnsi="宋体" w:eastAsia="宋体" w:cs="宋体"/>
                <w:bCs/>
                <w:color w:val="auto"/>
                <w:kern w:val="0"/>
                <w:sz w:val="24"/>
                <w:szCs w:val="24"/>
                <w:lang w:val="en-US" w:eastAsia="zh-CN" w:bidi="ar"/>
              </w:rPr>
              <w:fldChar w:fldCharType="separate"/>
            </w:r>
            <w:r>
              <w:rPr>
                <w:rFonts w:hint="eastAsia" w:ascii="宋体" w:hAnsi="宋体" w:cs="宋体"/>
                <w:color w:val="auto"/>
                <w:kern w:val="0"/>
                <w:sz w:val="24"/>
                <w:szCs w:val="24"/>
                <w:lang w:bidi="ar"/>
              </w:rPr>
              <w:t>⑤</w:t>
            </w:r>
            <w:r>
              <w:rPr>
                <w:rFonts w:hint="eastAsia" w:ascii="宋体" w:hAnsi="宋体" w:eastAsia="宋体" w:cs="宋体"/>
                <w:bCs/>
                <w:color w:val="auto"/>
                <w:kern w:val="0"/>
                <w:sz w:val="24"/>
                <w:szCs w:val="24"/>
                <w:lang w:val="en-US" w:eastAsia="zh-CN" w:bidi="ar"/>
              </w:rPr>
              <w:fldChar w:fldCharType="end"/>
            </w:r>
            <w:r>
              <w:rPr>
                <w:rFonts w:hint="eastAsia" w:ascii="宋体" w:hAnsi="宋体" w:eastAsia="宋体" w:cs="宋体"/>
                <w:bCs/>
                <w:color w:val="auto"/>
                <w:kern w:val="0"/>
                <w:sz w:val="24"/>
                <w:szCs w:val="24"/>
                <w:lang w:val="en-US" w:eastAsia="zh-CN" w:bidi="ar"/>
              </w:rPr>
              <w:t xml:space="preserve">在工作现场，尽量少用哨子、喇叭等指挥作业，减少人为噪声； </w:t>
            </w:r>
          </w:p>
          <w:p w14:paraId="48AA4B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bCs/>
                <w:color w:val="auto"/>
                <w:kern w:val="0"/>
                <w:sz w:val="24"/>
                <w:szCs w:val="24"/>
                <w:lang w:val="en-US" w:eastAsia="zh-CN" w:bidi="ar"/>
              </w:rPr>
            </w:pPr>
            <w:r>
              <w:rPr>
                <w:rFonts w:hint="eastAsia" w:ascii="宋体" w:hAnsi="宋体" w:eastAsia="宋体" w:cs="宋体"/>
                <w:bCs/>
                <w:color w:val="auto"/>
                <w:kern w:val="0"/>
                <w:sz w:val="24"/>
                <w:szCs w:val="24"/>
                <w:lang w:val="en-US" w:eastAsia="zh-CN" w:bidi="ar"/>
              </w:rPr>
              <w:fldChar w:fldCharType="begin"/>
            </w:r>
            <w:r>
              <w:rPr>
                <w:rFonts w:hint="eastAsia" w:ascii="宋体" w:hAnsi="宋体" w:eastAsia="宋体" w:cs="宋体"/>
                <w:bCs/>
                <w:color w:val="auto"/>
                <w:kern w:val="0"/>
                <w:sz w:val="24"/>
                <w:szCs w:val="24"/>
                <w:lang w:val="en-US" w:eastAsia="zh-CN" w:bidi="ar"/>
              </w:rPr>
              <w:instrText xml:space="preserve"> = 6 \* GB3 \* MERGEFORMAT </w:instrText>
            </w:r>
            <w:r>
              <w:rPr>
                <w:rFonts w:hint="eastAsia" w:ascii="宋体" w:hAnsi="宋体" w:eastAsia="宋体" w:cs="宋体"/>
                <w:bCs/>
                <w:color w:val="auto"/>
                <w:kern w:val="0"/>
                <w:sz w:val="24"/>
                <w:szCs w:val="24"/>
                <w:lang w:val="en-US" w:eastAsia="zh-CN" w:bidi="ar"/>
              </w:rPr>
              <w:fldChar w:fldCharType="separate"/>
            </w:r>
            <w:r>
              <w:rPr>
                <w:rFonts w:hint="eastAsia" w:ascii="宋体" w:hAnsi="宋体" w:cs="宋体"/>
                <w:color w:val="auto"/>
                <w:kern w:val="0"/>
                <w:sz w:val="24"/>
                <w:szCs w:val="24"/>
                <w:lang w:bidi="ar"/>
              </w:rPr>
              <w:t>⑥</w:t>
            </w:r>
            <w:r>
              <w:rPr>
                <w:rFonts w:hint="eastAsia" w:ascii="宋体" w:hAnsi="宋体" w:eastAsia="宋体" w:cs="宋体"/>
                <w:bCs/>
                <w:color w:val="auto"/>
                <w:kern w:val="0"/>
                <w:sz w:val="24"/>
                <w:szCs w:val="24"/>
                <w:lang w:val="en-US" w:eastAsia="zh-CN" w:bidi="ar"/>
              </w:rPr>
              <w:fldChar w:fldCharType="end"/>
            </w:r>
            <w:r>
              <w:rPr>
                <w:rFonts w:hint="eastAsia" w:ascii="宋体" w:hAnsi="宋体" w:eastAsia="宋体" w:cs="宋体"/>
                <w:bCs/>
                <w:color w:val="auto"/>
                <w:kern w:val="0"/>
                <w:sz w:val="24"/>
                <w:szCs w:val="24"/>
                <w:lang w:val="en-US" w:eastAsia="zh-CN" w:bidi="ar"/>
              </w:rPr>
              <w:t>运输车辆的运输路线选择周围敏感目标分布少的路线，其次应严格实施运输过程管理，敏感路段应限速，禁止鸣笛，最大限度减少对沿线村庄的影响。</w:t>
            </w:r>
          </w:p>
          <w:p w14:paraId="3004F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（3）噪声影响分析</w:t>
            </w:r>
          </w:p>
          <w:p w14:paraId="6EF3DC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厂界噪声预测</w:t>
            </w:r>
            <w:r>
              <w:rPr>
                <w:rFonts w:hint="default" w:ascii="Times New Roman" w:hAnsi="Times New Roman" w:cs="Times New Roman"/>
                <w:color w:val="auto"/>
                <w:sz w:val="24"/>
                <w:szCs w:val="24"/>
                <w:highlight w:val="none"/>
                <w:lang w:eastAsia="zh-CN"/>
              </w:rPr>
              <w:t>采用《环境影响评价技术导则声环境》</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eastAsia="zh-CN"/>
              </w:rPr>
              <w:t>HJ2.4</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eastAsia="zh-CN"/>
              </w:rPr>
              <w:t>2021</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eastAsia="zh-CN"/>
              </w:rPr>
              <w:t>附录A户外声传播的衰减和附录B中“B.1工业噪声预测计算模型”</w:t>
            </w:r>
            <w:r>
              <w:rPr>
                <w:rFonts w:hint="default" w:ascii="Times New Roman" w:hAnsi="Times New Roman" w:cs="Times New Roman"/>
                <w:color w:val="auto"/>
                <w:sz w:val="24"/>
                <w:szCs w:val="24"/>
                <w:highlight w:val="none"/>
                <w:lang w:val="en-US" w:eastAsia="zh-CN"/>
              </w:rPr>
              <w:t>进行预测，</w:t>
            </w:r>
          </w:p>
          <w:p w14:paraId="41C8732F">
            <w:pPr>
              <w:pStyle w:val="14"/>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由于</w:t>
            </w:r>
            <w:r>
              <w:rPr>
                <w:rFonts w:hint="eastAsia" w:ascii="Times New Roman" w:hAnsi="Times New Roman" w:eastAsia="宋体" w:cs="Times New Roman"/>
                <w:color w:val="auto"/>
                <w:kern w:val="2"/>
                <w:sz w:val="24"/>
                <w:szCs w:val="24"/>
                <w:highlight w:val="none"/>
                <w:vertAlign w:val="baseline"/>
                <w:lang w:val="en-US" w:eastAsia="zh-CN" w:bidi="ar-SA"/>
              </w:rPr>
              <w:t>项目50m范围内无敏</w:t>
            </w:r>
            <w:r>
              <w:rPr>
                <w:rFonts w:hint="eastAsia" w:cs="Times New Roman"/>
                <w:color w:val="auto"/>
                <w:sz w:val="24"/>
                <w:szCs w:val="24"/>
                <w:highlight w:val="none"/>
                <w:lang w:val="en-US" w:eastAsia="zh-CN"/>
              </w:rPr>
              <w:t>感保护目标，</w:t>
            </w:r>
            <w:r>
              <w:rPr>
                <w:rFonts w:hint="eastAsia" w:ascii="Times New Roman" w:hAnsi="Times New Roman" w:eastAsia="宋体" w:cs="Times New Roman"/>
                <w:color w:val="auto"/>
                <w:sz w:val="24"/>
                <w:szCs w:val="24"/>
                <w:highlight w:val="none"/>
                <w:lang w:val="en-US" w:eastAsia="zh-CN"/>
              </w:rPr>
              <w:t>且夜间不生产，</w:t>
            </w:r>
            <w:r>
              <w:rPr>
                <w:rFonts w:hint="eastAsia" w:cs="Times New Roman"/>
                <w:color w:val="auto"/>
                <w:sz w:val="24"/>
                <w:szCs w:val="24"/>
                <w:highlight w:val="none"/>
                <w:lang w:val="en-US" w:eastAsia="zh-CN"/>
              </w:rPr>
              <w:t>因此，本项目只预测营运期昼间各厂界噪声达标情况，详见下表。</w:t>
            </w:r>
          </w:p>
          <w:p w14:paraId="4128D112">
            <w:pPr>
              <w:keepNext w:val="0"/>
              <w:keepLines w:val="0"/>
              <w:pageBreakBefore w:val="0"/>
              <w:widowControl w:val="0"/>
              <w:suppressLineNumbers w:val="0"/>
              <w:tabs>
                <w:tab w:val="left" w:pos="0"/>
              </w:tabs>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baseline"/>
              <w:rPr>
                <w:rFonts w:hint="default" w:ascii="Times New Roman" w:hAnsi="Times New Roman" w:eastAsia="宋体" w:cs="Times New Roman"/>
                <w:b/>
                <w:bCs/>
                <w:color w:val="auto"/>
                <w:spacing w:val="0"/>
                <w:kern w:val="2"/>
                <w:sz w:val="24"/>
                <w:szCs w:val="24"/>
                <w:highlight w:val="none"/>
                <w:lang w:val="en-US" w:eastAsia="zh-CN" w:bidi="ar-SA"/>
              </w:rPr>
            </w:pPr>
            <w:r>
              <w:rPr>
                <w:rFonts w:hint="default" w:ascii="Times New Roman" w:hAnsi="Times New Roman" w:eastAsia="宋体" w:cs="Times New Roman"/>
                <w:b/>
                <w:bCs/>
                <w:color w:val="auto"/>
                <w:spacing w:val="0"/>
                <w:kern w:val="2"/>
                <w:sz w:val="24"/>
                <w:szCs w:val="24"/>
                <w:highlight w:val="none"/>
                <w:lang w:val="en-US" w:eastAsia="zh-CN" w:bidi="ar-SA"/>
              </w:rPr>
              <w:t>表</w:t>
            </w:r>
            <w:r>
              <w:rPr>
                <w:rFonts w:hint="eastAsia" w:ascii="Times New Roman" w:hAnsi="Times New Roman" w:eastAsia="宋体" w:cs="Times New Roman"/>
                <w:b/>
                <w:bCs/>
                <w:color w:val="auto"/>
                <w:spacing w:val="0"/>
                <w:kern w:val="2"/>
                <w:sz w:val="24"/>
                <w:szCs w:val="24"/>
                <w:highlight w:val="none"/>
                <w:lang w:val="en-US" w:eastAsia="zh-CN" w:bidi="ar-SA"/>
              </w:rPr>
              <w:t>4-</w:t>
            </w:r>
            <w:r>
              <w:rPr>
                <w:rFonts w:hint="eastAsia" w:cs="Times New Roman"/>
                <w:b/>
                <w:bCs/>
                <w:color w:val="auto"/>
                <w:spacing w:val="0"/>
                <w:kern w:val="2"/>
                <w:sz w:val="24"/>
                <w:szCs w:val="24"/>
                <w:highlight w:val="none"/>
                <w:lang w:val="en-US" w:eastAsia="zh-CN" w:bidi="ar-SA"/>
              </w:rPr>
              <w:t>10</w:t>
            </w:r>
            <w:r>
              <w:rPr>
                <w:rFonts w:hint="default" w:ascii="Times New Roman" w:hAnsi="Times New Roman" w:eastAsia="宋体" w:cs="Times New Roman"/>
                <w:b/>
                <w:bCs/>
                <w:color w:val="auto"/>
                <w:spacing w:val="0"/>
                <w:kern w:val="2"/>
                <w:sz w:val="24"/>
                <w:szCs w:val="24"/>
                <w:highlight w:val="none"/>
                <w:lang w:val="en-US" w:eastAsia="zh-CN" w:bidi="ar-SA"/>
              </w:rPr>
              <w:t>本项目噪声预测结果</w:t>
            </w:r>
          </w:p>
          <w:tbl>
            <w:tblPr>
              <w:tblStyle w:val="23"/>
              <w:tblW w:w="49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743"/>
              <w:gridCol w:w="743"/>
              <w:gridCol w:w="754"/>
              <w:gridCol w:w="923"/>
              <w:gridCol w:w="1315"/>
              <w:gridCol w:w="1318"/>
              <w:gridCol w:w="988"/>
            </w:tblGrid>
            <w:tr w14:paraId="5970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52" w:type="pct"/>
                  <w:vMerge w:val="restart"/>
                  <w:noWrap w:val="0"/>
                  <w:vAlign w:val="center"/>
                </w:tcPr>
                <w:p w14:paraId="1A6975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color w:val="auto"/>
                      <w:sz w:val="21"/>
                      <w:szCs w:val="21"/>
                      <w:highlight w:val="none"/>
                    </w:rPr>
                    <w:t>预测方位</w:t>
                  </w:r>
                </w:p>
              </w:tc>
              <w:tc>
                <w:tcPr>
                  <w:tcW w:w="1435" w:type="pct"/>
                  <w:gridSpan w:val="3"/>
                  <w:noWrap w:val="0"/>
                  <w:vAlign w:val="center"/>
                </w:tcPr>
                <w:p w14:paraId="250D7B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color w:val="auto"/>
                      <w:sz w:val="21"/>
                      <w:szCs w:val="21"/>
                      <w:highlight w:val="none"/>
                      <w:lang w:val="en-US" w:eastAsia="zh-CN"/>
                    </w:rPr>
                    <w:t>最大值点</w:t>
                  </w:r>
                  <w:r>
                    <w:rPr>
                      <w:rFonts w:hint="default" w:ascii="Times New Roman" w:hAnsi="Times New Roman" w:eastAsia="宋体" w:cs="Times New Roman"/>
                      <w:b/>
                      <w:color w:val="auto"/>
                      <w:sz w:val="21"/>
                      <w:szCs w:val="21"/>
                      <w:highlight w:val="none"/>
                    </w:rPr>
                    <w:t>空间相对位置/m</w:t>
                  </w:r>
                </w:p>
              </w:tc>
              <w:tc>
                <w:tcPr>
                  <w:tcW w:w="591" w:type="pct"/>
                  <w:vMerge w:val="restart"/>
                  <w:noWrap w:val="0"/>
                  <w:vAlign w:val="center"/>
                </w:tcPr>
                <w:p w14:paraId="34762F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color w:val="auto"/>
                      <w:sz w:val="21"/>
                      <w:szCs w:val="21"/>
                      <w:highlight w:val="none"/>
                    </w:rPr>
                    <w:t>时段</w:t>
                  </w:r>
                </w:p>
              </w:tc>
              <w:tc>
                <w:tcPr>
                  <w:tcW w:w="842" w:type="pct"/>
                  <w:vMerge w:val="restart"/>
                  <w:noWrap w:val="0"/>
                  <w:vAlign w:val="center"/>
                </w:tcPr>
                <w:p w14:paraId="4B796A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color w:val="auto"/>
                      <w:sz w:val="21"/>
                      <w:szCs w:val="21"/>
                      <w:highlight w:val="none"/>
                    </w:rPr>
                    <w:t>贡献值（dB(A)）</w:t>
                  </w:r>
                </w:p>
              </w:tc>
              <w:tc>
                <w:tcPr>
                  <w:tcW w:w="844" w:type="pct"/>
                  <w:vMerge w:val="restart"/>
                  <w:noWrap w:val="0"/>
                  <w:vAlign w:val="center"/>
                </w:tcPr>
                <w:p w14:paraId="41B60C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color w:val="auto"/>
                      <w:sz w:val="21"/>
                      <w:szCs w:val="21"/>
                      <w:highlight w:val="none"/>
                    </w:rPr>
                    <w:t>标准限值（dB(A)）</w:t>
                  </w:r>
                </w:p>
              </w:tc>
              <w:tc>
                <w:tcPr>
                  <w:tcW w:w="633" w:type="pct"/>
                  <w:vMerge w:val="restart"/>
                  <w:noWrap w:val="0"/>
                  <w:vAlign w:val="center"/>
                </w:tcPr>
                <w:p w14:paraId="312706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达标</w:t>
                  </w:r>
                </w:p>
                <w:p w14:paraId="546047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color w:val="auto"/>
                      <w:sz w:val="21"/>
                      <w:szCs w:val="21"/>
                      <w:highlight w:val="none"/>
                    </w:rPr>
                    <w:t>情况</w:t>
                  </w:r>
                </w:p>
              </w:tc>
            </w:tr>
            <w:tr w14:paraId="2592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52" w:type="pct"/>
                  <w:vMerge w:val="continue"/>
                  <w:shd w:val="clear" w:color="auto" w:fill="FFFFFF"/>
                  <w:noWrap w:val="0"/>
                  <w:vAlign w:val="center"/>
                </w:tcPr>
                <w:p w14:paraId="73B932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p>
              </w:tc>
              <w:tc>
                <w:tcPr>
                  <w:tcW w:w="476" w:type="pct"/>
                  <w:shd w:val="clear" w:color="auto" w:fill="auto"/>
                  <w:noWrap w:val="0"/>
                  <w:vAlign w:val="center"/>
                </w:tcPr>
                <w:p w14:paraId="7F1C53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X</w:t>
                  </w:r>
                </w:p>
              </w:tc>
              <w:tc>
                <w:tcPr>
                  <w:tcW w:w="476" w:type="pct"/>
                  <w:shd w:val="clear" w:color="auto" w:fill="auto"/>
                  <w:noWrap w:val="0"/>
                  <w:vAlign w:val="center"/>
                </w:tcPr>
                <w:p w14:paraId="645BB7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Y</w:t>
                  </w:r>
                </w:p>
              </w:tc>
              <w:tc>
                <w:tcPr>
                  <w:tcW w:w="483" w:type="pct"/>
                  <w:shd w:val="clear" w:color="auto" w:fill="auto"/>
                  <w:noWrap w:val="0"/>
                  <w:vAlign w:val="center"/>
                </w:tcPr>
                <w:p w14:paraId="677AD8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Z</w:t>
                  </w:r>
                </w:p>
              </w:tc>
              <w:tc>
                <w:tcPr>
                  <w:tcW w:w="591" w:type="pct"/>
                  <w:vMerge w:val="continue"/>
                  <w:shd w:val="clear" w:color="auto" w:fill="FFFFFF"/>
                  <w:noWrap w:val="0"/>
                  <w:vAlign w:val="center"/>
                </w:tcPr>
                <w:p w14:paraId="100355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p>
              </w:tc>
              <w:tc>
                <w:tcPr>
                  <w:tcW w:w="842" w:type="pct"/>
                  <w:vMerge w:val="continue"/>
                  <w:shd w:val="clear" w:color="auto" w:fill="FFFFFF"/>
                  <w:noWrap w:val="0"/>
                  <w:vAlign w:val="center"/>
                </w:tcPr>
                <w:p w14:paraId="1EB1CB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p>
              </w:tc>
              <w:tc>
                <w:tcPr>
                  <w:tcW w:w="844" w:type="pct"/>
                  <w:vMerge w:val="continue"/>
                  <w:shd w:val="clear" w:color="auto" w:fill="FFFFFF"/>
                  <w:noWrap w:val="0"/>
                  <w:vAlign w:val="center"/>
                </w:tcPr>
                <w:p w14:paraId="0BB1BF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p>
              </w:tc>
              <w:tc>
                <w:tcPr>
                  <w:tcW w:w="633" w:type="pct"/>
                  <w:vMerge w:val="continue"/>
                  <w:shd w:val="clear" w:color="auto" w:fill="FFFFFF"/>
                  <w:noWrap w:val="0"/>
                  <w:vAlign w:val="center"/>
                </w:tcPr>
                <w:p w14:paraId="25CBE8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p>
              </w:tc>
            </w:tr>
            <w:tr w14:paraId="30A9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96" w:hRule="atLeast"/>
                <w:jc w:val="center"/>
              </w:trPr>
              <w:tc>
                <w:tcPr>
                  <w:tcW w:w="652" w:type="pct"/>
                  <w:shd w:val="clear" w:color="auto" w:fill="auto"/>
                  <w:noWrap w:val="0"/>
                  <w:vAlign w:val="center"/>
                </w:tcPr>
                <w:p w14:paraId="160AE1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东</w:t>
                  </w:r>
                  <w:r>
                    <w:rPr>
                      <w:rFonts w:hint="default" w:ascii="Times New Roman" w:hAnsi="Times New Roman" w:eastAsia="宋体" w:cs="Times New Roman"/>
                      <w:color w:val="auto"/>
                      <w:sz w:val="21"/>
                      <w:szCs w:val="21"/>
                      <w:highlight w:val="none"/>
                      <w:lang w:val="en-US" w:eastAsia="zh-CN"/>
                    </w:rPr>
                    <w:t>边界</w:t>
                  </w:r>
                </w:p>
              </w:tc>
              <w:tc>
                <w:tcPr>
                  <w:tcW w:w="476" w:type="pct"/>
                  <w:shd w:val="clear" w:color="auto" w:fill="auto"/>
                  <w:noWrap w:val="0"/>
                  <w:vAlign w:val="center"/>
                </w:tcPr>
                <w:p w14:paraId="2DA336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47</w:t>
                  </w:r>
                </w:p>
              </w:tc>
              <w:tc>
                <w:tcPr>
                  <w:tcW w:w="476" w:type="pct"/>
                  <w:shd w:val="clear" w:color="auto" w:fill="auto"/>
                  <w:noWrap w:val="0"/>
                  <w:vAlign w:val="center"/>
                </w:tcPr>
                <w:p w14:paraId="52DA6C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483" w:type="pct"/>
                  <w:shd w:val="clear" w:color="auto" w:fill="auto"/>
                  <w:noWrap w:val="0"/>
                  <w:vAlign w:val="center"/>
                </w:tcPr>
                <w:p w14:paraId="4C1627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w:t>
                  </w:r>
                </w:p>
              </w:tc>
              <w:tc>
                <w:tcPr>
                  <w:tcW w:w="591" w:type="pct"/>
                  <w:shd w:val="clear" w:color="auto" w:fill="auto"/>
                  <w:noWrap w:val="0"/>
                  <w:vAlign w:val="center"/>
                </w:tcPr>
                <w:p w14:paraId="64EF04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842" w:type="pct"/>
                  <w:shd w:val="clear" w:color="auto" w:fill="auto"/>
                  <w:noWrap w:val="0"/>
                  <w:vAlign w:val="center"/>
                </w:tcPr>
                <w:p w14:paraId="1B7C79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05" w:leftChars="-50" w:right="-105" w:rightChars="-5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50.56</w:t>
                  </w:r>
                </w:p>
              </w:tc>
              <w:tc>
                <w:tcPr>
                  <w:tcW w:w="844" w:type="pct"/>
                  <w:shd w:val="clear" w:color="auto" w:fill="auto"/>
                  <w:noWrap w:val="0"/>
                  <w:vAlign w:val="center"/>
                </w:tcPr>
                <w:p w14:paraId="45C3A3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633" w:type="pct"/>
                  <w:shd w:val="clear" w:color="auto" w:fill="auto"/>
                  <w:noWrap w:val="0"/>
                  <w:vAlign w:val="center"/>
                </w:tcPr>
                <w:p w14:paraId="0AE6EF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5945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96" w:hRule="atLeast"/>
                <w:jc w:val="center"/>
              </w:trPr>
              <w:tc>
                <w:tcPr>
                  <w:tcW w:w="652" w:type="pct"/>
                  <w:shd w:val="clear" w:color="auto" w:fill="auto"/>
                  <w:noWrap w:val="0"/>
                  <w:vAlign w:val="center"/>
                </w:tcPr>
                <w:p w14:paraId="2645A3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南</w:t>
                  </w:r>
                  <w:r>
                    <w:rPr>
                      <w:rFonts w:hint="default" w:ascii="Times New Roman" w:hAnsi="Times New Roman" w:eastAsia="宋体" w:cs="Times New Roman"/>
                      <w:color w:val="auto"/>
                      <w:sz w:val="21"/>
                      <w:szCs w:val="21"/>
                      <w:highlight w:val="none"/>
                      <w:lang w:val="en-US" w:eastAsia="zh-CN"/>
                    </w:rPr>
                    <w:t>边界</w:t>
                  </w:r>
                </w:p>
              </w:tc>
              <w:tc>
                <w:tcPr>
                  <w:tcW w:w="476" w:type="pct"/>
                  <w:shd w:val="clear" w:color="auto" w:fill="auto"/>
                  <w:noWrap w:val="0"/>
                  <w:vAlign w:val="center"/>
                </w:tcPr>
                <w:p w14:paraId="3A0D50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w:t>
                  </w:r>
                </w:p>
              </w:tc>
              <w:tc>
                <w:tcPr>
                  <w:tcW w:w="476" w:type="pct"/>
                  <w:shd w:val="clear" w:color="auto" w:fill="auto"/>
                  <w:noWrap w:val="0"/>
                  <w:vAlign w:val="center"/>
                </w:tcPr>
                <w:p w14:paraId="5A599A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483" w:type="pct"/>
                  <w:shd w:val="clear" w:color="auto" w:fill="auto"/>
                  <w:noWrap w:val="0"/>
                  <w:vAlign w:val="center"/>
                </w:tcPr>
                <w:p w14:paraId="3D29D2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w:t>
                  </w:r>
                </w:p>
              </w:tc>
              <w:tc>
                <w:tcPr>
                  <w:tcW w:w="591" w:type="pct"/>
                  <w:shd w:val="clear" w:color="auto" w:fill="auto"/>
                  <w:noWrap w:val="0"/>
                  <w:vAlign w:val="center"/>
                </w:tcPr>
                <w:p w14:paraId="61C62E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842" w:type="pct"/>
                  <w:shd w:val="clear" w:color="auto" w:fill="auto"/>
                  <w:noWrap w:val="0"/>
                  <w:vAlign w:val="center"/>
                </w:tcPr>
                <w:p w14:paraId="305FEE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05" w:leftChars="-50" w:right="-105" w:rightChars="-5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58.77</w:t>
                  </w:r>
                </w:p>
              </w:tc>
              <w:tc>
                <w:tcPr>
                  <w:tcW w:w="844" w:type="pct"/>
                  <w:shd w:val="clear" w:color="auto" w:fill="auto"/>
                  <w:noWrap w:val="0"/>
                  <w:vAlign w:val="center"/>
                </w:tcPr>
                <w:p w14:paraId="05604A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633" w:type="pct"/>
                  <w:shd w:val="clear" w:color="auto" w:fill="auto"/>
                  <w:noWrap w:val="0"/>
                  <w:vAlign w:val="center"/>
                </w:tcPr>
                <w:p w14:paraId="320935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3C4FC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96" w:hRule="atLeast"/>
                <w:jc w:val="center"/>
              </w:trPr>
              <w:tc>
                <w:tcPr>
                  <w:tcW w:w="652" w:type="pct"/>
                  <w:shd w:val="clear" w:color="auto" w:fill="auto"/>
                  <w:noWrap w:val="0"/>
                  <w:vAlign w:val="center"/>
                </w:tcPr>
                <w:p w14:paraId="3D6D6B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西</w:t>
                  </w:r>
                  <w:r>
                    <w:rPr>
                      <w:rFonts w:hint="default" w:ascii="Times New Roman" w:hAnsi="Times New Roman" w:eastAsia="宋体" w:cs="Times New Roman"/>
                      <w:color w:val="auto"/>
                      <w:sz w:val="21"/>
                      <w:szCs w:val="21"/>
                      <w:highlight w:val="none"/>
                      <w:lang w:val="en-US" w:eastAsia="zh-CN"/>
                    </w:rPr>
                    <w:t>边界</w:t>
                  </w:r>
                </w:p>
              </w:tc>
              <w:tc>
                <w:tcPr>
                  <w:tcW w:w="476" w:type="pct"/>
                  <w:shd w:val="clear" w:color="auto" w:fill="auto"/>
                  <w:noWrap w:val="0"/>
                  <w:vAlign w:val="center"/>
                </w:tcPr>
                <w:p w14:paraId="58D28A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476" w:type="pct"/>
                  <w:shd w:val="clear" w:color="auto" w:fill="auto"/>
                  <w:noWrap w:val="0"/>
                  <w:vAlign w:val="center"/>
                </w:tcPr>
                <w:p w14:paraId="3A950E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483" w:type="pct"/>
                  <w:shd w:val="clear" w:color="auto" w:fill="auto"/>
                  <w:noWrap w:val="0"/>
                  <w:vAlign w:val="center"/>
                </w:tcPr>
                <w:p w14:paraId="4FF1DA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w:t>
                  </w:r>
                </w:p>
              </w:tc>
              <w:tc>
                <w:tcPr>
                  <w:tcW w:w="591" w:type="pct"/>
                  <w:shd w:val="clear" w:color="auto" w:fill="auto"/>
                  <w:noWrap w:val="0"/>
                  <w:vAlign w:val="center"/>
                </w:tcPr>
                <w:p w14:paraId="37541D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842" w:type="pct"/>
                  <w:shd w:val="clear" w:color="auto" w:fill="auto"/>
                  <w:noWrap w:val="0"/>
                  <w:vAlign w:val="center"/>
                </w:tcPr>
                <w:p w14:paraId="684C3B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05" w:leftChars="-50" w:right="-105" w:rightChars="-5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55.24</w:t>
                  </w:r>
                </w:p>
              </w:tc>
              <w:tc>
                <w:tcPr>
                  <w:tcW w:w="844" w:type="pct"/>
                  <w:shd w:val="clear" w:color="auto" w:fill="auto"/>
                  <w:noWrap w:val="0"/>
                  <w:vAlign w:val="center"/>
                </w:tcPr>
                <w:p w14:paraId="0BE407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633" w:type="pct"/>
                  <w:shd w:val="clear" w:color="auto" w:fill="auto"/>
                  <w:noWrap w:val="0"/>
                  <w:vAlign w:val="center"/>
                </w:tcPr>
                <w:p w14:paraId="1E6616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4115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96" w:hRule="atLeast"/>
                <w:jc w:val="center"/>
              </w:trPr>
              <w:tc>
                <w:tcPr>
                  <w:tcW w:w="652" w:type="pct"/>
                  <w:shd w:val="clear" w:color="auto" w:fill="auto"/>
                  <w:noWrap w:val="0"/>
                  <w:vAlign w:val="center"/>
                </w:tcPr>
                <w:p w14:paraId="4D610E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北</w:t>
                  </w:r>
                  <w:r>
                    <w:rPr>
                      <w:rFonts w:hint="default" w:ascii="Times New Roman" w:hAnsi="Times New Roman" w:eastAsia="宋体" w:cs="Times New Roman"/>
                      <w:color w:val="auto"/>
                      <w:sz w:val="21"/>
                      <w:szCs w:val="21"/>
                      <w:highlight w:val="none"/>
                      <w:lang w:val="en-US" w:eastAsia="zh-CN"/>
                    </w:rPr>
                    <w:t>边界</w:t>
                  </w:r>
                </w:p>
              </w:tc>
              <w:tc>
                <w:tcPr>
                  <w:tcW w:w="476" w:type="pct"/>
                  <w:shd w:val="clear" w:color="auto" w:fill="FFFFFF"/>
                  <w:noWrap w:val="0"/>
                  <w:vAlign w:val="center"/>
                </w:tcPr>
                <w:p w14:paraId="178CCAF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30</w:t>
                  </w:r>
                </w:p>
              </w:tc>
              <w:tc>
                <w:tcPr>
                  <w:tcW w:w="476" w:type="pct"/>
                  <w:shd w:val="clear" w:color="auto" w:fill="FFFFFF"/>
                  <w:noWrap w:val="0"/>
                  <w:vAlign w:val="center"/>
                </w:tcPr>
                <w:p w14:paraId="0F954629">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30</w:t>
                  </w:r>
                </w:p>
              </w:tc>
              <w:tc>
                <w:tcPr>
                  <w:tcW w:w="483" w:type="pct"/>
                  <w:shd w:val="clear" w:color="auto" w:fill="auto"/>
                  <w:noWrap w:val="0"/>
                  <w:vAlign w:val="center"/>
                </w:tcPr>
                <w:p w14:paraId="285309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w:t>
                  </w:r>
                </w:p>
              </w:tc>
              <w:tc>
                <w:tcPr>
                  <w:tcW w:w="591" w:type="pct"/>
                  <w:shd w:val="clear" w:color="auto" w:fill="auto"/>
                  <w:noWrap w:val="0"/>
                  <w:vAlign w:val="center"/>
                </w:tcPr>
                <w:p w14:paraId="0D5B54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842" w:type="pct"/>
                  <w:shd w:val="clear" w:color="auto" w:fill="auto"/>
                  <w:noWrap w:val="0"/>
                  <w:vAlign w:val="center"/>
                </w:tcPr>
                <w:p w14:paraId="5F0E1D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05" w:leftChars="-50" w:right="-105" w:rightChars="-5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48.54</w:t>
                  </w:r>
                </w:p>
              </w:tc>
              <w:tc>
                <w:tcPr>
                  <w:tcW w:w="844" w:type="pct"/>
                  <w:shd w:val="clear" w:color="auto" w:fill="auto"/>
                  <w:noWrap w:val="0"/>
                  <w:vAlign w:val="center"/>
                </w:tcPr>
                <w:p w14:paraId="44E3B7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633" w:type="pct"/>
                  <w:shd w:val="clear" w:color="auto" w:fill="auto"/>
                  <w:noWrap w:val="0"/>
                  <w:vAlign w:val="center"/>
                </w:tcPr>
                <w:p w14:paraId="7D12F4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bl>
          <w:p w14:paraId="2BBA9D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cs="Times New Roman"/>
                <w:color w:val="auto"/>
                <w:kern w:val="0"/>
                <w:sz w:val="24"/>
                <w:szCs w:val="24"/>
                <w:highlight w:val="none"/>
                <w:lang w:val="en-US" w:eastAsia="zh-CN" w:bidi="ar"/>
              </w:rPr>
              <w:t>根据预测结果，</w:t>
            </w:r>
            <w:r>
              <w:rPr>
                <w:rFonts w:hint="default" w:ascii="Times New Roman" w:hAnsi="Times New Roman" w:eastAsia="宋体" w:cs="Times New Roman"/>
                <w:color w:val="auto"/>
                <w:kern w:val="0"/>
                <w:sz w:val="24"/>
                <w:szCs w:val="24"/>
                <w:highlight w:val="none"/>
                <w:lang w:val="en-US" w:eastAsia="zh-CN" w:bidi="ar"/>
              </w:rPr>
              <w:t>厂界噪声</w:t>
            </w:r>
            <w:r>
              <w:rPr>
                <w:rFonts w:hint="eastAsia" w:ascii="Times New Roman" w:hAnsi="Times New Roman" w:cs="Times New Roman"/>
                <w:color w:val="auto"/>
                <w:kern w:val="0"/>
                <w:sz w:val="24"/>
                <w:szCs w:val="24"/>
                <w:highlight w:val="none"/>
                <w:lang w:val="en-US" w:eastAsia="zh-CN" w:bidi="ar"/>
              </w:rPr>
              <w:t>贡献值能够</w:t>
            </w:r>
            <w:r>
              <w:rPr>
                <w:rFonts w:hint="default" w:ascii="Times New Roman" w:hAnsi="Times New Roman" w:eastAsia="宋体" w:cs="Times New Roman"/>
                <w:color w:val="auto"/>
                <w:kern w:val="0"/>
                <w:sz w:val="24"/>
                <w:szCs w:val="24"/>
                <w:highlight w:val="none"/>
                <w:lang w:val="en-US" w:eastAsia="zh-CN" w:bidi="ar"/>
              </w:rPr>
              <w:t>达到《工业企业厂界环境噪声排放标准》（GB12348-2008）中</w:t>
            </w:r>
            <w:r>
              <w:rPr>
                <w:rFonts w:hint="eastAsia" w:ascii="Times New Roman" w:hAnsi="Times New Roman" w:cs="Times New Roman"/>
                <w:color w:val="auto"/>
                <w:kern w:val="0"/>
                <w:sz w:val="24"/>
                <w:szCs w:val="24"/>
                <w:highlight w:val="none"/>
                <w:lang w:val="en-US" w:eastAsia="zh-CN" w:bidi="ar"/>
              </w:rPr>
              <w:t>2</w:t>
            </w:r>
            <w:r>
              <w:rPr>
                <w:rFonts w:hint="default" w:ascii="Times New Roman" w:hAnsi="Times New Roman" w:eastAsia="宋体" w:cs="Times New Roman"/>
                <w:color w:val="auto"/>
                <w:kern w:val="0"/>
                <w:sz w:val="24"/>
                <w:szCs w:val="24"/>
                <w:highlight w:val="none"/>
                <w:lang w:val="en-US" w:eastAsia="zh-CN" w:bidi="ar"/>
              </w:rPr>
              <w:t>类标准。</w:t>
            </w:r>
          </w:p>
          <w:p w14:paraId="61B09F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本项目运营期在采取环评规定的噪声治理措施后，厂界噪声达标，对周围环境影响较小。</w:t>
            </w:r>
          </w:p>
          <w:p w14:paraId="07D5A9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lang w:eastAsia="zh-CN"/>
              </w:rPr>
            </w:pPr>
            <w:r>
              <w:rPr>
                <w:rFonts w:hint="default" w:ascii="宋体" w:hAnsi="宋体" w:eastAsia="宋体" w:cs="宋体"/>
                <w:color w:val="auto"/>
                <w:sz w:val="24"/>
                <w:szCs w:val="24"/>
                <w:highlight w:val="none"/>
              </w:rPr>
              <w:t>本次评价提出交通运输噪声污染防治措施如下：</w:t>
            </w:r>
          </w:p>
          <w:p w14:paraId="56ACED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lang w:eastAsia="zh-CN"/>
              </w:rPr>
            </w:pPr>
            <w:r>
              <w:rPr>
                <w:rFonts w:hint="default" w:ascii="宋体" w:hAnsi="宋体" w:eastAsia="宋体" w:cs="宋体"/>
                <w:color w:val="auto"/>
                <w:sz w:val="24"/>
                <w:szCs w:val="24"/>
                <w:highlight w:val="none"/>
              </w:rPr>
              <w:t>①禁止使用超过规定噪声限值的运输汽车；</w:t>
            </w:r>
          </w:p>
          <w:p w14:paraId="4C505F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lang w:eastAsia="zh-CN"/>
              </w:rPr>
            </w:pPr>
            <w:r>
              <w:rPr>
                <w:rFonts w:hint="default" w:ascii="宋体" w:hAnsi="宋体" w:eastAsia="宋体" w:cs="宋体"/>
                <w:color w:val="auto"/>
                <w:sz w:val="24"/>
                <w:szCs w:val="24"/>
                <w:highlight w:val="none"/>
              </w:rPr>
              <w:t>②运输车辆的消声器和喇叭必须符合国家规定的要求。运输车辆必须加强维修和保养，保持技术性能良好；</w:t>
            </w:r>
          </w:p>
          <w:p w14:paraId="2D15379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eastAsia="宋体" w:cs="Times New Roman"/>
                <w:color w:val="auto"/>
                <w:kern w:val="0"/>
                <w:sz w:val="24"/>
                <w:szCs w:val="24"/>
                <w:highlight w:val="none"/>
                <w:lang w:val="en-US" w:eastAsia="zh-CN" w:bidi="ar"/>
              </w:rPr>
              <w:t>（</w:t>
            </w:r>
            <w:r>
              <w:rPr>
                <w:rFonts w:hint="eastAsia" w:ascii="Times New Roman" w:hAnsi="Times New Roman" w:cs="Times New Roman"/>
                <w:color w:val="auto"/>
                <w:kern w:val="0"/>
                <w:sz w:val="24"/>
                <w:szCs w:val="24"/>
                <w:highlight w:val="none"/>
                <w:lang w:val="en-US" w:eastAsia="zh-CN" w:bidi="ar"/>
              </w:rPr>
              <w:t>4</w:t>
            </w:r>
            <w:r>
              <w:rPr>
                <w:rFonts w:hint="eastAsia" w:ascii="Times New Roman" w:hAnsi="Times New Roman" w:eastAsia="宋体" w:cs="Times New Roman"/>
                <w:color w:val="auto"/>
                <w:kern w:val="0"/>
                <w:sz w:val="24"/>
                <w:szCs w:val="24"/>
                <w:highlight w:val="none"/>
                <w:lang w:val="en-US" w:eastAsia="zh-CN" w:bidi="ar"/>
              </w:rPr>
              <w:t>）噪声监测计划</w:t>
            </w:r>
          </w:p>
          <w:p w14:paraId="1DA0C2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eastAsia" w:ascii="Times New Roman" w:hAnsi="Times New Roman" w:cs="Times New Roman"/>
                <w:color w:val="auto"/>
                <w:sz w:val="24"/>
                <w:szCs w:val="24"/>
                <w:highlight w:val="none"/>
                <w:lang w:val="en-US" w:eastAsia="zh-CN"/>
              </w:rPr>
              <w:t>依据《排污单位自行监测技术指南总则》（HJ819-2017），</w:t>
            </w:r>
            <w:r>
              <w:rPr>
                <w:rFonts w:hint="default" w:ascii="Times New Roman" w:hAnsi="Times New Roman" w:eastAsia="宋体" w:cs="Times New Roman"/>
                <w:color w:val="auto"/>
                <w:kern w:val="0"/>
                <w:sz w:val="24"/>
                <w:szCs w:val="24"/>
                <w:highlight w:val="none"/>
                <w:lang w:val="en-US" w:eastAsia="zh-CN" w:bidi="ar"/>
              </w:rPr>
              <w:t>项目营运期噪声监测计划见表</w:t>
            </w:r>
            <w:r>
              <w:rPr>
                <w:rFonts w:hint="eastAsia" w:ascii="Times New Roman" w:hAnsi="Times New Roman" w:cs="Times New Roman"/>
                <w:color w:val="auto"/>
                <w:kern w:val="0"/>
                <w:sz w:val="24"/>
                <w:szCs w:val="24"/>
                <w:highlight w:val="none"/>
                <w:lang w:val="en-US" w:eastAsia="zh-CN" w:bidi="ar"/>
              </w:rPr>
              <w:t>4-</w:t>
            </w:r>
            <w:r>
              <w:rPr>
                <w:rFonts w:hint="eastAsia" w:cs="Times New Roman"/>
                <w:color w:val="auto"/>
                <w:kern w:val="0"/>
                <w:sz w:val="24"/>
                <w:szCs w:val="24"/>
                <w:highlight w:val="none"/>
                <w:lang w:val="en-US" w:eastAsia="zh-CN" w:bidi="ar"/>
              </w:rPr>
              <w:t>11</w:t>
            </w:r>
            <w:r>
              <w:rPr>
                <w:rFonts w:hint="default" w:ascii="Times New Roman" w:hAnsi="Times New Roman" w:eastAsia="宋体" w:cs="Times New Roman"/>
                <w:color w:val="auto"/>
                <w:kern w:val="0"/>
                <w:sz w:val="24"/>
                <w:szCs w:val="24"/>
                <w:highlight w:val="none"/>
                <w:lang w:val="en-US" w:eastAsia="zh-CN" w:bidi="ar"/>
              </w:rPr>
              <w:t>。</w:t>
            </w:r>
          </w:p>
          <w:p w14:paraId="4011DB66">
            <w:pPr>
              <w:keepNext w:val="0"/>
              <w:keepLines w:val="0"/>
              <w:pageBreakBefore w:val="0"/>
              <w:widowControl w:val="0"/>
              <w:suppressLineNumbers w:val="0"/>
              <w:tabs>
                <w:tab w:val="left" w:pos="0"/>
              </w:tabs>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baseline"/>
              <w:rPr>
                <w:rFonts w:hint="default" w:ascii="Times New Roman" w:hAnsi="Times New Roman" w:eastAsia="宋体" w:cs="Times New Roman"/>
                <w:b/>
                <w:bCs/>
                <w:color w:val="auto"/>
                <w:spacing w:val="0"/>
                <w:kern w:val="2"/>
                <w:sz w:val="24"/>
                <w:szCs w:val="24"/>
                <w:highlight w:val="none"/>
                <w:lang w:val="en-US" w:eastAsia="zh-CN" w:bidi="ar-SA"/>
              </w:rPr>
            </w:pPr>
          </w:p>
          <w:p w14:paraId="711A0674">
            <w:pPr>
              <w:keepNext w:val="0"/>
              <w:keepLines w:val="0"/>
              <w:pageBreakBefore w:val="0"/>
              <w:widowControl w:val="0"/>
              <w:suppressLineNumbers w:val="0"/>
              <w:tabs>
                <w:tab w:val="left" w:pos="0"/>
              </w:tabs>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baseline"/>
              <w:rPr>
                <w:rFonts w:hint="default" w:ascii="Times New Roman" w:hAnsi="Times New Roman" w:eastAsia="宋体" w:cs="Times New Roman"/>
                <w:b/>
                <w:bCs/>
                <w:color w:val="auto"/>
                <w:spacing w:val="0"/>
                <w:kern w:val="2"/>
                <w:sz w:val="24"/>
                <w:szCs w:val="24"/>
                <w:highlight w:val="none"/>
                <w:lang w:val="en-US" w:eastAsia="zh-CN" w:bidi="ar-SA"/>
              </w:rPr>
            </w:pPr>
            <w:r>
              <w:rPr>
                <w:rFonts w:hint="default" w:ascii="Times New Roman" w:hAnsi="Times New Roman" w:eastAsia="宋体" w:cs="Times New Roman"/>
                <w:b/>
                <w:bCs/>
                <w:color w:val="auto"/>
                <w:spacing w:val="0"/>
                <w:kern w:val="2"/>
                <w:sz w:val="24"/>
                <w:szCs w:val="24"/>
                <w:highlight w:val="none"/>
                <w:lang w:val="en-US" w:eastAsia="zh-CN" w:bidi="ar-SA"/>
              </w:rPr>
              <w:t>表</w:t>
            </w:r>
            <w:r>
              <w:rPr>
                <w:rFonts w:hint="eastAsia" w:ascii="Times New Roman" w:hAnsi="Times New Roman" w:cs="Times New Roman"/>
                <w:b/>
                <w:bCs/>
                <w:color w:val="auto"/>
                <w:spacing w:val="0"/>
                <w:kern w:val="2"/>
                <w:sz w:val="24"/>
                <w:szCs w:val="24"/>
                <w:highlight w:val="none"/>
                <w:lang w:val="en-US" w:eastAsia="zh-CN" w:bidi="ar-SA"/>
              </w:rPr>
              <w:t>4-</w:t>
            </w:r>
            <w:r>
              <w:rPr>
                <w:rFonts w:hint="eastAsia" w:cs="Times New Roman"/>
                <w:b/>
                <w:bCs/>
                <w:color w:val="auto"/>
                <w:spacing w:val="0"/>
                <w:kern w:val="2"/>
                <w:sz w:val="24"/>
                <w:szCs w:val="24"/>
                <w:highlight w:val="none"/>
                <w:lang w:val="en-US" w:eastAsia="zh-CN" w:bidi="ar-SA"/>
              </w:rPr>
              <w:t>11</w:t>
            </w:r>
            <w:r>
              <w:rPr>
                <w:rFonts w:hint="default" w:ascii="Times New Roman" w:hAnsi="Times New Roman" w:eastAsia="宋体" w:cs="Times New Roman"/>
                <w:b/>
                <w:bCs/>
                <w:color w:val="auto"/>
                <w:spacing w:val="0"/>
                <w:kern w:val="2"/>
                <w:sz w:val="24"/>
                <w:szCs w:val="24"/>
                <w:highlight w:val="none"/>
                <w:lang w:val="en-US" w:eastAsia="zh-CN" w:bidi="ar-SA"/>
              </w:rPr>
              <w:t>运营期环境监测计划</w:t>
            </w:r>
          </w:p>
          <w:tbl>
            <w:tblPr>
              <w:tblStyle w:val="23"/>
              <w:tblW w:w="7924" w:type="dxa"/>
              <w:tblInd w:w="-4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39"/>
              <w:gridCol w:w="1093"/>
              <w:gridCol w:w="1614"/>
              <w:gridCol w:w="1116"/>
              <w:gridCol w:w="3562"/>
            </w:tblGrid>
            <w:tr w14:paraId="1BAFD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3" w:hRule="atLeast"/>
              </w:trPr>
              <w:tc>
                <w:tcPr>
                  <w:tcW w:w="539" w:type="dxa"/>
                  <w:tcBorders>
                    <w:tl2br w:val="nil"/>
                    <w:tr2bl w:val="nil"/>
                  </w:tcBorders>
                  <w:noWrap w:val="0"/>
                  <w:vAlign w:val="center"/>
                </w:tcPr>
                <w:p w14:paraId="6CCCC71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序号</w:t>
                  </w:r>
                </w:p>
              </w:tc>
              <w:tc>
                <w:tcPr>
                  <w:tcW w:w="1093" w:type="dxa"/>
                  <w:tcBorders>
                    <w:tl2br w:val="nil"/>
                    <w:tr2bl w:val="nil"/>
                  </w:tcBorders>
                  <w:noWrap w:val="0"/>
                  <w:vAlign w:val="center"/>
                </w:tcPr>
                <w:p w14:paraId="65B4E00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监测点位</w:t>
                  </w:r>
                </w:p>
              </w:tc>
              <w:tc>
                <w:tcPr>
                  <w:tcW w:w="1614" w:type="dxa"/>
                  <w:tcBorders>
                    <w:tl2br w:val="nil"/>
                    <w:tr2bl w:val="nil"/>
                  </w:tcBorders>
                  <w:noWrap w:val="0"/>
                  <w:vAlign w:val="center"/>
                </w:tcPr>
                <w:p w14:paraId="6BC1AD39">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监测因子</w:t>
                  </w:r>
                </w:p>
              </w:tc>
              <w:tc>
                <w:tcPr>
                  <w:tcW w:w="1116" w:type="dxa"/>
                  <w:tcBorders>
                    <w:tl2br w:val="nil"/>
                    <w:tr2bl w:val="nil"/>
                  </w:tcBorders>
                  <w:noWrap w:val="0"/>
                  <w:vAlign w:val="center"/>
                </w:tcPr>
                <w:p w14:paraId="10F997D2">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监测频次</w:t>
                  </w:r>
                </w:p>
              </w:tc>
              <w:tc>
                <w:tcPr>
                  <w:tcW w:w="3562" w:type="dxa"/>
                  <w:tcBorders>
                    <w:tl2br w:val="nil"/>
                    <w:tr2bl w:val="nil"/>
                  </w:tcBorders>
                  <w:noWrap w:val="0"/>
                  <w:vAlign w:val="center"/>
                </w:tcPr>
                <w:p w14:paraId="3F9445D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控制指标</w:t>
                  </w:r>
                </w:p>
              </w:tc>
            </w:tr>
            <w:tr w14:paraId="79505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3" w:hRule="atLeast"/>
              </w:trPr>
              <w:tc>
                <w:tcPr>
                  <w:tcW w:w="539" w:type="dxa"/>
                  <w:tcBorders>
                    <w:tl2br w:val="nil"/>
                    <w:tr2bl w:val="nil"/>
                  </w:tcBorders>
                  <w:noWrap w:val="0"/>
                  <w:vAlign w:val="center"/>
                </w:tcPr>
                <w:p w14:paraId="0903CC1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w:t>
                  </w:r>
                </w:p>
              </w:tc>
              <w:tc>
                <w:tcPr>
                  <w:tcW w:w="1093" w:type="dxa"/>
                  <w:tcBorders>
                    <w:tl2br w:val="nil"/>
                    <w:tr2bl w:val="nil"/>
                  </w:tcBorders>
                  <w:noWrap w:val="0"/>
                  <w:vAlign w:val="center"/>
                </w:tcPr>
                <w:p w14:paraId="491D4867">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项目四周厂界</w:t>
                  </w:r>
                </w:p>
              </w:tc>
              <w:tc>
                <w:tcPr>
                  <w:tcW w:w="1614" w:type="dxa"/>
                  <w:tcBorders>
                    <w:tl2br w:val="nil"/>
                    <w:tr2bl w:val="nil"/>
                  </w:tcBorders>
                  <w:noWrap w:val="0"/>
                  <w:vAlign w:val="center"/>
                </w:tcPr>
                <w:p w14:paraId="157404E9">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等效连续A声级</w:t>
                  </w:r>
                </w:p>
              </w:tc>
              <w:tc>
                <w:tcPr>
                  <w:tcW w:w="1116" w:type="dxa"/>
                  <w:tcBorders>
                    <w:tl2br w:val="nil"/>
                    <w:tr2bl w:val="nil"/>
                  </w:tcBorders>
                  <w:noWrap w:val="0"/>
                  <w:vAlign w:val="center"/>
                </w:tcPr>
                <w:p w14:paraId="1F411C8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1次/季度</w:t>
                  </w:r>
                </w:p>
              </w:tc>
              <w:tc>
                <w:tcPr>
                  <w:tcW w:w="3562" w:type="dxa"/>
                  <w:tcBorders>
                    <w:tl2br w:val="nil"/>
                    <w:tr2bl w:val="nil"/>
                  </w:tcBorders>
                  <w:noWrap w:val="0"/>
                  <w:vAlign w:val="center"/>
                </w:tcPr>
                <w:p w14:paraId="0145E0CF">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《工业企业厂界环境噪声排放标准》（GB12348-2008）中的2类标准</w:t>
                  </w:r>
                </w:p>
              </w:tc>
            </w:tr>
          </w:tbl>
          <w:p w14:paraId="54BA2D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eastAsia" w:ascii="Times New Roman" w:hAnsi="Times New Roman" w:eastAsia="宋体" w:cs="Times New Roman"/>
                <w:b/>
                <w:bCs/>
                <w:color w:val="auto"/>
                <w:sz w:val="24"/>
                <w:szCs w:val="24"/>
                <w:highlight w:val="none"/>
                <w:lang w:val="en-US" w:eastAsia="zh-CN" w:bidi="ar-SA"/>
              </w:rPr>
            </w:pPr>
            <w:r>
              <w:rPr>
                <w:rFonts w:hint="eastAsia" w:cs="Times New Roman"/>
                <w:b/>
                <w:bCs/>
                <w:color w:val="auto"/>
                <w:sz w:val="24"/>
                <w:szCs w:val="24"/>
                <w:highlight w:val="none"/>
                <w:lang w:val="en-US" w:eastAsia="zh-CN" w:bidi="ar-SA"/>
              </w:rPr>
              <w:t>4.</w:t>
            </w:r>
            <w:r>
              <w:rPr>
                <w:rFonts w:hint="eastAsia" w:ascii="Times New Roman" w:hAnsi="Times New Roman" w:eastAsia="宋体" w:cs="Times New Roman"/>
                <w:b/>
                <w:bCs/>
                <w:color w:val="auto"/>
                <w:sz w:val="24"/>
                <w:szCs w:val="24"/>
                <w:highlight w:val="none"/>
                <w:lang w:val="en-US" w:eastAsia="zh-CN" w:bidi="ar-SA"/>
              </w:rPr>
              <w:t>固体废物</w:t>
            </w:r>
          </w:p>
          <w:p w14:paraId="58B0CBC0">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color w:val="auto"/>
                <w:kern w:val="0"/>
                <w:sz w:val="24"/>
                <w:highlight w:val="none"/>
                <w:lang w:val="en-US" w:eastAsia="zh-CN" w:bidi="ar"/>
              </w:rPr>
            </w:pPr>
            <w:r>
              <w:rPr>
                <w:rFonts w:hint="eastAsia" w:ascii="Times New Roman" w:hAnsi="Times New Roman" w:cs="Times New Roman"/>
                <w:b/>
                <w:bCs/>
                <w:color w:val="auto"/>
                <w:kern w:val="0"/>
                <w:sz w:val="24"/>
                <w:highlight w:val="none"/>
                <w:lang w:val="en-US" w:eastAsia="zh-CN" w:bidi="ar"/>
              </w:rPr>
              <w:t>4.1源强分析</w:t>
            </w:r>
          </w:p>
          <w:p w14:paraId="5AAE9C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（1）生活垃圾</w:t>
            </w:r>
          </w:p>
          <w:p w14:paraId="2082C0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val="en-US" w:eastAsia="zh-CN" w:bidi="ar-SA"/>
              </w:rPr>
            </w:pPr>
            <w:r>
              <w:rPr>
                <w:rFonts w:hint="default" w:ascii="Times New Roman" w:hAnsi="Times New Roman" w:cs="Times New Roman"/>
                <w:color w:val="auto"/>
                <w:kern w:val="0"/>
                <w:sz w:val="24"/>
                <w:highlight w:val="none"/>
                <w:lang w:val="en-US" w:eastAsia="zh-CN" w:bidi="ar"/>
              </w:rPr>
              <w:t>本项目劳动定员</w:t>
            </w:r>
            <w:r>
              <w:rPr>
                <w:rFonts w:hint="eastAsia" w:ascii="Times New Roman" w:hAnsi="Times New Roman" w:cs="Times New Roman"/>
                <w:color w:val="auto"/>
                <w:kern w:val="0"/>
                <w:sz w:val="24"/>
                <w:highlight w:val="none"/>
                <w:lang w:val="en-US" w:eastAsia="zh-CN" w:bidi="ar"/>
              </w:rPr>
              <w:t>10</w:t>
            </w:r>
            <w:r>
              <w:rPr>
                <w:rFonts w:hint="default" w:ascii="Times New Roman" w:hAnsi="Times New Roman" w:cs="Times New Roman"/>
                <w:color w:val="auto"/>
                <w:kern w:val="0"/>
                <w:sz w:val="24"/>
                <w:highlight w:val="none"/>
                <w:lang w:val="en-US" w:eastAsia="zh-CN" w:bidi="ar"/>
              </w:rPr>
              <w:t>人，</w:t>
            </w:r>
            <w:r>
              <w:rPr>
                <w:rFonts w:hint="eastAsia" w:ascii="Times New Roman" w:hAnsi="Times New Roman" w:eastAsia="宋体" w:cs="Times New Roman"/>
                <w:color w:val="auto"/>
                <w:sz w:val="24"/>
                <w:szCs w:val="24"/>
                <w:highlight w:val="none"/>
                <w:lang w:val="en-US" w:eastAsia="zh-CN" w:bidi="ar-SA"/>
              </w:rPr>
              <w:t>职工生活垃圾产生量取0.5kg/人·天，本项目年工作日</w:t>
            </w:r>
            <w:r>
              <w:rPr>
                <w:rFonts w:hint="eastAsia" w:ascii="Times New Roman" w:hAnsi="Times New Roman" w:cs="Times New Roman"/>
                <w:color w:val="auto"/>
                <w:sz w:val="24"/>
                <w:szCs w:val="24"/>
                <w:highlight w:val="none"/>
                <w:lang w:val="en-US" w:eastAsia="zh-CN" w:bidi="ar-SA"/>
              </w:rPr>
              <w:t>330</w:t>
            </w:r>
            <w:r>
              <w:rPr>
                <w:rFonts w:hint="eastAsia" w:ascii="Times New Roman" w:hAnsi="Times New Roman" w:eastAsia="宋体" w:cs="Times New Roman"/>
                <w:color w:val="auto"/>
                <w:sz w:val="24"/>
                <w:szCs w:val="24"/>
                <w:highlight w:val="none"/>
                <w:lang w:val="en-US" w:eastAsia="zh-CN" w:bidi="ar-SA"/>
              </w:rPr>
              <w:t>天，则本项目每年产生的生活垃圾量约</w:t>
            </w:r>
            <w:r>
              <w:rPr>
                <w:rFonts w:hint="eastAsia" w:ascii="Times New Roman" w:hAnsi="Times New Roman" w:cs="Times New Roman"/>
                <w:color w:val="auto"/>
                <w:sz w:val="24"/>
                <w:szCs w:val="24"/>
                <w:highlight w:val="none"/>
                <w:lang w:val="en-US" w:eastAsia="zh-CN" w:bidi="ar-SA"/>
              </w:rPr>
              <w:t>1.65</w:t>
            </w:r>
            <w:r>
              <w:rPr>
                <w:rFonts w:hint="eastAsia" w:ascii="Times New Roman" w:hAnsi="Times New Roman" w:eastAsia="宋体" w:cs="Times New Roman"/>
                <w:color w:val="auto"/>
                <w:sz w:val="24"/>
                <w:szCs w:val="24"/>
                <w:highlight w:val="none"/>
                <w:lang w:val="en-US" w:eastAsia="zh-CN" w:bidi="ar-SA"/>
              </w:rPr>
              <w:t>t/a；</w:t>
            </w:r>
            <w:r>
              <w:rPr>
                <w:rFonts w:hint="eastAsia" w:ascii="Times New Roman" w:hAnsi="Times New Roman" w:cs="Times New Roman"/>
                <w:b w:val="0"/>
                <w:bCs w:val="0"/>
                <w:color w:val="auto"/>
                <w:sz w:val="24"/>
                <w:szCs w:val="24"/>
                <w:highlight w:val="none"/>
                <w:u w:val="none"/>
                <w:lang w:eastAsia="zh-CN"/>
              </w:rPr>
              <w:t>采用带盖垃圾桶集中收集后</w:t>
            </w:r>
            <w:r>
              <w:rPr>
                <w:rFonts w:hint="default" w:ascii="Times New Roman" w:hAnsi="Times New Roman" w:eastAsia="宋体" w:cs="Times New Roman"/>
                <w:b w:val="0"/>
                <w:bCs w:val="0"/>
                <w:color w:val="auto"/>
                <w:sz w:val="24"/>
                <w:szCs w:val="24"/>
                <w:highlight w:val="none"/>
                <w:u w:val="none"/>
                <w:lang w:val="en-US" w:eastAsia="zh-CN"/>
              </w:rPr>
              <w:t>交由环卫部门清运处置</w:t>
            </w:r>
            <w:r>
              <w:rPr>
                <w:rFonts w:hint="eastAsia" w:ascii="Times New Roman" w:hAnsi="Times New Roman" w:eastAsia="宋体" w:cs="Times New Roman"/>
                <w:color w:val="auto"/>
                <w:sz w:val="24"/>
                <w:szCs w:val="24"/>
                <w:highlight w:val="none"/>
                <w:lang w:val="en-US" w:eastAsia="zh-CN" w:bidi="ar-SA"/>
              </w:rPr>
              <w:t>。</w:t>
            </w:r>
          </w:p>
          <w:p w14:paraId="2BBF706D">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（2）一般工业固体废物</w:t>
            </w:r>
          </w:p>
          <w:p w14:paraId="7EFBFE3B">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①除尘灰</w:t>
            </w:r>
          </w:p>
          <w:p w14:paraId="7C824F0F">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根据前述物料平衡分析，本项目除尘系统除尘灰产生量约为</w:t>
            </w:r>
            <w:r>
              <w:rPr>
                <w:rFonts w:hint="eastAsia" w:cs="Times New Roman"/>
                <w:color w:val="auto"/>
                <w:kern w:val="0"/>
                <w:sz w:val="24"/>
                <w:highlight w:val="none"/>
                <w:lang w:val="en-US" w:eastAsia="zh-CN" w:bidi="ar"/>
              </w:rPr>
              <w:t>191.359</w:t>
            </w:r>
            <w:r>
              <w:rPr>
                <w:rFonts w:hint="default" w:ascii="Times New Roman" w:hAnsi="Times New Roman" w:cs="Times New Roman"/>
                <w:color w:val="auto"/>
                <w:kern w:val="0"/>
                <w:sz w:val="24"/>
                <w:highlight w:val="none"/>
                <w:lang w:val="en-US" w:eastAsia="zh-CN" w:bidi="ar"/>
              </w:rPr>
              <w:t>t/a，</w:t>
            </w:r>
            <w:r>
              <w:rPr>
                <w:rFonts w:hint="eastAsia" w:cs="Times New Roman"/>
                <w:color w:val="auto"/>
                <w:kern w:val="0"/>
                <w:sz w:val="24"/>
                <w:szCs w:val="21"/>
                <w:highlight w:val="none"/>
                <w:lang w:val="en-US" w:eastAsia="zh-CN" w:bidi="ar"/>
              </w:rPr>
              <w:t>收集后回用于生产</w:t>
            </w:r>
            <w:r>
              <w:rPr>
                <w:rFonts w:hint="eastAsia" w:ascii="Times New Roman" w:hAnsi="Times New Roman" w:eastAsia="宋体" w:cs="Times New Roman"/>
                <w:color w:val="auto"/>
                <w:kern w:val="0"/>
                <w:sz w:val="24"/>
                <w:szCs w:val="21"/>
                <w:highlight w:val="none"/>
                <w:lang w:val="en-US" w:eastAsia="zh-CN" w:bidi="ar"/>
              </w:rPr>
              <w:t>。</w:t>
            </w:r>
          </w:p>
          <w:p w14:paraId="269FD210">
            <w:pPr>
              <w:keepNext w:val="0"/>
              <w:keepLines w:val="0"/>
              <w:widowControl/>
              <w:suppressLineNumbers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1"/>
                <w:highlight w:val="none"/>
                <w:lang w:val="en-US" w:eastAsia="zh-CN" w:bidi="ar"/>
              </w:rPr>
            </w:pPr>
            <w:r>
              <w:rPr>
                <w:rFonts w:hint="default" w:ascii="Times New Roman" w:hAnsi="Times New Roman" w:eastAsia="宋体" w:cs="Times New Roman"/>
                <w:color w:val="auto"/>
                <w:kern w:val="0"/>
                <w:sz w:val="24"/>
                <w:szCs w:val="21"/>
                <w:highlight w:val="none"/>
                <w:lang w:val="en-US" w:eastAsia="zh-CN" w:bidi="ar"/>
              </w:rPr>
              <w:t>（2）筛分废料</w:t>
            </w:r>
          </w:p>
          <w:p w14:paraId="52A313D9">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szCs w:val="21"/>
                <w:highlight w:val="none"/>
                <w:lang w:val="en-US" w:eastAsia="zh-CN" w:bidi="ar"/>
              </w:rPr>
              <w:t>根据企业提供的资料，本项目玻璃微珠振动筛筛出的不规则废料约为产品的1%，即</w:t>
            </w:r>
            <w:r>
              <w:rPr>
                <w:rFonts w:hint="eastAsia" w:ascii="Times New Roman" w:hAnsi="Times New Roman" w:eastAsia="宋体" w:cs="Times New Roman"/>
                <w:color w:val="auto"/>
                <w:kern w:val="0"/>
                <w:sz w:val="24"/>
                <w:szCs w:val="21"/>
                <w:highlight w:val="none"/>
                <w:lang w:val="en-US" w:eastAsia="zh-CN" w:bidi="ar"/>
              </w:rPr>
              <w:t>27</w:t>
            </w:r>
            <w:r>
              <w:rPr>
                <w:rFonts w:hint="default" w:ascii="Times New Roman" w:hAnsi="Times New Roman" w:eastAsia="宋体" w:cs="Times New Roman"/>
                <w:color w:val="auto"/>
                <w:kern w:val="0"/>
                <w:sz w:val="24"/>
                <w:szCs w:val="21"/>
                <w:highlight w:val="none"/>
                <w:lang w:val="en-US" w:eastAsia="zh-CN" w:bidi="ar"/>
              </w:rPr>
              <w:t>0t/a。</w:t>
            </w:r>
            <w:r>
              <w:rPr>
                <w:rFonts w:hint="eastAsia" w:ascii="Times New Roman" w:hAnsi="Times New Roman" w:eastAsia="宋体" w:cs="Times New Roman"/>
                <w:color w:val="auto"/>
                <w:kern w:val="0"/>
                <w:sz w:val="24"/>
                <w:szCs w:val="21"/>
                <w:highlight w:val="none"/>
                <w:lang w:val="en-US" w:eastAsia="zh-CN" w:bidi="ar"/>
              </w:rPr>
              <w:t>经收集后</w:t>
            </w:r>
            <w:r>
              <w:rPr>
                <w:rFonts w:hint="eastAsia" w:cs="Times New Roman"/>
                <w:color w:val="auto"/>
                <w:kern w:val="0"/>
                <w:sz w:val="24"/>
                <w:szCs w:val="21"/>
                <w:highlight w:val="none"/>
                <w:lang w:val="en-US" w:eastAsia="zh-CN" w:bidi="ar"/>
              </w:rPr>
              <w:t>回用于生产</w:t>
            </w:r>
            <w:r>
              <w:rPr>
                <w:rFonts w:hint="eastAsia" w:ascii="Times New Roman" w:hAnsi="Times New Roman" w:eastAsia="宋体" w:cs="Times New Roman"/>
                <w:color w:val="auto"/>
                <w:kern w:val="0"/>
                <w:sz w:val="24"/>
                <w:szCs w:val="21"/>
                <w:highlight w:val="none"/>
                <w:lang w:val="en-US" w:eastAsia="zh-CN" w:bidi="ar"/>
              </w:rPr>
              <w:t>。</w:t>
            </w:r>
          </w:p>
          <w:p w14:paraId="68F7EEFF">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（3）危险废物</w:t>
            </w:r>
          </w:p>
          <w:p w14:paraId="254A9EE1">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①废矿物油</w:t>
            </w:r>
          </w:p>
          <w:p w14:paraId="0A753F37">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本项目给</w:t>
            </w:r>
            <w:r>
              <w:rPr>
                <w:rFonts w:hint="eastAsia" w:ascii="Times New Roman" w:hAnsi="Times New Roman" w:cs="Times New Roman"/>
                <w:color w:val="auto"/>
                <w:kern w:val="0"/>
                <w:sz w:val="24"/>
                <w:highlight w:val="none"/>
                <w:lang w:val="en-US" w:eastAsia="zh-CN" w:bidi="ar"/>
              </w:rPr>
              <w:t>引风机、生产设备</w:t>
            </w:r>
            <w:r>
              <w:rPr>
                <w:rFonts w:hint="default" w:ascii="Times New Roman" w:hAnsi="Times New Roman" w:cs="Times New Roman"/>
                <w:color w:val="auto"/>
                <w:kern w:val="0"/>
                <w:sz w:val="24"/>
                <w:highlight w:val="none"/>
                <w:lang w:val="en-US" w:eastAsia="zh-CN" w:bidi="ar"/>
              </w:rPr>
              <w:t>等装置提供润滑油，每年润滑油消耗量为</w:t>
            </w:r>
            <w:r>
              <w:rPr>
                <w:rFonts w:hint="eastAsia" w:ascii="Times New Roman" w:hAnsi="Times New Roman" w:cs="Times New Roman"/>
                <w:color w:val="auto"/>
                <w:kern w:val="0"/>
                <w:sz w:val="24"/>
                <w:highlight w:val="none"/>
                <w:lang w:val="en-US" w:eastAsia="zh-CN" w:bidi="ar"/>
              </w:rPr>
              <w:t>0.6</w:t>
            </w:r>
            <w:r>
              <w:rPr>
                <w:rFonts w:hint="default" w:ascii="Times New Roman" w:hAnsi="Times New Roman" w:cs="Times New Roman"/>
                <w:color w:val="auto"/>
                <w:kern w:val="0"/>
                <w:sz w:val="24"/>
                <w:highlight w:val="none"/>
                <w:lang w:val="en-US" w:eastAsia="zh-CN" w:bidi="ar"/>
              </w:rPr>
              <w:t>t/a，则会产生废矿物油约</w:t>
            </w:r>
            <w:r>
              <w:rPr>
                <w:rFonts w:hint="eastAsia" w:ascii="Times New Roman" w:hAnsi="Times New Roman" w:cs="Times New Roman"/>
                <w:color w:val="auto"/>
                <w:kern w:val="0"/>
                <w:sz w:val="24"/>
                <w:highlight w:val="none"/>
                <w:lang w:val="en-US" w:eastAsia="zh-CN" w:bidi="ar"/>
              </w:rPr>
              <w:t>0.4</w:t>
            </w:r>
            <w:r>
              <w:rPr>
                <w:rFonts w:hint="default" w:ascii="Times New Roman" w:hAnsi="Times New Roman" w:cs="Times New Roman"/>
                <w:color w:val="auto"/>
                <w:kern w:val="0"/>
                <w:sz w:val="24"/>
                <w:highlight w:val="none"/>
                <w:lang w:val="en-US" w:eastAsia="zh-CN" w:bidi="ar"/>
              </w:rPr>
              <w:t>t/a，属于危险废物，根据《国家危险废物名录》（202</w:t>
            </w:r>
            <w:r>
              <w:rPr>
                <w:rFonts w:hint="eastAsia" w:ascii="Times New Roman" w:hAnsi="Times New Roman" w:cs="Times New Roman"/>
                <w:color w:val="auto"/>
                <w:kern w:val="0"/>
                <w:sz w:val="24"/>
                <w:highlight w:val="none"/>
                <w:lang w:val="en-US" w:eastAsia="zh-CN" w:bidi="ar"/>
              </w:rPr>
              <w:t>5</w:t>
            </w:r>
            <w:r>
              <w:rPr>
                <w:rFonts w:hint="default" w:ascii="Times New Roman" w:hAnsi="Times New Roman" w:cs="Times New Roman"/>
                <w:color w:val="auto"/>
                <w:kern w:val="0"/>
                <w:sz w:val="24"/>
                <w:highlight w:val="none"/>
                <w:lang w:val="en-US" w:eastAsia="zh-CN" w:bidi="ar"/>
              </w:rPr>
              <w:t>年版），</w:t>
            </w:r>
            <w:r>
              <w:rPr>
                <w:rFonts w:hint="eastAsia" w:ascii="Times New Roman" w:hAnsi="Times New Roman" w:cs="Times New Roman"/>
                <w:color w:val="auto"/>
                <w:kern w:val="0"/>
                <w:sz w:val="24"/>
                <w:highlight w:val="none"/>
                <w:lang w:val="en-US" w:eastAsia="zh-CN" w:bidi="ar"/>
              </w:rPr>
              <w:t>废矿物油</w:t>
            </w:r>
            <w:r>
              <w:rPr>
                <w:rFonts w:hint="default" w:ascii="Times New Roman" w:hAnsi="Times New Roman" w:cs="Times New Roman"/>
                <w:color w:val="auto"/>
                <w:kern w:val="0"/>
                <w:sz w:val="24"/>
                <w:highlight w:val="none"/>
                <w:lang w:val="en-US" w:eastAsia="zh-CN" w:bidi="ar"/>
              </w:rPr>
              <w:t>废物类别为HW08废矿物油与含矿物油废物，废物代码为900-214-08（车辆、轮船及其它机械维修过程中产生的废发动机油、制动器油、自动变速器油、齿轮油等废润滑油），危险特性T，I。</w:t>
            </w:r>
          </w:p>
          <w:p w14:paraId="60052ADC">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②废棉纱、手套</w:t>
            </w:r>
          </w:p>
          <w:p w14:paraId="7A71051D">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项目设备在润滑、维修等过程中产生的废棉纱、废手套等，根据《国家危险废物名录》（202</w:t>
            </w:r>
            <w:r>
              <w:rPr>
                <w:rFonts w:hint="eastAsia" w:ascii="Times New Roman" w:hAnsi="Times New Roman" w:cs="Times New Roman"/>
                <w:color w:val="auto"/>
                <w:kern w:val="0"/>
                <w:sz w:val="24"/>
                <w:highlight w:val="none"/>
                <w:lang w:val="en-US" w:eastAsia="zh-CN" w:bidi="ar"/>
              </w:rPr>
              <w:t>5</w:t>
            </w:r>
            <w:r>
              <w:rPr>
                <w:rFonts w:hint="default" w:ascii="Times New Roman" w:hAnsi="Times New Roman" w:cs="Times New Roman"/>
                <w:color w:val="auto"/>
                <w:kern w:val="0"/>
                <w:sz w:val="24"/>
                <w:highlight w:val="none"/>
                <w:lang w:val="en-US" w:eastAsia="zh-CN" w:bidi="ar"/>
              </w:rPr>
              <w:t>年版），其废物类别为HW08废矿物油与含矿物油废物，废物代码为900-249-08，其生产、销售、使用过程中产生的废矿物油及沾染矿物油的废弃包装物，产生量约0.1t/a，危险特性为T，I。</w:t>
            </w:r>
          </w:p>
          <w:p w14:paraId="5B68C4B0">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③废油桶</w:t>
            </w:r>
          </w:p>
          <w:p w14:paraId="3556D547">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项目设备润滑、维修等过程中产生的废油桶，根据《国家危险废物名录》（202</w:t>
            </w:r>
            <w:r>
              <w:rPr>
                <w:rFonts w:hint="eastAsia" w:ascii="Times New Roman" w:hAnsi="Times New Roman" w:cs="Times New Roman"/>
                <w:color w:val="auto"/>
                <w:kern w:val="0"/>
                <w:sz w:val="24"/>
                <w:highlight w:val="none"/>
                <w:lang w:val="en-US" w:eastAsia="zh-CN" w:bidi="ar"/>
              </w:rPr>
              <w:t>5</w:t>
            </w:r>
            <w:r>
              <w:rPr>
                <w:rFonts w:hint="default" w:ascii="Times New Roman" w:hAnsi="Times New Roman" w:cs="Times New Roman"/>
                <w:color w:val="auto"/>
                <w:kern w:val="0"/>
                <w:sz w:val="24"/>
                <w:highlight w:val="none"/>
                <w:lang w:val="en-US" w:eastAsia="zh-CN" w:bidi="ar"/>
              </w:rPr>
              <w:t>年版），其废物类别为HW49其他废物，废物代码：900-041-49，含有或沾染毒性、感染性危险废物的废弃包装物、容器、过滤吸附介质，产生量为</w:t>
            </w:r>
            <w:r>
              <w:rPr>
                <w:rFonts w:hint="eastAsia" w:ascii="Times New Roman" w:hAnsi="Times New Roman" w:cs="Times New Roman"/>
                <w:color w:val="auto"/>
                <w:kern w:val="0"/>
                <w:sz w:val="24"/>
                <w:highlight w:val="none"/>
                <w:lang w:val="en-US" w:eastAsia="zh-CN" w:bidi="ar"/>
              </w:rPr>
              <w:t>0.076</w:t>
            </w:r>
            <w:r>
              <w:rPr>
                <w:rFonts w:hint="default" w:ascii="Times New Roman" w:hAnsi="Times New Roman" w:cs="Times New Roman"/>
                <w:color w:val="auto"/>
                <w:kern w:val="0"/>
                <w:sz w:val="24"/>
                <w:highlight w:val="none"/>
                <w:lang w:val="en-US" w:eastAsia="zh-CN" w:bidi="ar"/>
              </w:rPr>
              <w:t>t/a</w:t>
            </w:r>
            <w:r>
              <w:rPr>
                <w:rFonts w:hint="eastAsia" w:ascii="Times New Roman" w:hAnsi="Times New Roman" w:cs="Times New Roman"/>
                <w:color w:val="auto"/>
                <w:kern w:val="0"/>
                <w:sz w:val="24"/>
                <w:highlight w:val="none"/>
                <w:lang w:val="en-US" w:eastAsia="zh-CN" w:bidi="ar"/>
              </w:rPr>
              <w:t>（</w:t>
            </w:r>
            <w:r>
              <w:rPr>
                <w:rFonts w:hint="eastAsia" w:ascii="Times New Roman" w:hAnsi="Times New Roman" w:cs="宋体"/>
                <w:bCs/>
                <w:color w:val="auto"/>
                <w:spacing w:val="-10"/>
                <w:sz w:val="24"/>
                <w:lang w:eastAsia="zh-CN"/>
              </w:rPr>
              <w:t>废油桶</w:t>
            </w:r>
            <w:r>
              <w:rPr>
                <w:rFonts w:hint="eastAsia" w:ascii="Times New Roman" w:hAnsi="Times New Roman" w:cs="宋体"/>
                <w:bCs/>
                <w:color w:val="auto"/>
                <w:spacing w:val="-10"/>
                <w:sz w:val="24"/>
                <w:lang w:val="en-US" w:eastAsia="zh-CN"/>
              </w:rPr>
              <w:t>4</w:t>
            </w:r>
            <w:r>
              <w:rPr>
                <w:rFonts w:hint="eastAsia" w:ascii="Times New Roman" w:hAnsi="Times New Roman" w:cs="宋体"/>
                <w:bCs/>
                <w:color w:val="auto"/>
                <w:spacing w:val="-10"/>
                <w:sz w:val="24"/>
                <w:lang w:eastAsia="zh-CN"/>
              </w:rPr>
              <w:t>个/年（19kg/个，0.0</w:t>
            </w:r>
            <w:r>
              <w:rPr>
                <w:rFonts w:hint="eastAsia" w:ascii="Times New Roman" w:hAnsi="Times New Roman" w:cs="宋体"/>
                <w:bCs/>
                <w:color w:val="auto"/>
                <w:spacing w:val="-10"/>
                <w:sz w:val="24"/>
                <w:lang w:val="en-US" w:eastAsia="zh-CN"/>
              </w:rPr>
              <w:t>76</w:t>
            </w:r>
            <w:r>
              <w:rPr>
                <w:rFonts w:hint="eastAsia" w:ascii="Times New Roman" w:hAnsi="Times New Roman" w:cs="宋体"/>
                <w:bCs/>
                <w:color w:val="auto"/>
                <w:spacing w:val="-10"/>
                <w:sz w:val="24"/>
                <w:lang w:eastAsia="zh-CN"/>
              </w:rPr>
              <w:t>t/a）</w:t>
            </w:r>
            <w:r>
              <w:rPr>
                <w:rFonts w:hint="eastAsia" w:ascii="Times New Roman" w:hAnsi="Times New Roman" w:cs="Times New Roman"/>
                <w:color w:val="auto"/>
                <w:kern w:val="0"/>
                <w:sz w:val="24"/>
                <w:highlight w:val="none"/>
                <w:lang w:val="en-US" w:eastAsia="zh-CN" w:bidi="ar"/>
              </w:rPr>
              <w:t>）</w:t>
            </w:r>
            <w:r>
              <w:rPr>
                <w:rFonts w:hint="default" w:ascii="Times New Roman" w:hAnsi="Times New Roman" w:cs="Times New Roman"/>
                <w:color w:val="auto"/>
                <w:kern w:val="0"/>
                <w:sz w:val="24"/>
                <w:highlight w:val="none"/>
                <w:lang w:val="en-US" w:eastAsia="zh-CN" w:bidi="ar"/>
              </w:rPr>
              <w:t>，危险特性为T/In。</w:t>
            </w:r>
          </w:p>
          <w:p w14:paraId="697AD4D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fldChar w:fldCharType="begin"/>
            </w:r>
            <w:r>
              <w:rPr>
                <w:rFonts w:hint="default" w:ascii="Times New Roman" w:hAnsi="Times New Roman" w:eastAsia="宋体" w:cs="Times New Roman"/>
                <w:color w:val="auto"/>
                <w:kern w:val="0"/>
                <w:sz w:val="24"/>
                <w:szCs w:val="24"/>
                <w:highlight w:val="none"/>
                <w:lang w:val="en-US" w:eastAsia="zh-CN" w:bidi="ar"/>
              </w:rPr>
              <w:instrText xml:space="preserve"> = 4 \* GB3 \* MERGEFORMAT </w:instrText>
            </w:r>
            <w:r>
              <w:rPr>
                <w:rFonts w:hint="default" w:ascii="Times New Roman" w:hAnsi="Times New Roman" w:eastAsia="宋体" w:cs="Times New Roman"/>
                <w:color w:val="auto"/>
                <w:kern w:val="0"/>
                <w:sz w:val="24"/>
                <w:szCs w:val="24"/>
                <w:highlight w:val="none"/>
                <w:lang w:val="en-US" w:eastAsia="zh-CN" w:bidi="ar"/>
              </w:rPr>
              <w:fldChar w:fldCharType="separate"/>
            </w:r>
            <w:r>
              <w:rPr>
                <w:rFonts w:hint="default" w:ascii="Times New Roman" w:hAnsi="Times New Roman" w:eastAsia="宋体" w:cs="Times New Roman"/>
                <w:color w:val="auto"/>
                <w:sz w:val="24"/>
                <w:szCs w:val="24"/>
                <w:highlight w:val="none"/>
              </w:rPr>
              <w:t>④</w:t>
            </w:r>
            <w:r>
              <w:rPr>
                <w:rFonts w:hint="default" w:ascii="Times New Roman" w:hAnsi="Times New Roman" w:eastAsia="宋体" w:cs="Times New Roman"/>
                <w:color w:val="auto"/>
                <w:kern w:val="0"/>
                <w:sz w:val="24"/>
                <w:szCs w:val="24"/>
                <w:highlight w:val="none"/>
                <w:lang w:val="en-US" w:eastAsia="zh-CN" w:bidi="ar"/>
              </w:rPr>
              <w:fldChar w:fldCharType="end"/>
            </w:r>
            <w:r>
              <w:rPr>
                <w:rFonts w:hint="default" w:ascii="Times New Roman" w:hAnsi="Times New Roman" w:eastAsia="宋体" w:cs="Times New Roman"/>
                <w:color w:val="auto"/>
                <w:kern w:val="0"/>
                <w:sz w:val="24"/>
                <w:szCs w:val="24"/>
                <w:highlight w:val="none"/>
                <w:lang w:val="en-US" w:eastAsia="zh-CN" w:bidi="ar"/>
              </w:rPr>
              <w:t>废催化剂</w:t>
            </w:r>
          </w:p>
          <w:p w14:paraId="25C940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项目废气处理过程中产生的废催化剂，根据《国家危险废物名录》（2025年版），其废物类别为HW50废催化剂，废物代码：772-007-50（</w:t>
            </w:r>
            <w:r>
              <w:rPr>
                <w:rFonts w:hint="eastAsia" w:ascii="Times New Roman" w:hAnsi="Times New Roman" w:eastAsia="宋体" w:cs="Times New Roman"/>
                <w:color w:val="auto"/>
                <w:kern w:val="0"/>
                <w:sz w:val="24"/>
                <w:szCs w:val="24"/>
                <w:highlight w:val="none"/>
                <w:lang w:val="en-US" w:eastAsia="zh-CN" w:bidi="ar"/>
              </w:rPr>
              <w:t>烟气脱硝</w:t>
            </w:r>
            <w:r>
              <w:rPr>
                <w:rFonts w:hint="default" w:ascii="Times New Roman" w:hAnsi="Times New Roman" w:eastAsia="宋体" w:cs="Times New Roman"/>
                <w:color w:val="auto"/>
                <w:kern w:val="0"/>
                <w:sz w:val="24"/>
                <w:szCs w:val="24"/>
                <w:highlight w:val="none"/>
                <w:lang w:val="en-US" w:eastAsia="zh-CN" w:bidi="ar"/>
              </w:rPr>
              <w:t>过程中产生的废钒钛催化剂），</w:t>
            </w:r>
            <w:r>
              <w:rPr>
                <w:rFonts w:hint="eastAsia" w:ascii="Times New Roman" w:hAnsi="Times New Roman" w:eastAsia="宋体" w:cs="Times New Roman"/>
                <w:color w:val="auto"/>
                <w:kern w:val="0"/>
                <w:sz w:val="24"/>
                <w:highlight w:val="none"/>
                <w:lang w:val="en-US" w:eastAsia="zh-CN" w:bidi="ar"/>
              </w:rPr>
              <w:t>根据设备参数，SCR脱硝装置中催化剂装填量为0.2t，更换周期为3年，则每年废催化剂产生量为0.</w:t>
            </w:r>
            <w:r>
              <w:rPr>
                <w:rFonts w:hint="eastAsia" w:eastAsia="宋体" w:cs="Times New Roman"/>
                <w:color w:val="auto"/>
                <w:kern w:val="0"/>
                <w:sz w:val="24"/>
                <w:highlight w:val="none"/>
                <w:lang w:val="en-US" w:eastAsia="zh-CN" w:bidi="ar"/>
              </w:rPr>
              <w:t>067</w:t>
            </w:r>
            <w:r>
              <w:rPr>
                <w:rFonts w:hint="eastAsia" w:ascii="Times New Roman" w:hAnsi="Times New Roman" w:eastAsia="宋体" w:cs="Times New Roman"/>
                <w:color w:val="auto"/>
                <w:kern w:val="0"/>
                <w:sz w:val="24"/>
                <w:highlight w:val="none"/>
                <w:lang w:val="en-US" w:eastAsia="zh-CN" w:bidi="ar"/>
              </w:rPr>
              <w:t>t/a，</w:t>
            </w:r>
            <w:r>
              <w:rPr>
                <w:rFonts w:hint="default" w:ascii="Times New Roman" w:hAnsi="Times New Roman" w:eastAsia="宋体" w:cs="Times New Roman"/>
                <w:color w:val="auto"/>
                <w:kern w:val="0"/>
                <w:sz w:val="24"/>
                <w:szCs w:val="24"/>
                <w:highlight w:val="none"/>
                <w:lang w:val="en-US" w:eastAsia="zh-CN" w:bidi="ar"/>
              </w:rPr>
              <w:t>危险特性为T。</w:t>
            </w:r>
          </w:p>
          <w:p w14:paraId="02311D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color w:val="auto"/>
                <w:kern w:val="0"/>
                <w:sz w:val="24"/>
                <w:highlight w:val="none"/>
                <w:lang w:val="en-US" w:eastAsia="zh-CN" w:bidi="ar"/>
              </w:rPr>
              <w:t>危险废物须</w:t>
            </w:r>
            <w:r>
              <w:rPr>
                <w:rFonts w:hint="default" w:ascii="Times New Roman" w:hAnsi="Times New Roman" w:eastAsia="宋体" w:cs="Times New Roman"/>
                <w:color w:val="auto"/>
                <w:kern w:val="0"/>
                <w:sz w:val="24"/>
                <w:highlight w:val="none"/>
                <w:lang w:val="en-US" w:eastAsia="zh-CN" w:bidi="ar"/>
              </w:rPr>
              <w:t>按照</w:t>
            </w:r>
            <w:r>
              <w:rPr>
                <w:rFonts w:hint="default" w:ascii="Times New Roman" w:hAnsi="Times New Roman" w:cs="Times New Roman"/>
                <w:bCs/>
                <w:color w:val="auto"/>
                <w:spacing w:val="-10"/>
                <w:sz w:val="24"/>
                <w:highlight w:val="none"/>
              </w:rPr>
              <w:t>《中华人民共和国生态环境法典</w:t>
            </w:r>
            <w:bookmarkStart w:id="4" w:name="_GoBack"/>
            <w:r>
              <w:rPr>
                <w:rFonts w:hint="default" w:ascii="Times New Roman" w:hAnsi="Times New Roman" w:cs="Times New Roman"/>
                <w:bCs/>
                <w:color w:val="auto"/>
                <w:spacing w:val="-10"/>
                <w:sz w:val="24"/>
                <w:highlight w:val="none"/>
              </w:rPr>
              <w:t>》</w:t>
            </w:r>
            <w:r>
              <w:rPr>
                <w:rFonts w:hint="eastAsia" w:cs="Times New Roman"/>
                <w:color w:val="auto"/>
                <w:kern w:val="0"/>
                <w:sz w:val="24"/>
                <w:highlight w:val="none"/>
                <w:lang w:val="en-US" w:eastAsia="zh-CN" w:bidi="ar"/>
              </w:rPr>
              <w:t>中</w:t>
            </w:r>
            <w:bookmarkEnd w:id="4"/>
            <w:r>
              <w:rPr>
                <w:rFonts w:hint="eastAsia" w:cs="Times New Roman"/>
                <w:color w:val="auto"/>
                <w:kern w:val="0"/>
                <w:sz w:val="24"/>
                <w:highlight w:val="none"/>
                <w:lang w:val="en-US" w:eastAsia="zh-CN" w:bidi="ar"/>
              </w:rPr>
              <w:t>第二编第六分编固体废物污染防治</w:t>
            </w:r>
            <w:r>
              <w:rPr>
                <w:rFonts w:hint="default" w:ascii="Times New Roman" w:hAnsi="Times New Roman" w:eastAsia="宋体" w:cs="Times New Roman"/>
                <w:color w:val="auto"/>
                <w:kern w:val="0"/>
                <w:sz w:val="24"/>
                <w:highlight w:val="none"/>
                <w:lang w:val="en-US" w:eastAsia="zh-CN" w:bidi="ar"/>
              </w:rPr>
              <w:t>以及危险废物防治有关办法的要求严格管理和安全处置。</w:t>
            </w:r>
          </w:p>
          <w:p w14:paraId="68392B6D">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根据本项目产生危废的特性，项目将产生</w:t>
            </w:r>
            <w:r>
              <w:rPr>
                <w:rFonts w:hint="eastAsia" w:ascii="Times New Roman" w:hAnsi="Times New Roman" w:eastAsia="宋体" w:cs="Times New Roman"/>
                <w:color w:val="auto"/>
                <w:kern w:val="0"/>
                <w:sz w:val="24"/>
                <w:highlight w:val="none"/>
                <w:lang w:val="en-US" w:eastAsia="zh-CN" w:bidi="ar"/>
              </w:rPr>
              <w:t>的</w:t>
            </w:r>
            <w:r>
              <w:rPr>
                <w:rFonts w:hint="default" w:ascii="Times New Roman" w:hAnsi="Times New Roman" w:eastAsia="宋体" w:cs="Times New Roman"/>
                <w:color w:val="auto"/>
                <w:kern w:val="0"/>
                <w:sz w:val="24"/>
                <w:highlight w:val="none"/>
                <w:lang w:val="en-US" w:eastAsia="zh-CN" w:bidi="ar"/>
              </w:rPr>
              <w:t>危险废物暂存于</w:t>
            </w:r>
            <w:r>
              <w:rPr>
                <w:rFonts w:hint="eastAsia" w:ascii="Times New Roman" w:hAnsi="Times New Roman" w:eastAsia="宋体" w:cs="Times New Roman"/>
                <w:color w:val="auto"/>
                <w:kern w:val="0"/>
                <w:sz w:val="24"/>
                <w:highlight w:val="none"/>
                <w:lang w:val="en-US" w:eastAsia="zh-CN" w:bidi="ar"/>
              </w:rPr>
              <w:t>危废贮存点</w:t>
            </w:r>
            <w:r>
              <w:rPr>
                <w:rFonts w:hint="default" w:ascii="Times New Roman" w:hAnsi="Times New Roman" w:eastAsia="宋体" w:cs="Times New Roman"/>
                <w:color w:val="auto"/>
                <w:kern w:val="0"/>
                <w:sz w:val="24"/>
                <w:highlight w:val="none"/>
                <w:lang w:val="en-US" w:eastAsia="zh-CN" w:bidi="ar"/>
              </w:rPr>
              <w:t>，定期委托有资质单位进行处置。</w:t>
            </w:r>
          </w:p>
          <w:p w14:paraId="118123BF">
            <w:pPr>
              <w:keepNext w:val="0"/>
              <w:keepLines w:val="0"/>
              <w:widowControl/>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kern w:val="0"/>
                <w:sz w:val="24"/>
                <w:highlight w:val="none"/>
                <w:lang w:val="en-US" w:eastAsia="zh-CN" w:bidi="ar"/>
              </w:rPr>
            </w:pPr>
            <w:r>
              <w:rPr>
                <w:rFonts w:hint="default" w:ascii="Times New Roman" w:hAnsi="Times New Roman" w:cs="Times New Roman"/>
                <w:b/>
                <w:bCs/>
                <w:color w:val="auto"/>
                <w:kern w:val="0"/>
                <w:sz w:val="24"/>
                <w:highlight w:val="none"/>
                <w:lang w:val="en-US" w:eastAsia="zh-CN" w:bidi="ar"/>
              </w:rPr>
              <w:t>4.</w:t>
            </w:r>
            <w:r>
              <w:rPr>
                <w:rFonts w:hint="eastAsia" w:ascii="Times New Roman" w:hAnsi="Times New Roman" w:cs="Times New Roman"/>
                <w:b/>
                <w:bCs/>
                <w:color w:val="auto"/>
                <w:kern w:val="0"/>
                <w:sz w:val="24"/>
                <w:highlight w:val="none"/>
                <w:lang w:val="en-US" w:eastAsia="zh-CN" w:bidi="ar"/>
              </w:rPr>
              <w:t>2</w:t>
            </w:r>
            <w:r>
              <w:rPr>
                <w:rFonts w:hint="default" w:ascii="Times New Roman" w:hAnsi="Times New Roman" w:cs="Times New Roman"/>
                <w:b/>
                <w:bCs/>
                <w:color w:val="auto"/>
                <w:kern w:val="0"/>
                <w:sz w:val="24"/>
                <w:highlight w:val="none"/>
                <w:lang w:val="en-US" w:eastAsia="zh-CN" w:bidi="ar"/>
              </w:rPr>
              <w:t>影响分析</w:t>
            </w:r>
          </w:p>
          <w:p w14:paraId="632F0561">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lang w:val="en-US" w:eastAsia="zh-CN" w:bidi="ar"/>
              </w:rPr>
            </w:pPr>
            <w:r>
              <w:rPr>
                <w:rFonts w:hint="default" w:ascii="Times New Roman" w:hAnsi="Times New Roman" w:cs="Times New Roman"/>
                <w:color w:val="auto"/>
                <w:kern w:val="0"/>
                <w:sz w:val="24"/>
                <w:highlight w:val="none"/>
                <w:lang w:val="en-US" w:eastAsia="zh-CN" w:bidi="ar"/>
              </w:rPr>
              <w:t>根据《建设项目危险废物环境影响评价指南》（环境保护部公告2017年第43号.2017年11月1日起实施），对危险废物收集、贮存、运输、利用、处置环节采取的污染防治措施，以表格的形式列明了危险废物的名称、数量、类别、形态、危险特性和污染防治措施等内容，详见下表。</w:t>
            </w:r>
          </w:p>
          <w:p w14:paraId="394D6E0A">
            <w:pPr>
              <w:pStyle w:val="7"/>
              <w:keepNext w:val="0"/>
              <w:keepLines w:val="0"/>
              <w:suppressLineNumbers w:val="0"/>
              <w:adjustRightInd w:val="0"/>
              <w:snapToGrid w:val="0"/>
              <w:spacing w:before="0" w:beforeAutospacing="0" w:after="0" w:afterAutospacing="0" w:line="460" w:lineRule="exact"/>
              <w:ind w:left="0" w:right="0" w:firstLine="482" w:firstLineChars="200"/>
              <w:jc w:val="center"/>
              <w:rPr>
                <w:rFonts w:hint="default" w:ascii="Times New Roman" w:hAnsi="Times New Roman" w:cs="Times New Roman"/>
                <w:b/>
                <w:color w:val="auto"/>
                <w:sz w:val="24"/>
                <w:szCs w:val="24"/>
                <w:highlight w:val="none"/>
                <w:lang w:val="en-US" w:eastAsia="zh-CN"/>
              </w:rPr>
            </w:pPr>
            <w:r>
              <w:rPr>
                <w:rFonts w:hint="default" w:ascii="Times New Roman" w:hAnsi="Times New Roman" w:cs="Times New Roman"/>
                <w:b/>
                <w:color w:val="auto"/>
                <w:sz w:val="24"/>
                <w:szCs w:val="24"/>
                <w:highlight w:val="none"/>
                <w:lang w:val="en-US" w:eastAsia="zh-CN"/>
              </w:rPr>
              <w:t>表</w:t>
            </w:r>
            <w:r>
              <w:rPr>
                <w:rFonts w:hint="eastAsia" w:ascii="Times New Roman" w:hAnsi="Times New Roman" w:cs="Times New Roman"/>
                <w:b/>
                <w:color w:val="auto"/>
                <w:sz w:val="24"/>
                <w:szCs w:val="24"/>
                <w:highlight w:val="none"/>
                <w:lang w:val="en-US" w:eastAsia="zh-CN"/>
              </w:rPr>
              <w:t>4-</w:t>
            </w:r>
            <w:r>
              <w:rPr>
                <w:rFonts w:hint="eastAsia" w:cs="Times New Roman"/>
                <w:b/>
                <w:color w:val="auto"/>
                <w:sz w:val="24"/>
                <w:szCs w:val="24"/>
                <w:highlight w:val="none"/>
                <w:lang w:val="en-US" w:eastAsia="zh-CN"/>
              </w:rPr>
              <w:t>12</w:t>
            </w:r>
            <w:r>
              <w:rPr>
                <w:rFonts w:hint="default" w:ascii="Times New Roman" w:hAnsi="Times New Roman" w:cs="Times New Roman"/>
                <w:b/>
                <w:color w:val="auto"/>
                <w:sz w:val="24"/>
                <w:szCs w:val="24"/>
                <w:highlight w:val="none"/>
                <w:lang w:val="en-US" w:eastAsia="zh-CN"/>
              </w:rPr>
              <w:t>危险废物汇总一览表</w:t>
            </w:r>
          </w:p>
          <w:tbl>
            <w:tblPr>
              <w:tblStyle w:val="23"/>
              <w:tblW w:w="5000" w:type="pct"/>
              <w:tblInd w:w="-7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618"/>
              <w:gridCol w:w="755"/>
              <w:gridCol w:w="1050"/>
              <w:gridCol w:w="717"/>
              <w:gridCol w:w="883"/>
              <w:gridCol w:w="452"/>
              <w:gridCol w:w="535"/>
              <w:gridCol w:w="598"/>
              <w:gridCol w:w="530"/>
              <w:gridCol w:w="562"/>
              <w:gridCol w:w="1204"/>
            </w:tblGrid>
            <w:tr w14:paraId="0C7952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1" w:type="pct"/>
                  <w:noWrap w:val="0"/>
                  <w:vAlign w:val="center"/>
                </w:tcPr>
                <w:p w14:paraId="7D10AE62">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危险废物名称</w:t>
                  </w:r>
                </w:p>
              </w:tc>
              <w:tc>
                <w:tcPr>
                  <w:tcW w:w="477" w:type="pct"/>
                  <w:noWrap w:val="0"/>
                  <w:vAlign w:val="center"/>
                </w:tcPr>
                <w:p w14:paraId="55A8CA75">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危险废物类别</w:t>
                  </w:r>
                </w:p>
              </w:tc>
              <w:tc>
                <w:tcPr>
                  <w:tcW w:w="664" w:type="pct"/>
                  <w:noWrap w:val="0"/>
                  <w:vAlign w:val="center"/>
                </w:tcPr>
                <w:p w14:paraId="4D4E01E3">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危险废物代码</w:t>
                  </w:r>
                </w:p>
              </w:tc>
              <w:tc>
                <w:tcPr>
                  <w:tcW w:w="453" w:type="pct"/>
                  <w:noWrap w:val="0"/>
                  <w:vAlign w:val="center"/>
                </w:tcPr>
                <w:p w14:paraId="447ACF71">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产生量（t/a）</w:t>
                  </w:r>
                </w:p>
              </w:tc>
              <w:tc>
                <w:tcPr>
                  <w:tcW w:w="558" w:type="pct"/>
                  <w:noWrap w:val="0"/>
                  <w:vAlign w:val="center"/>
                </w:tcPr>
                <w:p w14:paraId="5417D833">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产生工序及装置</w:t>
                  </w:r>
                </w:p>
              </w:tc>
              <w:tc>
                <w:tcPr>
                  <w:tcW w:w="286" w:type="pct"/>
                  <w:noWrap w:val="0"/>
                  <w:vAlign w:val="center"/>
                </w:tcPr>
                <w:p w14:paraId="3372400C">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形态</w:t>
                  </w:r>
                </w:p>
              </w:tc>
              <w:tc>
                <w:tcPr>
                  <w:tcW w:w="338" w:type="pct"/>
                  <w:noWrap w:val="0"/>
                  <w:vAlign w:val="top"/>
                </w:tcPr>
                <w:p w14:paraId="3076FCAD">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主要成分</w:t>
                  </w:r>
                </w:p>
              </w:tc>
              <w:tc>
                <w:tcPr>
                  <w:tcW w:w="378" w:type="pct"/>
                  <w:noWrap w:val="0"/>
                  <w:vAlign w:val="center"/>
                </w:tcPr>
                <w:p w14:paraId="3D8FE7DC">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有害成分</w:t>
                  </w:r>
                </w:p>
              </w:tc>
              <w:tc>
                <w:tcPr>
                  <w:tcW w:w="335" w:type="pct"/>
                  <w:noWrap w:val="0"/>
                  <w:vAlign w:val="center"/>
                </w:tcPr>
                <w:p w14:paraId="31DF72B9">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产废周期</w:t>
                  </w:r>
                </w:p>
              </w:tc>
              <w:tc>
                <w:tcPr>
                  <w:tcW w:w="355" w:type="pct"/>
                  <w:noWrap w:val="0"/>
                  <w:vAlign w:val="center"/>
                </w:tcPr>
                <w:p w14:paraId="2597C636">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危废特性</w:t>
                  </w:r>
                </w:p>
              </w:tc>
              <w:tc>
                <w:tcPr>
                  <w:tcW w:w="761" w:type="pct"/>
                  <w:noWrap w:val="0"/>
                  <w:vAlign w:val="center"/>
                </w:tcPr>
                <w:p w14:paraId="671D24AB">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污染防治措施</w:t>
                  </w:r>
                </w:p>
              </w:tc>
            </w:tr>
            <w:tr w14:paraId="28251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1" w:type="pct"/>
                  <w:noWrap w:val="0"/>
                  <w:vAlign w:val="center"/>
                </w:tcPr>
                <w:p w14:paraId="0B2A72E3">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废矿物油</w:t>
                  </w:r>
                </w:p>
              </w:tc>
              <w:tc>
                <w:tcPr>
                  <w:tcW w:w="477" w:type="pct"/>
                  <w:noWrap w:val="0"/>
                  <w:vAlign w:val="center"/>
                </w:tcPr>
                <w:p w14:paraId="4C255006">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HW08</w:t>
                  </w:r>
                </w:p>
              </w:tc>
              <w:tc>
                <w:tcPr>
                  <w:tcW w:w="664" w:type="pct"/>
                  <w:noWrap w:val="0"/>
                  <w:vAlign w:val="center"/>
                </w:tcPr>
                <w:p w14:paraId="41FDF3C5">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900-214-08</w:t>
                  </w:r>
                </w:p>
              </w:tc>
              <w:tc>
                <w:tcPr>
                  <w:tcW w:w="453" w:type="pct"/>
                  <w:noWrap w:val="0"/>
                  <w:vAlign w:val="center"/>
                </w:tcPr>
                <w:p w14:paraId="7D126698">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0.4</w:t>
                  </w:r>
                </w:p>
              </w:tc>
              <w:tc>
                <w:tcPr>
                  <w:tcW w:w="558" w:type="pct"/>
                  <w:vMerge w:val="restart"/>
                  <w:noWrap w:val="0"/>
                  <w:vAlign w:val="center"/>
                </w:tcPr>
                <w:p w14:paraId="7B8C348B">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生产设施设备日常维护保养</w:t>
                  </w:r>
                </w:p>
              </w:tc>
              <w:tc>
                <w:tcPr>
                  <w:tcW w:w="286" w:type="pct"/>
                  <w:noWrap w:val="0"/>
                  <w:vAlign w:val="center"/>
                </w:tcPr>
                <w:p w14:paraId="264203A7">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液态</w:t>
                  </w:r>
                </w:p>
              </w:tc>
              <w:tc>
                <w:tcPr>
                  <w:tcW w:w="338" w:type="pct"/>
                  <w:noWrap w:val="0"/>
                  <w:vAlign w:val="center"/>
                </w:tcPr>
                <w:p w14:paraId="725A39DD">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矿物油</w:t>
                  </w:r>
                </w:p>
              </w:tc>
              <w:tc>
                <w:tcPr>
                  <w:tcW w:w="378" w:type="pct"/>
                  <w:noWrap w:val="0"/>
                  <w:vAlign w:val="center"/>
                </w:tcPr>
                <w:p w14:paraId="0D0E5E13">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矿物油</w:t>
                  </w:r>
                </w:p>
              </w:tc>
              <w:tc>
                <w:tcPr>
                  <w:tcW w:w="335" w:type="pct"/>
                  <w:noWrap w:val="0"/>
                  <w:vAlign w:val="center"/>
                </w:tcPr>
                <w:p w14:paraId="0E654270">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1月</w:t>
                  </w:r>
                </w:p>
              </w:tc>
              <w:tc>
                <w:tcPr>
                  <w:tcW w:w="355" w:type="pct"/>
                  <w:noWrap w:val="0"/>
                  <w:vAlign w:val="center"/>
                </w:tcPr>
                <w:p w14:paraId="7B2ECD3D">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T</w:t>
                  </w:r>
                  <w:r>
                    <w:rPr>
                      <w:rFonts w:hint="eastAsia" w:cs="Times New Roman"/>
                      <w:color w:val="auto"/>
                      <w:highlight w:val="none"/>
                      <w:lang w:eastAsia="zh-CN"/>
                    </w:rPr>
                    <w:t xml:space="preserve">, </w:t>
                  </w:r>
                  <w:r>
                    <w:rPr>
                      <w:rFonts w:hint="default" w:ascii="Times New Roman" w:hAnsi="Times New Roman" w:cs="Times New Roman"/>
                      <w:color w:val="auto"/>
                      <w:highlight w:val="none"/>
                    </w:rPr>
                    <w:t>I</w:t>
                  </w:r>
                </w:p>
              </w:tc>
              <w:tc>
                <w:tcPr>
                  <w:tcW w:w="761" w:type="pct"/>
                  <w:vMerge w:val="restart"/>
                  <w:noWrap w:val="0"/>
                  <w:vAlign w:val="center"/>
                </w:tcPr>
                <w:p w14:paraId="2647780D">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根据废物种类，分类、分区暂存于</w:t>
                  </w:r>
                  <w:r>
                    <w:rPr>
                      <w:rFonts w:hint="default" w:ascii="Times New Roman" w:hAnsi="Times New Roman" w:eastAsia="宋体" w:cs="Times New Roman"/>
                      <w:bCs w:val="0"/>
                      <w:color w:val="auto"/>
                      <w:sz w:val="21"/>
                      <w:szCs w:val="21"/>
                      <w:highlight w:val="none"/>
                      <w:vertAlign w:val="baseline"/>
                      <w:lang w:val="en-US" w:eastAsia="zh-CN"/>
                    </w:rPr>
                    <w:t>危废</w:t>
                  </w:r>
                  <w:r>
                    <w:rPr>
                      <w:rFonts w:hint="eastAsia" w:ascii="Times New Roman" w:hAnsi="Times New Roman" w:eastAsia="宋体" w:cs="Times New Roman"/>
                      <w:bCs w:val="0"/>
                      <w:color w:val="auto"/>
                      <w:sz w:val="21"/>
                      <w:szCs w:val="21"/>
                      <w:highlight w:val="none"/>
                      <w:vertAlign w:val="baseline"/>
                      <w:lang w:val="en-US" w:eastAsia="zh-CN"/>
                    </w:rPr>
                    <w:t>贮存点</w:t>
                  </w:r>
                  <w:r>
                    <w:rPr>
                      <w:rFonts w:hint="default" w:ascii="Times New Roman" w:hAnsi="Times New Roman" w:cs="Times New Roman"/>
                      <w:color w:val="auto"/>
                      <w:szCs w:val="21"/>
                      <w:highlight w:val="none"/>
                    </w:rPr>
                    <w:t>，后委托有资质单位处置</w:t>
                  </w:r>
                </w:p>
              </w:tc>
            </w:tr>
            <w:tr w14:paraId="620796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1" w:type="pct"/>
                  <w:noWrap w:val="0"/>
                  <w:vAlign w:val="center"/>
                </w:tcPr>
                <w:p w14:paraId="6695B2B5">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废棉纱、手套</w:t>
                  </w:r>
                </w:p>
              </w:tc>
              <w:tc>
                <w:tcPr>
                  <w:tcW w:w="477" w:type="pct"/>
                  <w:noWrap w:val="0"/>
                  <w:vAlign w:val="center"/>
                </w:tcPr>
                <w:p w14:paraId="199B1989">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HW08</w:t>
                  </w:r>
                </w:p>
              </w:tc>
              <w:tc>
                <w:tcPr>
                  <w:tcW w:w="664" w:type="pct"/>
                  <w:noWrap w:val="0"/>
                  <w:vAlign w:val="center"/>
                </w:tcPr>
                <w:p w14:paraId="632FD4D9">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900-249-08</w:t>
                  </w:r>
                </w:p>
              </w:tc>
              <w:tc>
                <w:tcPr>
                  <w:tcW w:w="453" w:type="pct"/>
                  <w:noWrap w:val="0"/>
                  <w:vAlign w:val="center"/>
                </w:tcPr>
                <w:p w14:paraId="6D4A0030">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0.1</w:t>
                  </w:r>
                </w:p>
              </w:tc>
              <w:tc>
                <w:tcPr>
                  <w:tcW w:w="558" w:type="pct"/>
                  <w:vMerge w:val="continue"/>
                  <w:noWrap w:val="0"/>
                  <w:vAlign w:val="center"/>
                </w:tcPr>
                <w:p w14:paraId="23724D73">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p>
              </w:tc>
              <w:tc>
                <w:tcPr>
                  <w:tcW w:w="286" w:type="pct"/>
                  <w:noWrap w:val="0"/>
                  <w:vAlign w:val="center"/>
                </w:tcPr>
                <w:p w14:paraId="51E460F4">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固态</w:t>
                  </w:r>
                </w:p>
              </w:tc>
              <w:tc>
                <w:tcPr>
                  <w:tcW w:w="338" w:type="pct"/>
                  <w:noWrap w:val="0"/>
                  <w:vAlign w:val="center"/>
                </w:tcPr>
                <w:p w14:paraId="73F2BDFD">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矿物油</w:t>
                  </w:r>
                </w:p>
              </w:tc>
              <w:tc>
                <w:tcPr>
                  <w:tcW w:w="378" w:type="pct"/>
                  <w:noWrap w:val="0"/>
                  <w:vAlign w:val="center"/>
                </w:tcPr>
                <w:p w14:paraId="468FD8A6">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矿物油</w:t>
                  </w:r>
                </w:p>
              </w:tc>
              <w:tc>
                <w:tcPr>
                  <w:tcW w:w="335" w:type="pct"/>
                  <w:noWrap w:val="0"/>
                  <w:vAlign w:val="center"/>
                </w:tcPr>
                <w:p w14:paraId="1D78ACBD">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1月</w:t>
                  </w:r>
                </w:p>
              </w:tc>
              <w:tc>
                <w:tcPr>
                  <w:tcW w:w="355" w:type="pct"/>
                  <w:noWrap w:val="0"/>
                  <w:vAlign w:val="center"/>
                </w:tcPr>
                <w:p w14:paraId="76C46697">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T</w:t>
                  </w:r>
                  <w:r>
                    <w:rPr>
                      <w:rFonts w:hint="eastAsia" w:cs="Times New Roman"/>
                      <w:color w:val="auto"/>
                      <w:highlight w:val="none"/>
                      <w:lang w:eastAsia="zh-CN"/>
                    </w:rPr>
                    <w:t xml:space="preserve">, </w:t>
                  </w:r>
                  <w:r>
                    <w:rPr>
                      <w:rFonts w:hint="default" w:ascii="Times New Roman" w:hAnsi="Times New Roman" w:cs="Times New Roman"/>
                      <w:color w:val="auto"/>
                      <w:highlight w:val="none"/>
                    </w:rPr>
                    <w:t>I</w:t>
                  </w:r>
                </w:p>
              </w:tc>
              <w:tc>
                <w:tcPr>
                  <w:tcW w:w="761" w:type="pct"/>
                  <w:vMerge w:val="continue"/>
                  <w:noWrap w:val="0"/>
                  <w:vAlign w:val="center"/>
                </w:tcPr>
                <w:p w14:paraId="3FE856A3">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p>
              </w:tc>
            </w:tr>
            <w:tr w14:paraId="61FFA8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1" w:type="pct"/>
                  <w:noWrap w:val="0"/>
                  <w:vAlign w:val="center"/>
                </w:tcPr>
                <w:p w14:paraId="5C3599E8">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废油桶</w:t>
                  </w:r>
                </w:p>
              </w:tc>
              <w:tc>
                <w:tcPr>
                  <w:tcW w:w="477" w:type="pct"/>
                  <w:noWrap w:val="0"/>
                  <w:vAlign w:val="center"/>
                </w:tcPr>
                <w:p w14:paraId="3F7EDB1D">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HW49</w:t>
                  </w:r>
                </w:p>
              </w:tc>
              <w:tc>
                <w:tcPr>
                  <w:tcW w:w="664" w:type="pct"/>
                  <w:noWrap w:val="0"/>
                  <w:vAlign w:val="center"/>
                </w:tcPr>
                <w:p w14:paraId="488B41C7">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900-041-49</w:t>
                  </w:r>
                </w:p>
              </w:tc>
              <w:tc>
                <w:tcPr>
                  <w:tcW w:w="453" w:type="pct"/>
                  <w:noWrap w:val="0"/>
                  <w:vAlign w:val="center"/>
                </w:tcPr>
                <w:p w14:paraId="0F70EBAD">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0.076</w:t>
                  </w:r>
                </w:p>
              </w:tc>
              <w:tc>
                <w:tcPr>
                  <w:tcW w:w="558" w:type="pct"/>
                  <w:vMerge w:val="continue"/>
                  <w:noWrap w:val="0"/>
                  <w:vAlign w:val="center"/>
                </w:tcPr>
                <w:p w14:paraId="3F249886">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p>
              </w:tc>
              <w:tc>
                <w:tcPr>
                  <w:tcW w:w="286" w:type="pct"/>
                  <w:noWrap w:val="0"/>
                  <w:vAlign w:val="center"/>
                </w:tcPr>
                <w:p w14:paraId="09DA615C">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固态</w:t>
                  </w:r>
                </w:p>
              </w:tc>
              <w:tc>
                <w:tcPr>
                  <w:tcW w:w="338" w:type="pct"/>
                  <w:noWrap w:val="0"/>
                  <w:vAlign w:val="center"/>
                </w:tcPr>
                <w:p w14:paraId="58C81656">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矿物油</w:t>
                  </w:r>
                </w:p>
              </w:tc>
              <w:tc>
                <w:tcPr>
                  <w:tcW w:w="378" w:type="pct"/>
                  <w:noWrap w:val="0"/>
                  <w:vAlign w:val="center"/>
                </w:tcPr>
                <w:p w14:paraId="04E89A6A">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矿物油</w:t>
                  </w:r>
                </w:p>
              </w:tc>
              <w:tc>
                <w:tcPr>
                  <w:tcW w:w="335" w:type="pct"/>
                  <w:noWrap w:val="0"/>
                  <w:vAlign w:val="center"/>
                </w:tcPr>
                <w:p w14:paraId="7443A2BC">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1月</w:t>
                  </w:r>
                </w:p>
              </w:tc>
              <w:tc>
                <w:tcPr>
                  <w:tcW w:w="355" w:type="pct"/>
                  <w:noWrap w:val="0"/>
                  <w:vAlign w:val="center"/>
                </w:tcPr>
                <w:p w14:paraId="53DD0869">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T/In</w:t>
                  </w:r>
                </w:p>
              </w:tc>
              <w:tc>
                <w:tcPr>
                  <w:tcW w:w="761" w:type="pct"/>
                  <w:vMerge w:val="continue"/>
                  <w:noWrap w:val="0"/>
                  <w:vAlign w:val="center"/>
                </w:tcPr>
                <w:p w14:paraId="4B72E382">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p>
              </w:tc>
            </w:tr>
            <w:tr w14:paraId="3742BA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1" w:type="pct"/>
                  <w:noWrap w:val="0"/>
                  <w:vAlign w:val="center"/>
                </w:tcPr>
                <w:p w14:paraId="7BD24583">
                  <w:pPr>
                    <w:keepNext w:val="0"/>
                    <w:keepLines w:val="0"/>
                    <w:suppressLineNumbers w:val="0"/>
                    <w:snapToGrid w:val="0"/>
                    <w:spacing w:before="0" w:beforeAutospacing="0" w:after="0" w:afterAutospacing="0" w:line="300" w:lineRule="exact"/>
                    <w:ind w:left="0" w:right="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废催化剂</w:t>
                  </w:r>
                </w:p>
              </w:tc>
              <w:tc>
                <w:tcPr>
                  <w:tcW w:w="477" w:type="pct"/>
                  <w:noWrap w:val="0"/>
                  <w:vAlign w:val="center"/>
                </w:tcPr>
                <w:p w14:paraId="2955067B">
                  <w:pPr>
                    <w:keepNext w:val="0"/>
                    <w:keepLines w:val="0"/>
                    <w:suppressLineNumbers w:val="0"/>
                    <w:snapToGrid w:val="0"/>
                    <w:spacing w:before="0" w:beforeAutospacing="0" w:after="0" w:afterAutospacing="0" w:line="300" w:lineRule="exact"/>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HW50</w:t>
                  </w:r>
                </w:p>
              </w:tc>
              <w:tc>
                <w:tcPr>
                  <w:tcW w:w="664" w:type="pct"/>
                  <w:shd w:val="clear" w:color="auto" w:fill="auto"/>
                  <w:noWrap w:val="0"/>
                  <w:vAlign w:val="center"/>
                </w:tcPr>
                <w:p w14:paraId="368D78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772-007-50</w:t>
                  </w:r>
                </w:p>
              </w:tc>
              <w:tc>
                <w:tcPr>
                  <w:tcW w:w="453" w:type="pct"/>
                  <w:shd w:val="clear" w:color="auto" w:fill="auto"/>
                  <w:noWrap w:val="0"/>
                  <w:vAlign w:val="center"/>
                </w:tcPr>
                <w:p w14:paraId="51EEF6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0.</w:t>
                  </w:r>
                  <w:r>
                    <w:rPr>
                      <w:rFonts w:hint="eastAsia" w:cs="Times New Roman"/>
                      <w:color w:val="auto"/>
                      <w:szCs w:val="21"/>
                      <w:highlight w:val="none"/>
                      <w:lang w:val="en-US" w:eastAsia="zh-CN"/>
                    </w:rPr>
                    <w:t>067</w:t>
                  </w:r>
                </w:p>
              </w:tc>
              <w:tc>
                <w:tcPr>
                  <w:tcW w:w="558" w:type="pct"/>
                  <w:noWrap w:val="0"/>
                  <w:vAlign w:val="center"/>
                </w:tcPr>
                <w:p w14:paraId="3115DA49">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烟气脱硝</w:t>
                  </w:r>
                </w:p>
              </w:tc>
              <w:tc>
                <w:tcPr>
                  <w:tcW w:w="286" w:type="pct"/>
                  <w:shd w:val="clear" w:color="auto" w:fill="auto"/>
                  <w:noWrap w:val="0"/>
                  <w:vAlign w:val="center"/>
                </w:tcPr>
                <w:p w14:paraId="2E8DB3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固态</w:t>
                  </w:r>
                </w:p>
              </w:tc>
              <w:tc>
                <w:tcPr>
                  <w:tcW w:w="338" w:type="pct"/>
                  <w:shd w:val="clear" w:color="auto" w:fill="auto"/>
                  <w:noWrap w:val="0"/>
                  <w:vAlign w:val="center"/>
                </w:tcPr>
                <w:p w14:paraId="4239BE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废催化剂</w:t>
                  </w:r>
                </w:p>
              </w:tc>
              <w:tc>
                <w:tcPr>
                  <w:tcW w:w="378" w:type="pct"/>
                  <w:shd w:val="clear" w:color="auto" w:fill="auto"/>
                  <w:noWrap w:val="0"/>
                  <w:vAlign w:val="center"/>
                </w:tcPr>
                <w:p w14:paraId="2AE0D4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废催化剂</w:t>
                  </w:r>
                </w:p>
              </w:tc>
              <w:tc>
                <w:tcPr>
                  <w:tcW w:w="335" w:type="pct"/>
                  <w:shd w:val="clear" w:color="auto" w:fill="auto"/>
                  <w:noWrap w:val="0"/>
                  <w:vAlign w:val="center"/>
                </w:tcPr>
                <w:p w14:paraId="280909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3年</w:t>
                  </w:r>
                </w:p>
              </w:tc>
              <w:tc>
                <w:tcPr>
                  <w:tcW w:w="355" w:type="pct"/>
                  <w:shd w:val="clear" w:color="auto" w:fill="auto"/>
                  <w:noWrap w:val="0"/>
                  <w:vAlign w:val="center"/>
                </w:tcPr>
                <w:p w14:paraId="2937D0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T</w:t>
                  </w:r>
                </w:p>
              </w:tc>
              <w:tc>
                <w:tcPr>
                  <w:tcW w:w="761" w:type="pct"/>
                  <w:vMerge w:val="continue"/>
                  <w:noWrap w:val="0"/>
                  <w:vAlign w:val="center"/>
                </w:tcPr>
                <w:p w14:paraId="6530384D">
                  <w:pPr>
                    <w:keepNext w:val="0"/>
                    <w:keepLines w:val="0"/>
                    <w:suppressLineNumbers w:val="0"/>
                    <w:snapToGrid w:val="0"/>
                    <w:spacing w:before="0" w:beforeAutospacing="0" w:after="0" w:afterAutospacing="0" w:line="300" w:lineRule="exact"/>
                    <w:ind w:left="0" w:right="0"/>
                    <w:jc w:val="center"/>
                    <w:rPr>
                      <w:rFonts w:hint="default" w:ascii="Times New Roman" w:hAnsi="Times New Roman" w:cs="Times New Roman"/>
                      <w:color w:val="auto"/>
                      <w:szCs w:val="21"/>
                      <w:highlight w:val="none"/>
                    </w:rPr>
                  </w:pPr>
                </w:p>
              </w:tc>
            </w:tr>
          </w:tbl>
          <w:p w14:paraId="108670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kern w:val="0"/>
                <w:sz w:val="24"/>
                <w:highlight w:val="none"/>
                <w:lang w:val="en-US" w:eastAsia="zh-CN" w:bidi="ar"/>
              </w:rPr>
            </w:pPr>
            <w:r>
              <w:rPr>
                <w:rFonts w:hint="eastAsia" w:ascii="Times New Roman" w:hAnsi="Times New Roman" w:eastAsia="宋体" w:cs="Times New Roman"/>
                <w:b/>
                <w:bCs w:val="0"/>
                <w:color w:val="auto"/>
                <w:kern w:val="0"/>
                <w:sz w:val="24"/>
                <w:highlight w:val="none"/>
                <w:lang w:val="en-US" w:eastAsia="zh-CN" w:bidi="ar"/>
              </w:rPr>
              <w:t>2</w:t>
            </w:r>
            <w:r>
              <w:rPr>
                <w:rFonts w:hint="default" w:ascii="Times New Roman" w:hAnsi="Times New Roman" w:eastAsia="宋体" w:cs="Times New Roman"/>
                <w:b/>
                <w:bCs w:val="0"/>
                <w:color w:val="auto"/>
                <w:kern w:val="0"/>
                <w:sz w:val="24"/>
                <w:highlight w:val="none"/>
                <w:lang w:val="en-US" w:eastAsia="zh-CN" w:bidi="ar"/>
              </w:rPr>
              <w:t>）危险废物收集污染防治措施</w:t>
            </w:r>
          </w:p>
          <w:p w14:paraId="3BC413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危险废物收集时应根据危险废物的种类、数量、危险形态、物理形态、运输要求等因素确定包装形式，具体包装应符合如下要求：①包装材质要与危险废物相容，可根据废物特性选择钢、铝、塑料等材质；②性质类似的废物可收集到同一容器中，性质不相容的危险废物不应混合包装；③危险废物包装应能有效隔断危险废物迁移扩散途径，并达到防渗、防漏要求；④包装好的危险废物应设置相应的标签，标签信息应填写完整</w:t>
            </w:r>
            <w:r>
              <w:rPr>
                <w:rFonts w:hint="eastAsia" w:cs="Times New Roman"/>
                <w:color w:val="auto"/>
                <w:kern w:val="0"/>
                <w:sz w:val="24"/>
                <w:highlight w:val="none"/>
                <w:lang w:val="en-US" w:eastAsia="zh-CN" w:bidi="ar"/>
              </w:rPr>
              <w:t>翔实</w:t>
            </w:r>
            <w:r>
              <w:rPr>
                <w:rFonts w:hint="default" w:ascii="Times New Roman" w:hAnsi="Times New Roman" w:eastAsia="宋体" w:cs="Times New Roman"/>
                <w:color w:val="auto"/>
                <w:kern w:val="0"/>
                <w:sz w:val="24"/>
                <w:highlight w:val="none"/>
                <w:lang w:val="en-US" w:eastAsia="zh-CN" w:bidi="ar"/>
              </w:rPr>
              <w:t>；⑤盛装过危险废物的包装袋或包装容器破损后应按危险废物进行管理和处置；⑥危险废物还应根据GB12463的有关要求进行包装运输。</w:t>
            </w:r>
          </w:p>
          <w:p w14:paraId="26CF1C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kern w:val="0"/>
                <w:sz w:val="24"/>
                <w:highlight w:val="none"/>
                <w:lang w:val="en-US" w:eastAsia="zh-CN" w:bidi="ar"/>
              </w:rPr>
            </w:pPr>
            <w:r>
              <w:rPr>
                <w:rFonts w:hint="eastAsia" w:ascii="Times New Roman" w:hAnsi="Times New Roman" w:eastAsia="宋体" w:cs="Times New Roman"/>
                <w:b/>
                <w:bCs w:val="0"/>
                <w:color w:val="auto"/>
                <w:kern w:val="0"/>
                <w:sz w:val="24"/>
                <w:highlight w:val="none"/>
                <w:lang w:val="en-US" w:eastAsia="zh-CN" w:bidi="ar"/>
              </w:rPr>
              <w:t>3</w:t>
            </w:r>
            <w:r>
              <w:rPr>
                <w:rFonts w:hint="default" w:ascii="Times New Roman" w:hAnsi="Times New Roman" w:eastAsia="宋体" w:cs="Times New Roman"/>
                <w:b/>
                <w:bCs w:val="0"/>
                <w:color w:val="auto"/>
                <w:kern w:val="0"/>
                <w:sz w:val="24"/>
                <w:highlight w:val="none"/>
                <w:lang w:val="en-US" w:eastAsia="zh-CN" w:bidi="ar"/>
              </w:rPr>
              <w:t>）危险废物</w:t>
            </w:r>
            <w:r>
              <w:rPr>
                <w:rFonts w:hint="eastAsia" w:ascii="Times New Roman" w:hAnsi="Times New Roman" w:eastAsia="宋体" w:cs="Times New Roman"/>
                <w:b/>
                <w:bCs w:val="0"/>
                <w:color w:val="auto"/>
                <w:kern w:val="0"/>
                <w:sz w:val="24"/>
                <w:highlight w:val="none"/>
                <w:lang w:val="en-US" w:eastAsia="zh-CN" w:bidi="ar"/>
              </w:rPr>
              <w:t>贮存</w:t>
            </w:r>
            <w:r>
              <w:rPr>
                <w:rFonts w:hint="default" w:ascii="Times New Roman" w:hAnsi="Times New Roman" w:eastAsia="宋体" w:cs="Times New Roman"/>
                <w:b/>
                <w:bCs w:val="0"/>
                <w:color w:val="auto"/>
                <w:kern w:val="0"/>
                <w:sz w:val="24"/>
                <w:highlight w:val="none"/>
                <w:lang w:val="en-US" w:eastAsia="zh-CN" w:bidi="ar"/>
              </w:rPr>
              <w:t>污染防治措施</w:t>
            </w:r>
          </w:p>
          <w:p w14:paraId="5A61B3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根据《危险废物贮存污染控制标准》（GB18597-2023）</w:t>
            </w:r>
            <w:r>
              <w:rPr>
                <w:rFonts w:hint="eastAsia" w:ascii="Times New Roman" w:hAnsi="Times New Roman" w:cs="Times New Roman"/>
                <w:color w:val="auto"/>
                <w:kern w:val="0"/>
                <w:sz w:val="24"/>
                <w:szCs w:val="24"/>
                <w:highlight w:val="none"/>
                <w:lang w:val="en-US" w:eastAsia="zh-CN" w:bidi="ar"/>
              </w:rPr>
              <w:t>中贮存设施污染控制要求中的一般规定</w:t>
            </w:r>
            <w:r>
              <w:rPr>
                <w:rFonts w:hint="default" w:ascii="Times New Roman" w:hAnsi="Times New Roman" w:eastAsia="宋体" w:cs="Times New Roman"/>
                <w:color w:val="auto"/>
                <w:kern w:val="0"/>
                <w:sz w:val="24"/>
                <w:szCs w:val="24"/>
                <w:highlight w:val="none"/>
                <w:lang w:val="en-US" w:eastAsia="zh-CN" w:bidi="ar"/>
              </w:rPr>
              <w:t>，建设单位应对项目产生的危险废物的贮存、管理提出如下要求：</w:t>
            </w:r>
          </w:p>
          <w:p w14:paraId="2A61CAC3">
            <w:pPr>
              <w:keepNext w:val="0"/>
              <w:keepLines w:val="0"/>
              <w:widowControl/>
              <w:numPr>
                <w:ilvl w:val="0"/>
                <w:numId w:val="7"/>
              </w:numPr>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贮存设施污染控制要求</w:t>
            </w:r>
          </w:p>
          <w:p w14:paraId="7F95AC5B">
            <w:pPr>
              <w:keepNext w:val="0"/>
              <w:keepLines w:val="0"/>
              <w:widowControl/>
              <w:numPr>
                <w:ilvl w:val="0"/>
                <w:numId w:val="0"/>
              </w:numPr>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4"/>
                <w:szCs w:val="24"/>
                <w:highlight w:val="none"/>
                <w:vertAlign w:val="baseline"/>
                <w:lang w:val="en-US" w:eastAsia="zh-CN"/>
              </w:rPr>
            </w:pPr>
            <w:r>
              <w:rPr>
                <w:rFonts w:hint="default" w:ascii="Times New Roman" w:hAnsi="Times New Roman" w:eastAsia="宋体" w:cs="Times New Roman"/>
                <w:b/>
                <w:bCs/>
                <w:color w:val="auto"/>
                <w:sz w:val="24"/>
                <w:szCs w:val="24"/>
                <w:highlight w:val="none"/>
                <w:lang w:val="en-US" w:eastAsia="zh-CN"/>
              </w:rPr>
              <w:t>表4-</w:t>
            </w:r>
            <w:r>
              <w:rPr>
                <w:rFonts w:hint="eastAsia" w:ascii="Times New Roman" w:hAnsi="Times New Roman" w:eastAsia="宋体" w:cs="Times New Roman"/>
                <w:b/>
                <w:bCs/>
                <w:color w:val="auto"/>
                <w:sz w:val="24"/>
                <w:szCs w:val="24"/>
                <w:highlight w:val="none"/>
                <w:lang w:val="en-US" w:eastAsia="zh-CN"/>
              </w:rPr>
              <w:t>1</w:t>
            </w:r>
            <w:r>
              <w:rPr>
                <w:rFonts w:hint="eastAsia"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vertAlign w:val="baseline"/>
                <w:lang w:val="en-US" w:eastAsia="zh-CN"/>
              </w:rPr>
              <w:t>危废贮存点污染控制要求</w:t>
            </w:r>
            <w:r>
              <w:rPr>
                <w:rFonts w:hint="eastAsia" w:ascii="Times New Roman" w:hAnsi="Times New Roman" w:eastAsia="宋体" w:cs="Times New Roman"/>
                <w:b/>
                <w:bCs/>
                <w:color w:val="auto"/>
                <w:sz w:val="24"/>
                <w:szCs w:val="24"/>
                <w:highlight w:val="none"/>
                <w:vertAlign w:val="baseline"/>
                <w:lang w:val="en-US" w:eastAsia="zh-CN"/>
              </w:rPr>
              <w:t>及本项目贮存点建设要求</w:t>
            </w:r>
          </w:p>
          <w:tbl>
            <w:tblPr>
              <w:tblStyle w:val="24"/>
              <w:tblW w:w="4998"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86"/>
              <w:gridCol w:w="3168"/>
              <w:gridCol w:w="4267"/>
            </w:tblGrid>
            <w:tr w14:paraId="6040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07" w:type="pct"/>
                  <w:noWrap w:val="0"/>
                  <w:vAlign w:val="center"/>
                </w:tcPr>
                <w:p w14:paraId="42EC81C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序号</w:t>
                  </w:r>
                </w:p>
              </w:tc>
              <w:tc>
                <w:tcPr>
                  <w:tcW w:w="1999" w:type="pct"/>
                  <w:noWrap w:val="0"/>
                  <w:vAlign w:val="center"/>
                </w:tcPr>
                <w:p w14:paraId="6F48785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sz w:val="21"/>
                      <w:szCs w:val="21"/>
                      <w:highlight w:val="none"/>
                    </w:rPr>
                    <w:t>(GB18597-2023)</w:t>
                  </w:r>
                </w:p>
              </w:tc>
              <w:tc>
                <w:tcPr>
                  <w:tcW w:w="2693" w:type="pct"/>
                  <w:noWrap w:val="0"/>
                  <w:vAlign w:val="center"/>
                </w:tcPr>
                <w:p w14:paraId="3C69A9D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本项目危废贮存点建设要求</w:t>
                  </w:r>
                </w:p>
              </w:tc>
            </w:tr>
            <w:tr w14:paraId="0E8A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07" w:type="pct"/>
                  <w:noWrap w:val="0"/>
                  <w:vAlign w:val="center"/>
                </w:tcPr>
                <w:p w14:paraId="2D354BD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1</w:t>
                  </w:r>
                </w:p>
              </w:tc>
              <w:tc>
                <w:tcPr>
                  <w:tcW w:w="1999" w:type="pct"/>
                  <w:noWrap w:val="0"/>
                  <w:vAlign w:val="center"/>
                </w:tcPr>
                <w:p w14:paraId="595647E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rPr>
                    <w:t>贮存点应具有固定的区域边界，并应采取与其他区域进行隔离的措施</w:t>
                  </w:r>
                </w:p>
              </w:tc>
              <w:tc>
                <w:tcPr>
                  <w:tcW w:w="2693" w:type="pct"/>
                  <w:noWrap w:val="0"/>
                  <w:vAlign w:val="center"/>
                </w:tcPr>
                <w:p w14:paraId="139F855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本项目贮存点位于</w:t>
                  </w:r>
                  <w:r>
                    <w:rPr>
                      <w:rFonts w:hint="eastAsia" w:ascii="Times New Roman" w:hAnsi="Times New Roman" w:eastAsia="宋体" w:cs="Times New Roman"/>
                      <w:color w:val="auto"/>
                      <w:kern w:val="2"/>
                      <w:sz w:val="21"/>
                      <w:szCs w:val="21"/>
                      <w:highlight w:val="none"/>
                      <w:vertAlign w:val="baseline"/>
                      <w:lang w:val="en-US" w:eastAsia="zh-CN" w:bidi="ar-SA"/>
                    </w:rPr>
                    <w:t>厂区北侧</w:t>
                  </w:r>
                  <w:r>
                    <w:rPr>
                      <w:rFonts w:hint="default" w:ascii="Times New Roman" w:hAnsi="Times New Roman" w:eastAsia="宋体" w:cs="Times New Roman"/>
                      <w:color w:val="auto"/>
                      <w:kern w:val="2"/>
                      <w:sz w:val="21"/>
                      <w:szCs w:val="21"/>
                      <w:highlight w:val="none"/>
                      <w:vertAlign w:val="baseline"/>
                      <w:lang w:val="en-US" w:eastAsia="zh-CN" w:bidi="ar-SA"/>
                    </w:rPr>
                    <w:t>，</w:t>
                  </w:r>
                  <w:r>
                    <w:rPr>
                      <w:rFonts w:hint="default" w:ascii="Times New Roman" w:hAnsi="Times New Roman" w:eastAsia="宋体" w:cs="Times New Roman"/>
                      <w:bCs/>
                      <w:color w:val="auto"/>
                      <w:kern w:val="0"/>
                      <w:sz w:val="21"/>
                      <w:szCs w:val="21"/>
                      <w:highlight w:val="none"/>
                      <w:lang w:val="en-US" w:eastAsia="zh-CN" w:bidi="ar"/>
                    </w:rPr>
                    <w:t>采用封闭式建筑结构进行建设</w:t>
                  </w:r>
                  <w:r>
                    <w:rPr>
                      <w:rFonts w:hint="eastAsia" w:ascii="Times New Roman" w:hAnsi="Times New Roman" w:cs="Times New Roman"/>
                      <w:bCs/>
                      <w:color w:val="auto"/>
                      <w:kern w:val="0"/>
                      <w:sz w:val="21"/>
                      <w:szCs w:val="21"/>
                      <w:highlight w:val="none"/>
                      <w:lang w:val="en-US" w:eastAsia="zh-CN" w:bidi="ar"/>
                    </w:rPr>
                    <w:t>与其他区域进行隔离</w:t>
                  </w:r>
                </w:p>
              </w:tc>
            </w:tr>
            <w:tr w14:paraId="281D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07" w:type="pct"/>
                  <w:noWrap w:val="0"/>
                  <w:vAlign w:val="center"/>
                </w:tcPr>
                <w:p w14:paraId="6725068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2</w:t>
                  </w:r>
                </w:p>
              </w:tc>
              <w:tc>
                <w:tcPr>
                  <w:tcW w:w="1999" w:type="pct"/>
                  <w:noWrap w:val="0"/>
                  <w:vAlign w:val="center"/>
                </w:tcPr>
                <w:p w14:paraId="58E3465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rPr>
                    <w:t>贮存点应采取防风、防雨、防晒和防止危险废物流失、扬散等措施。</w:t>
                  </w:r>
                </w:p>
              </w:tc>
              <w:tc>
                <w:tcPr>
                  <w:tcW w:w="2693" w:type="pct"/>
                  <w:noWrap w:val="0"/>
                  <w:vAlign w:val="center"/>
                </w:tcPr>
                <w:p w14:paraId="5E8FEC9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bCs/>
                      <w:color w:val="auto"/>
                      <w:kern w:val="0"/>
                      <w:sz w:val="21"/>
                      <w:szCs w:val="21"/>
                      <w:highlight w:val="none"/>
                      <w:lang w:val="en-US" w:eastAsia="zh-CN" w:bidi="ar"/>
                    </w:rPr>
                    <w:t>本项目贮存点采用封闭式建筑结构进行建设，可实现</w:t>
                  </w:r>
                  <w:r>
                    <w:rPr>
                      <w:rFonts w:hint="default" w:ascii="Times New Roman" w:hAnsi="Times New Roman" w:eastAsia="宋体" w:cs="Times New Roman"/>
                      <w:color w:val="auto"/>
                      <w:sz w:val="21"/>
                      <w:szCs w:val="21"/>
                      <w:highlight w:val="none"/>
                    </w:rPr>
                    <w:t>防风、防雨、防晒和防止危险废物流失、扬散等</w:t>
                  </w:r>
                  <w:r>
                    <w:rPr>
                      <w:rFonts w:hint="default" w:ascii="Times New Roman" w:hAnsi="Times New Roman" w:eastAsia="宋体" w:cs="Times New Roman"/>
                      <w:bCs/>
                      <w:color w:val="auto"/>
                      <w:kern w:val="0"/>
                      <w:sz w:val="21"/>
                      <w:szCs w:val="21"/>
                      <w:highlight w:val="none"/>
                      <w:lang w:val="en-US" w:eastAsia="zh-CN" w:bidi="ar"/>
                    </w:rPr>
                    <w:t>功能</w:t>
                  </w:r>
                </w:p>
              </w:tc>
            </w:tr>
            <w:tr w14:paraId="428A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07" w:type="pct"/>
                  <w:noWrap w:val="0"/>
                  <w:vAlign w:val="center"/>
                </w:tcPr>
                <w:p w14:paraId="53447F7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3</w:t>
                  </w:r>
                </w:p>
              </w:tc>
              <w:tc>
                <w:tcPr>
                  <w:tcW w:w="1999" w:type="pct"/>
                  <w:noWrap w:val="0"/>
                  <w:vAlign w:val="center"/>
                </w:tcPr>
                <w:p w14:paraId="65E430D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rPr>
                    <w:t>贮存点贮存的危险废物应置于容器或包装物中，不应直接散堆</w:t>
                  </w:r>
                </w:p>
              </w:tc>
              <w:tc>
                <w:tcPr>
                  <w:tcW w:w="2693" w:type="pct"/>
                  <w:noWrap w:val="0"/>
                  <w:vAlign w:val="center"/>
                </w:tcPr>
                <w:p w14:paraId="0C38A93D">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lang w:val="en-US" w:eastAsia="zh-CN" w:bidi="ar"/>
                    </w:rPr>
                    <w:t>根据危险废物的特性，选用耐腐蚀、耐压、密封性能良好的容器或包装物，</w:t>
                  </w:r>
                  <w:r>
                    <w:rPr>
                      <w:rFonts w:hint="default" w:ascii="Times New Roman" w:hAnsi="Times New Roman" w:eastAsia="宋体" w:cs="Times New Roman"/>
                      <w:color w:val="auto"/>
                      <w:sz w:val="21"/>
                      <w:szCs w:val="21"/>
                      <w:highlight w:val="none"/>
                    </w:rPr>
                    <w:t>不</w:t>
                  </w:r>
                  <w:r>
                    <w:rPr>
                      <w:rFonts w:hint="default" w:ascii="Times New Roman" w:hAnsi="Times New Roman" w:eastAsia="宋体" w:cs="Times New Roman"/>
                      <w:color w:val="auto"/>
                      <w:sz w:val="21"/>
                      <w:szCs w:val="21"/>
                      <w:highlight w:val="none"/>
                      <w:lang w:val="en-US" w:eastAsia="zh-CN"/>
                    </w:rPr>
                    <w:t>存在散落堆放情况。</w:t>
                  </w:r>
                </w:p>
              </w:tc>
            </w:tr>
            <w:tr w14:paraId="679F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07" w:type="pct"/>
                  <w:noWrap w:val="0"/>
                  <w:vAlign w:val="center"/>
                </w:tcPr>
                <w:p w14:paraId="1B1EC82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4</w:t>
                  </w:r>
                </w:p>
              </w:tc>
              <w:tc>
                <w:tcPr>
                  <w:tcW w:w="1999" w:type="pct"/>
                  <w:noWrap w:val="0"/>
                  <w:vAlign w:val="center"/>
                </w:tcPr>
                <w:p w14:paraId="1B57A5F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rPr>
                    <w:t>贮存点应根据危险废物的形态、物理化学性质、包装形式等，采取防渗、防漏等污染防治措施或采用具有相应功能的装置。</w:t>
                  </w:r>
                </w:p>
              </w:tc>
              <w:tc>
                <w:tcPr>
                  <w:tcW w:w="2693" w:type="pct"/>
                  <w:noWrap w:val="0"/>
                  <w:vAlign w:val="center"/>
                </w:tcPr>
                <w:p w14:paraId="5E136BE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lang w:eastAsia="zh-CN"/>
                    </w:rPr>
                    <w:t>危废贮存点</w:t>
                  </w:r>
                  <w:r>
                    <w:rPr>
                      <w:rFonts w:hint="default" w:ascii="Times New Roman" w:hAnsi="Times New Roman" w:eastAsia="宋体" w:cs="Times New Roman"/>
                      <w:color w:val="auto"/>
                      <w:sz w:val="21"/>
                      <w:szCs w:val="21"/>
                      <w:highlight w:val="none"/>
                    </w:rPr>
                    <w:t>地面与裙角底层为水泥砂浆，上面铺设2mm厚高密度聚乙烯防渗布</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然后</w:t>
                  </w:r>
                  <w:r>
                    <w:rPr>
                      <w:rFonts w:hint="default" w:ascii="Times New Roman" w:hAnsi="Times New Roman" w:eastAsia="宋体" w:cs="Times New Roman"/>
                      <w:color w:val="auto"/>
                      <w:sz w:val="21"/>
                      <w:szCs w:val="21"/>
                      <w:highlight w:val="none"/>
                    </w:rPr>
                    <w:t>以防渗混凝土做地面，</w:t>
                  </w:r>
                  <w:r>
                    <w:rPr>
                      <w:rFonts w:hint="default" w:ascii="Times New Roman" w:hAnsi="Times New Roman" w:eastAsia="宋体" w:cs="Times New Roman"/>
                      <w:color w:val="auto"/>
                      <w:sz w:val="21"/>
                      <w:szCs w:val="21"/>
                      <w:highlight w:val="none"/>
                      <w:lang w:val="en-US" w:eastAsia="zh-CN"/>
                    </w:rPr>
                    <w:t>最后铺设一层环氧树脂防腐涂层。</w:t>
                  </w:r>
                  <w:r>
                    <w:rPr>
                      <w:rFonts w:hint="default" w:ascii="Times New Roman" w:hAnsi="Times New Roman" w:eastAsia="宋体" w:cs="Times New Roman"/>
                      <w:color w:val="auto"/>
                      <w:sz w:val="21"/>
                      <w:szCs w:val="21"/>
                      <w:highlight w:val="none"/>
                    </w:rPr>
                    <w:t>渗透系数≤1×10</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vertAlign w:val="superscript"/>
                    </w:rPr>
                    <w:t>10</w:t>
                  </w:r>
                  <w:r>
                    <w:rPr>
                      <w:rFonts w:hint="default" w:ascii="Times New Roman" w:hAnsi="Times New Roman" w:eastAsia="宋体" w:cs="Times New Roman"/>
                      <w:color w:val="auto"/>
                      <w:sz w:val="21"/>
                      <w:szCs w:val="21"/>
                      <w:highlight w:val="none"/>
                    </w:rPr>
                    <w:t>cm/s</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进口处设置0.</w:t>
                  </w:r>
                  <w:r>
                    <w:rPr>
                      <w:rFonts w:hint="eastAsia"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m高的围堰，</w:t>
                  </w:r>
                  <w:r>
                    <w:rPr>
                      <w:rFonts w:hint="default" w:ascii="Times New Roman" w:hAnsi="Times New Roman" w:eastAsia="宋体" w:cs="Times New Roman"/>
                      <w:color w:val="auto"/>
                      <w:sz w:val="21"/>
                      <w:szCs w:val="21"/>
                      <w:highlight w:val="none"/>
                    </w:rPr>
                    <w:t>贮存区四周建宽0.1m、深0.2m的导流渠，配套一座</w:t>
                  </w:r>
                  <w:r>
                    <w:rPr>
                      <w:rFonts w:hint="eastAsia" w:ascii="Times New Roman" w:hAnsi="Times New Roman" w:eastAsia="宋体" w:cs="Times New Roman"/>
                      <w:color w:val="auto"/>
                      <w:sz w:val="21"/>
                      <w:szCs w:val="21"/>
                      <w:highlight w:val="none"/>
                      <w:lang w:eastAsia="zh-CN"/>
                    </w:rPr>
                    <w:t>2</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的集油池</w:t>
                  </w:r>
                </w:p>
              </w:tc>
            </w:tr>
            <w:tr w14:paraId="6333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07" w:type="pct"/>
                  <w:noWrap w:val="0"/>
                  <w:vAlign w:val="center"/>
                </w:tcPr>
                <w:p w14:paraId="7E08BA2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vertAlign w:val="baseline"/>
                      <w:lang w:val="en-US" w:eastAsia="zh-CN" w:bidi="ar"/>
                    </w:rPr>
                    <w:t>5</w:t>
                  </w:r>
                </w:p>
              </w:tc>
              <w:tc>
                <w:tcPr>
                  <w:tcW w:w="1999" w:type="pct"/>
                  <w:noWrap w:val="0"/>
                  <w:vAlign w:val="center"/>
                </w:tcPr>
                <w:p w14:paraId="02FF3F2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贮存点应及时清运贮存的危险废物，实时贮存量不应超过3吨。</w:t>
                  </w:r>
                </w:p>
              </w:tc>
              <w:tc>
                <w:tcPr>
                  <w:tcW w:w="2693" w:type="pct"/>
                  <w:noWrap w:val="0"/>
                  <w:vAlign w:val="center"/>
                </w:tcPr>
                <w:p w14:paraId="335D430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本次环评要求建设单位每</w:t>
                  </w:r>
                  <w:r>
                    <w:rPr>
                      <w:rFonts w:hint="eastAsia" w:ascii="Times New Roman" w:hAnsi="Times New Roman" w:cs="Times New Roman"/>
                      <w:bCs/>
                      <w:color w:val="auto"/>
                      <w:kern w:val="2"/>
                      <w:sz w:val="21"/>
                      <w:szCs w:val="21"/>
                      <w:highlight w:val="none"/>
                      <w:lang w:val="en-US" w:eastAsia="zh-CN" w:bidi="ar-SA"/>
                    </w:rPr>
                    <w:t>三个月</w:t>
                  </w:r>
                  <w:r>
                    <w:rPr>
                      <w:rFonts w:hint="default" w:ascii="Times New Roman" w:hAnsi="Times New Roman" w:eastAsia="宋体" w:cs="Times New Roman"/>
                      <w:bCs/>
                      <w:color w:val="auto"/>
                      <w:kern w:val="2"/>
                      <w:sz w:val="21"/>
                      <w:szCs w:val="21"/>
                      <w:highlight w:val="none"/>
                      <w:lang w:val="en-US" w:eastAsia="zh-CN" w:bidi="ar-SA"/>
                    </w:rPr>
                    <w:t>对</w:t>
                  </w:r>
                  <w:r>
                    <w:rPr>
                      <w:rFonts w:hint="default" w:ascii="Times New Roman" w:hAnsi="Times New Roman" w:eastAsia="宋体" w:cs="Times New Roman"/>
                      <w:color w:val="auto"/>
                      <w:sz w:val="21"/>
                      <w:szCs w:val="21"/>
                      <w:highlight w:val="none"/>
                    </w:rPr>
                    <w:t>贮存点</w:t>
                  </w:r>
                  <w:r>
                    <w:rPr>
                      <w:rFonts w:hint="default" w:ascii="Times New Roman" w:hAnsi="Times New Roman" w:eastAsia="宋体" w:cs="Times New Roman"/>
                      <w:color w:val="auto"/>
                      <w:sz w:val="21"/>
                      <w:szCs w:val="21"/>
                      <w:highlight w:val="none"/>
                      <w:lang w:val="en-US" w:eastAsia="zh-CN"/>
                    </w:rPr>
                    <w:t>危险废物进行清运，实时贮存量不超过3t。</w:t>
                  </w:r>
                </w:p>
              </w:tc>
            </w:tr>
          </w:tbl>
          <w:p w14:paraId="354C0CF8">
            <w:pPr>
              <w:pStyle w:val="7"/>
              <w:keepNext w:val="0"/>
              <w:keepLines w:val="0"/>
              <w:suppressLineNumbers w:val="0"/>
              <w:adjustRightInd w:val="0"/>
              <w:snapToGrid w:val="0"/>
              <w:spacing w:before="0" w:beforeAutospacing="0" w:after="0" w:afterAutospacing="0"/>
              <w:ind w:left="0" w:right="0" w:firstLine="442" w:firstLineChars="200"/>
              <w:jc w:val="center"/>
              <w:rPr>
                <w:rFonts w:hint="default" w:ascii="Times New Roman" w:hAnsi="Times New Roman" w:cs="Times New Roman"/>
                <w:color w:val="auto"/>
                <w:highlight w:val="none"/>
                <w:lang w:val="en-US" w:eastAsia="zh-CN"/>
              </w:rPr>
            </w:pPr>
            <w:r>
              <w:rPr>
                <w:rFonts w:hint="eastAsia" w:ascii="Times New Roman" w:hAnsi="Times New Roman" w:eastAsia="宋体" w:cs="宋体"/>
                <w:b/>
                <w:color w:val="auto"/>
                <w:spacing w:val="-10"/>
                <w:sz w:val="24"/>
                <w:highlight w:val="none"/>
                <w:lang w:eastAsia="zh-CN"/>
              </w:rPr>
              <w:drawing>
                <wp:inline distT="0" distB="0" distL="114300" distR="114300">
                  <wp:extent cx="2914650" cy="1842770"/>
                  <wp:effectExtent l="0" t="0" r="0" b="5080"/>
                  <wp:docPr id="8" name="图片 32" descr="af613dba2bd5272b04d0369d05d5c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2" descr="af613dba2bd5272b04d0369d05d5c40"/>
                          <pic:cNvPicPr>
                            <a:picLocks noChangeAspect="1"/>
                          </pic:cNvPicPr>
                        </pic:nvPicPr>
                        <pic:blipFill>
                          <a:blip r:embed="rId24"/>
                          <a:stretch>
                            <a:fillRect/>
                          </a:stretch>
                        </pic:blipFill>
                        <pic:spPr>
                          <a:xfrm>
                            <a:off x="0" y="0"/>
                            <a:ext cx="2914650" cy="1842770"/>
                          </a:xfrm>
                          <a:prstGeom prst="rect">
                            <a:avLst/>
                          </a:prstGeom>
                          <a:noFill/>
                          <a:ln>
                            <a:noFill/>
                          </a:ln>
                        </pic:spPr>
                      </pic:pic>
                    </a:graphicData>
                  </a:graphic>
                </wp:inline>
              </w:drawing>
            </w:r>
          </w:p>
          <w:p w14:paraId="4210E0F1">
            <w:pPr>
              <w:pStyle w:val="7"/>
              <w:keepNext w:val="0"/>
              <w:keepLines w:val="0"/>
              <w:suppressLineNumbers w:val="0"/>
              <w:adjustRightInd w:val="0"/>
              <w:snapToGrid w:val="0"/>
              <w:spacing w:before="0" w:beforeAutospacing="0" w:after="0" w:afterAutospacing="0"/>
              <w:ind w:left="0" w:right="0" w:firstLine="482" w:firstLineChars="200"/>
              <w:jc w:val="center"/>
              <w:rPr>
                <w:rFonts w:hint="default" w:ascii="Times New Roman" w:hAnsi="Times New Roman" w:cs="Times New Roman"/>
                <w:b/>
                <w:color w:val="auto"/>
                <w:sz w:val="24"/>
                <w:szCs w:val="24"/>
                <w:highlight w:val="none"/>
                <w:lang w:val="en-US" w:eastAsia="zh-CN"/>
              </w:rPr>
            </w:pPr>
            <w:r>
              <w:rPr>
                <w:rFonts w:hint="default" w:ascii="Times New Roman" w:hAnsi="Times New Roman" w:cs="Times New Roman"/>
                <w:b/>
                <w:color w:val="auto"/>
                <w:sz w:val="24"/>
                <w:szCs w:val="24"/>
                <w:highlight w:val="none"/>
                <w:lang w:val="en-US" w:eastAsia="zh-CN"/>
              </w:rPr>
              <w:t>图</w:t>
            </w:r>
            <w:r>
              <w:rPr>
                <w:rFonts w:hint="eastAsia" w:ascii="Times New Roman" w:hAnsi="Times New Roman" w:cs="Times New Roman"/>
                <w:b/>
                <w:color w:val="auto"/>
                <w:sz w:val="24"/>
                <w:szCs w:val="24"/>
                <w:highlight w:val="none"/>
                <w:lang w:val="en-US" w:eastAsia="zh-CN"/>
              </w:rPr>
              <w:t>4-1</w:t>
            </w:r>
            <w:r>
              <w:rPr>
                <w:rFonts w:hint="default" w:ascii="Times New Roman" w:hAnsi="Times New Roman" w:cs="Times New Roman"/>
                <w:b/>
                <w:color w:val="auto"/>
                <w:sz w:val="24"/>
                <w:szCs w:val="24"/>
                <w:highlight w:val="none"/>
                <w:lang w:val="en-US" w:eastAsia="zh-CN"/>
              </w:rPr>
              <w:t>贮存设施标志</w:t>
            </w:r>
          </w:p>
          <w:p w14:paraId="7C879BE6">
            <w:pPr>
              <w:pStyle w:val="7"/>
              <w:keepNext w:val="0"/>
              <w:keepLines w:val="0"/>
              <w:suppressLineNumbers w:val="0"/>
              <w:adjustRightInd w:val="0"/>
              <w:snapToGrid w:val="0"/>
              <w:spacing w:before="0" w:beforeAutospacing="0" w:after="0" w:afterAutospacing="0"/>
              <w:ind w:left="0" w:right="0" w:firstLine="512" w:firstLineChars="200"/>
              <w:jc w:val="center"/>
              <w:rPr>
                <w:rFonts w:hint="default" w:ascii="Times New Roman" w:hAnsi="Times New Roman" w:eastAsia="Microsoft YaHei UI" w:cs="Times New Roman"/>
                <w:color w:val="auto"/>
                <w:spacing w:val="8"/>
                <w:highlight w:val="none"/>
                <w:shd w:val="clear" w:color="auto" w:fill="E6E6E6"/>
                <w:lang w:val="en-US" w:eastAsia="zh-CN"/>
              </w:rPr>
            </w:pPr>
            <w:r>
              <w:rPr>
                <w:rFonts w:hint="default" w:ascii="Times New Roman" w:hAnsi="Times New Roman" w:eastAsia="Microsoft YaHei UI" w:cs="Times New Roman"/>
                <w:color w:val="auto"/>
                <w:spacing w:val="8"/>
                <w:highlight w:val="none"/>
                <w:shd w:val="clear" w:color="auto" w:fill="E6E6E6"/>
                <w:lang w:val="en-US" w:eastAsia="zh-CN"/>
              </w:rPr>
              <w:drawing>
                <wp:inline distT="0" distB="0" distL="114300" distR="114300">
                  <wp:extent cx="2536190" cy="2247265"/>
                  <wp:effectExtent l="0" t="0" r="16510" b="635"/>
                  <wp:docPr id="9" name="图片 9"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说明: IMG_256"/>
                          <pic:cNvPicPr>
                            <a:picLocks noChangeAspect="1"/>
                          </pic:cNvPicPr>
                        </pic:nvPicPr>
                        <pic:blipFill>
                          <a:blip r:embed="rId25"/>
                          <a:stretch>
                            <a:fillRect/>
                          </a:stretch>
                        </pic:blipFill>
                        <pic:spPr>
                          <a:xfrm>
                            <a:off x="0" y="0"/>
                            <a:ext cx="2536190" cy="2247265"/>
                          </a:xfrm>
                          <a:prstGeom prst="rect">
                            <a:avLst/>
                          </a:prstGeom>
                          <a:noFill/>
                          <a:ln>
                            <a:noFill/>
                          </a:ln>
                        </pic:spPr>
                      </pic:pic>
                    </a:graphicData>
                  </a:graphic>
                </wp:inline>
              </w:drawing>
            </w:r>
          </w:p>
          <w:p w14:paraId="101FAAB9">
            <w:pPr>
              <w:pStyle w:val="7"/>
              <w:keepNext w:val="0"/>
              <w:keepLines w:val="0"/>
              <w:suppressLineNumbers w:val="0"/>
              <w:adjustRightInd w:val="0"/>
              <w:snapToGrid w:val="0"/>
              <w:spacing w:before="0" w:beforeAutospacing="0" w:after="0" w:afterAutospacing="0"/>
              <w:ind w:left="0" w:right="0" w:firstLine="482" w:firstLineChars="200"/>
              <w:jc w:val="center"/>
              <w:rPr>
                <w:rFonts w:hint="default" w:ascii="Times New Roman" w:hAnsi="Times New Roman" w:cs="Times New Roman"/>
                <w:b/>
                <w:color w:val="auto"/>
                <w:sz w:val="24"/>
                <w:szCs w:val="24"/>
                <w:highlight w:val="none"/>
                <w:lang w:val="en-US" w:eastAsia="zh-CN"/>
              </w:rPr>
            </w:pPr>
            <w:r>
              <w:rPr>
                <w:rFonts w:hint="default" w:ascii="Times New Roman" w:hAnsi="Times New Roman" w:cs="Times New Roman"/>
                <w:b/>
                <w:color w:val="auto"/>
                <w:sz w:val="24"/>
                <w:szCs w:val="24"/>
                <w:highlight w:val="none"/>
                <w:lang w:val="en-US" w:eastAsia="zh-CN"/>
              </w:rPr>
              <w:t>图</w:t>
            </w:r>
            <w:r>
              <w:rPr>
                <w:rFonts w:hint="eastAsia" w:ascii="Times New Roman" w:hAnsi="Times New Roman" w:cs="Times New Roman"/>
                <w:b/>
                <w:color w:val="auto"/>
                <w:sz w:val="24"/>
                <w:szCs w:val="24"/>
                <w:highlight w:val="none"/>
                <w:lang w:val="en-US" w:eastAsia="zh-CN"/>
              </w:rPr>
              <w:t>4-2</w:t>
            </w:r>
            <w:r>
              <w:rPr>
                <w:rFonts w:hint="default" w:ascii="Times New Roman" w:hAnsi="Times New Roman" w:cs="Times New Roman"/>
                <w:b/>
                <w:color w:val="auto"/>
                <w:sz w:val="24"/>
                <w:szCs w:val="24"/>
                <w:highlight w:val="none"/>
                <w:lang w:val="en-US" w:eastAsia="zh-CN"/>
              </w:rPr>
              <w:t>：危险废物标签样式示意图</w:t>
            </w:r>
          </w:p>
          <w:p w14:paraId="2BA3A2E8">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highlight w:val="none"/>
              </w:rPr>
            </w:pPr>
            <w:r>
              <w:rPr>
                <w:rFonts w:hint="eastAsia" w:cs="Times New Roman"/>
                <w:color w:val="auto"/>
                <w:kern w:val="0"/>
                <w:sz w:val="24"/>
                <w:szCs w:val="24"/>
                <w:highlight w:val="none"/>
                <w:lang w:val="en-US" w:eastAsia="zh-CN" w:bidi="ar"/>
              </w:rPr>
              <w:t>2.</w:t>
            </w:r>
            <w:r>
              <w:rPr>
                <w:rFonts w:hint="default" w:ascii="Times New Roman" w:hAnsi="Times New Roman" w:eastAsia="宋体" w:cs="Times New Roman"/>
                <w:color w:val="auto"/>
                <w:kern w:val="0"/>
                <w:sz w:val="24"/>
                <w:szCs w:val="24"/>
                <w:highlight w:val="none"/>
                <w:lang w:val="en-US" w:eastAsia="zh-CN" w:bidi="ar"/>
              </w:rPr>
              <w:t>贮存过程污染控制要求</w:t>
            </w:r>
          </w:p>
          <w:p w14:paraId="1DE0B6C9">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1）在常温常压下不易水解、不易挥发的固态危险废物可分类堆放贮存，其他固态危险废物应装入容器或包装物内贮存。</w:t>
            </w:r>
          </w:p>
          <w:p w14:paraId="0771700F">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2）液态危险废物应装入容器内贮存，或直接采用贮存池、贮存罐区贮存。</w:t>
            </w:r>
          </w:p>
          <w:p w14:paraId="07901237">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3）半固态危险废物应装入容器或包装袋内贮存，或直接采用贮存池贮存。</w:t>
            </w:r>
          </w:p>
          <w:p w14:paraId="32FCC10A">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4）具有热塑性的危险废物应装入容器或包装袋内进行贮存。</w:t>
            </w:r>
          </w:p>
          <w:p w14:paraId="083FE745">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5）易产生粉尘、VOCs、酸雾、有毒有害大气污染物和刺激性气味气体的危险废物应装入闭口容器或包装物内贮存。</w:t>
            </w:r>
          </w:p>
          <w:p w14:paraId="072F8736">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6）危险废物贮存过程中易产生粉尘等无组织排放的，应采取抑尘等有效措施。</w:t>
            </w:r>
          </w:p>
          <w:p w14:paraId="4EFDA4F0">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highlight w:val="none"/>
              </w:rPr>
            </w:pPr>
            <w:r>
              <w:rPr>
                <w:rFonts w:hint="eastAsia" w:cs="Times New Roman"/>
                <w:color w:val="auto"/>
                <w:kern w:val="0"/>
                <w:sz w:val="24"/>
                <w:szCs w:val="24"/>
                <w:highlight w:val="none"/>
                <w:lang w:val="en-US" w:eastAsia="zh-CN" w:bidi="ar"/>
              </w:rPr>
              <w:t>3.</w:t>
            </w:r>
            <w:r>
              <w:rPr>
                <w:rFonts w:hint="default" w:ascii="Times New Roman" w:hAnsi="Times New Roman" w:eastAsia="宋体" w:cs="Times New Roman"/>
                <w:color w:val="auto"/>
                <w:kern w:val="0"/>
                <w:sz w:val="24"/>
                <w:szCs w:val="24"/>
                <w:highlight w:val="none"/>
                <w:lang w:val="en-US" w:eastAsia="zh-CN" w:bidi="ar"/>
              </w:rPr>
              <w:t>污染物排放控制要求</w:t>
            </w:r>
          </w:p>
          <w:p w14:paraId="414520E5">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1）贮存设施产生的废水应进行收集处理。</w:t>
            </w:r>
          </w:p>
          <w:p w14:paraId="55D47F1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0"/>
                <w:sz w:val="24"/>
                <w:szCs w:val="24"/>
                <w:highlight w:val="none"/>
                <w:lang w:val="en-US" w:eastAsia="zh-CN" w:bidi="ar"/>
              </w:rPr>
              <w:t>2）贮存设施内产生以及清理的固体废物应按固体废物分类管理要求妥善处理。</w:t>
            </w:r>
          </w:p>
          <w:p w14:paraId="750FEC4B">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cs="Times New Roman"/>
                <w:b/>
                <w:bCs w:val="0"/>
                <w:color w:val="auto"/>
                <w:sz w:val="24"/>
                <w:szCs w:val="22"/>
                <w:highlight w:val="none"/>
              </w:rPr>
            </w:pPr>
            <w:r>
              <w:rPr>
                <w:rFonts w:hint="eastAsia" w:ascii="Times New Roman" w:hAnsi="Times New Roman" w:cs="Times New Roman"/>
                <w:b/>
                <w:bCs w:val="0"/>
                <w:color w:val="auto"/>
                <w:sz w:val="24"/>
                <w:szCs w:val="22"/>
                <w:highlight w:val="none"/>
                <w:lang w:val="en-US" w:eastAsia="zh-CN"/>
              </w:rPr>
              <w:t>4</w:t>
            </w:r>
            <w:r>
              <w:rPr>
                <w:rFonts w:hint="default" w:ascii="Times New Roman" w:hAnsi="Times New Roman" w:cs="Times New Roman"/>
                <w:b/>
                <w:bCs w:val="0"/>
                <w:color w:val="auto"/>
                <w:sz w:val="24"/>
                <w:szCs w:val="22"/>
                <w:highlight w:val="none"/>
              </w:rPr>
              <w:t>）危险废物厂内运输污染防治措施</w:t>
            </w:r>
          </w:p>
          <w:p w14:paraId="57CA1814">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①采用专业罐车运输，运输过程严禁敞开，防止运输途中废物泄漏现象。</w:t>
            </w:r>
          </w:p>
          <w:p w14:paraId="2ED7993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②合理划定危废厂内运输路线，禁止进入厂前区或其他区域。运输危废的车辆严格从原料运输路线进入危废处置区域，卸料后的空车原路返回。</w:t>
            </w:r>
          </w:p>
          <w:p w14:paraId="365E741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③企业应制定在</w:t>
            </w:r>
            <w:r>
              <w:rPr>
                <w:rFonts w:hint="eastAsia" w:ascii="Times New Roman" w:hAnsi="Times New Roman" w:cs="Times New Roman"/>
                <w:color w:val="auto"/>
                <w:sz w:val="24"/>
                <w:szCs w:val="22"/>
                <w:highlight w:val="none"/>
                <w:lang w:val="en-US" w:eastAsia="zh-CN"/>
              </w:rPr>
              <w:t>发生</w:t>
            </w:r>
            <w:r>
              <w:rPr>
                <w:rFonts w:hint="default" w:ascii="Times New Roman" w:hAnsi="Times New Roman" w:cs="Times New Roman"/>
                <w:color w:val="auto"/>
                <w:sz w:val="24"/>
                <w:szCs w:val="22"/>
                <w:highlight w:val="none"/>
              </w:rPr>
              <w:t>意外事故时采用的应急具体措施和安全防范措施。</w:t>
            </w:r>
          </w:p>
          <w:p w14:paraId="31AC344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Cs/>
                <w:color w:val="auto"/>
                <w:sz w:val="24"/>
                <w:szCs w:val="22"/>
                <w:highlight w:val="none"/>
              </w:rPr>
            </w:pPr>
            <w:r>
              <w:rPr>
                <w:rFonts w:hint="default" w:ascii="Times New Roman" w:hAnsi="Times New Roman" w:cs="Times New Roman"/>
                <w:bCs/>
                <w:color w:val="auto"/>
                <w:sz w:val="24"/>
                <w:szCs w:val="22"/>
                <w:highlight w:val="none"/>
              </w:rPr>
              <w:t>（5）危险废物委托处置污染防治措施</w:t>
            </w:r>
          </w:p>
          <w:p w14:paraId="2E8DC5E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根据国务院令第344号《危险化学品安全管理条例》的有关规定，在危险废物外运至处置单位时必须严格遵守以下要求：</w:t>
            </w:r>
          </w:p>
          <w:p w14:paraId="69849B9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2"/>
                <w:highlight w:val="none"/>
              </w:rPr>
            </w:pPr>
            <w:r>
              <w:rPr>
                <w:rFonts w:hint="default" w:ascii="Times New Roman" w:hAnsi="Times New Roman" w:eastAsia="宋体" w:cs="Times New Roman"/>
                <w:color w:val="auto"/>
                <w:kern w:val="2"/>
                <w:sz w:val="24"/>
                <w:szCs w:val="22"/>
                <w:highlight w:val="none"/>
                <w:lang w:val="en-US" w:eastAsia="zh-CN" w:bidi="ar-SA"/>
              </w:rPr>
              <w:t>①危险废物转移联单实行全国统一编号，编号由十四位阿拉伯数字组成。第一至四位数字为年份代码；第五、六位数字为移出地省级行政区划代码；第七、八位数字为移出地设区的市级行政区划代码；其余六位数字以移出地设区的市级行政区域为单位进行流水编号。危险废物电子转移联单数据应当在信息系统中至少保存十年。因特殊原因无法运行危险废物电子转移联单的，可以先使用纸质转移联单，并于转移活动完成后十个工作日内在信息系统中补录电子转移联单。</w:t>
            </w:r>
          </w:p>
          <w:p w14:paraId="674A4AF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②废弃物处置单位的运输人员必须掌握危险化学品运输的安全知识，化学品的性质、危害特性、包装容器的使用特性和发生意外时的应急措施，了解所运载的危险。运输车辆必须具有车辆危险货物运输许可证。驾驶人员必须由取得驾驶执照的熟练人员担任。</w:t>
            </w:r>
          </w:p>
          <w:p w14:paraId="0C30ED9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③处置单位在运输危险废物时必须配备押运人员，并随时处于押运人员的监管之下，不得超装、超载，严格按照所在城市规定的行车时间和行车路线行驶，不得进入危险化学品运输车辆禁止通行的区域。</w:t>
            </w:r>
          </w:p>
          <w:p w14:paraId="354815DE">
            <w:pPr>
              <w:keepNext w:val="0"/>
              <w:keepLines w:val="0"/>
              <w:widowControl/>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④危险废物在运输途中若发生被盗、丢失、流散、泄漏等情况时，公司及押运人员必须立即向当地公安部门报告，并采取一切可能的警示措施。</w:t>
            </w:r>
          </w:p>
          <w:p w14:paraId="5E8CED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⑤一旦发生废弃物泄漏事故，建设单位和废弃物处置单位都应积极协助有关部门采取必要的安全措施，减少事故损失，防止事故蔓延、扩大；针对事故对人体、动植物、土壤、水源、空气造成的现实危害和可能产生的危害，应迅速采取封闭、隔离、洗消等措施，并对事故造成的危害进行监测、处置，直至符合国家环境保护标准。</w:t>
            </w:r>
          </w:p>
          <w:p w14:paraId="0C4B5F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ascii="Times New Roman" w:hAnsi="Times New Roman" w:cs="Times New Roman"/>
                <w:b/>
                <w:bCs/>
                <w:color w:val="auto"/>
                <w:sz w:val="24"/>
                <w:szCs w:val="24"/>
                <w:highlight w:val="none"/>
              </w:rPr>
            </w:pPr>
            <w:r>
              <w:rPr>
                <w:rFonts w:hint="eastAsia" w:cs="Times New Roman"/>
                <w:b/>
                <w:bCs/>
                <w:color w:val="auto"/>
                <w:sz w:val="24"/>
                <w:szCs w:val="24"/>
                <w:highlight w:val="none"/>
                <w:lang w:val="en-US" w:eastAsia="zh-CN"/>
              </w:rPr>
              <w:t>5.</w:t>
            </w:r>
            <w:r>
              <w:rPr>
                <w:rFonts w:hint="eastAsia" w:ascii="Times New Roman" w:hAnsi="Times New Roman" w:cs="Times New Roman"/>
                <w:b/>
                <w:bCs/>
                <w:color w:val="auto"/>
                <w:sz w:val="24"/>
                <w:szCs w:val="24"/>
                <w:highlight w:val="none"/>
              </w:rPr>
              <w:t>环境风险</w:t>
            </w:r>
          </w:p>
          <w:p w14:paraId="4F96A8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（1）风险源调查</w:t>
            </w:r>
          </w:p>
          <w:p w14:paraId="2E9E2C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本项目涉及的危险物质有</w:t>
            </w:r>
            <w:r>
              <w:rPr>
                <w:rFonts w:hint="eastAsia" w:ascii="Times New Roman" w:hAnsi="Times New Roman" w:cs="Times New Roman"/>
                <w:color w:val="auto"/>
                <w:sz w:val="24"/>
                <w:szCs w:val="24"/>
                <w:highlight w:val="none"/>
                <w:lang w:val="en-US" w:eastAsia="zh-CN"/>
              </w:rPr>
              <w:t>矿物油、</w:t>
            </w:r>
            <w:r>
              <w:rPr>
                <w:rFonts w:hint="eastAsia" w:ascii="Times New Roman" w:hAnsi="Times New Roman" w:cs="Times New Roman"/>
                <w:color w:val="auto"/>
                <w:sz w:val="24"/>
                <w:szCs w:val="24"/>
                <w:highlight w:val="none"/>
              </w:rPr>
              <w:t>废</w:t>
            </w:r>
            <w:r>
              <w:rPr>
                <w:rFonts w:hint="eastAsia" w:ascii="Times New Roman" w:hAnsi="Times New Roman" w:cs="Times New Roman"/>
                <w:color w:val="auto"/>
                <w:sz w:val="24"/>
                <w:szCs w:val="24"/>
                <w:highlight w:val="none"/>
                <w:lang w:val="en-US" w:eastAsia="zh-CN"/>
              </w:rPr>
              <w:t>矿物油</w:t>
            </w:r>
            <w:r>
              <w:rPr>
                <w:rFonts w:hint="eastAsia" w:cs="Times New Roman"/>
                <w:color w:val="auto"/>
                <w:sz w:val="24"/>
                <w:szCs w:val="24"/>
                <w:highlight w:val="none"/>
                <w:lang w:val="en-US" w:eastAsia="zh-CN"/>
              </w:rPr>
              <w:t>、瓦斯（主要成分为甲烷）</w:t>
            </w:r>
            <w:r>
              <w:rPr>
                <w:rFonts w:hint="eastAsia" w:ascii="Times New Roman" w:hAnsi="Times New Roman" w:cs="Times New Roman"/>
                <w:color w:val="auto"/>
                <w:sz w:val="24"/>
                <w:szCs w:val="24"/>
                <w:highlight w:val="none"/>
              </w:rPr>
              <w:t>。涉及的危险物质和分布情况、生产工艺特点等见下表4-</w:t>
            </w:r>
            <w:r>
              <w:rPr>
                <w:rFonts w:hint="eastAsia" w:ascii="Times New Roman" w:hAnsi="Times New Roman" w:cs="Times New Roman"/>
                <w:color w:val="auto"/>
                <w:sz w:val="24"/>
                <w:szCs w:val="24"/>
                <w:highlight w:val="none"/>
                <w:lang w:val="en-US" w:eastAsia="zh-CN"/>
              </w:rPr>
              <w:t>1</w:t>
            </w:r>
            <w:r>
              <w:rPr>
                <w:rFonts w:hint="eastAsia" w:cs="Times New Roman"/>
                <w:color w:val="auto"/>
                <w:sz w:val="24"/>
                <w:szCs w:val="24"/>
                <w:highlight w:val="none"/>
                <w:lang w:val="en-US" w:eastAsia="zh-CN"/>
              </w:rPr>
              <w:t>4</w:t>
            </w:r>
            <w:r>
              <w:rPr>
                <w:rFonts w:hint="eastAsia" w:ascii="Times New Roman" w:hAnsi="Times New Roman" w:cs="Times New Roman"/>
                <w:color w:val="auto"/>
                <w:sz w:val="24"/>
                <w:szCs w:val="24"/>
                <w:highlight w:val="none"/>
              </w:rPr>
              <w:t>。</w:t>
            </w:r>
          </w:p>
          <w:p w14:paraId="22C4F9BB">
            <w:pPr>
              <w:pStyle w:val="16"/>
              <w:keepNext w:val="0"/>
              <w:keepLines w:val="0"/>
              <w:suppressLineNumbers w:val="0"/>
              <w:spacing w:before="0" w:beforeAutospacing="0" w:after="0" w:afterAutospacing="0" w:line="360" w:lineRule="auto"/>
              <w:ind w:left="0" w:right="0" w:firstLine="480" w:firstLineChars="200"/>
              <w:jc w:val="both"/>
              <w:rPr>
                <w:rFonts w:hint="default"/>
                <w:color w:val="auto"/>
                <w:kern w:val="2"/>
                <w:sz w:val="24"/>
                <w:szCs w:val="24"/>
                <w:highlight w:val="none"/>
              </w:rPr>
            </w:pPr>
            <w:r>
              <w:rPr>
                <w:rFonts w:hint="eastAsia"/>
                <w:color w:val="auto"/>
                <w:kern w:val="2"/>
                <w:sz w:val="24"/>
                <w:szCs w:val="24"/>
                <w:highlight w:val="none"/>
              </w:rPr>
              <w:t>瓦斯气</w:t>
            </w:r>
            <w:r>
              <w:rPr>
                <w:rFonts w:hint="eastAsia"/>
                <w:color w:val="auto"/>
                <w:kern w:val="2"/>
                <w:sz w:val="24"/>
                <w:szCs w:val="24"/>
                <w:highlight w:val="none"/>
                <w:lang w:eastAsia="zh-CN"/>
              </w:rPr>
              <w:t>由</w:t>
            </w:r>
            <w:r>
              <w:rPr>
                <w:rFonts w:hint="eastAsia" w:ascii="Times New Roman" w:hAnsi="Times New Roman" w:eastAsia="宋体" w:cs="Times New Roman"/>
                <w:color w:val="auto"/>
                <w:kern w:val="2"/>
                <w:sz w:val="24"/>
                <w:szCs w:val="24"/>
                <w:highlight w:val="none"/>
                <w:lang w:val="en-US" w:eastAsia="zh-CN"/>
              </w:rPr>
              <w:t>兴裕煤矿</w:t>
            </w:r>
            <w:r>
              <w:rPr>
                <w:rFonts w:hint="eastAsia"/>
                <w:color w:val="auto"/>
                <w:kern w:val="2"/>
                <w:sz w:val="24"/>
                <w:szCs w:val="24"/>
                <w:highlight w:val="none"/>
                <w:lang w:eastAsia="zh-CN"/>
              </w:rPr>
              <w:t>供给，已接入厂区</w:t>
            </w:r>
            <w:r>
              <w:rPr>
                <w:rFonts w:hint="eastAsia"/>
                <w:color w:val="auto"/>
                <w:kern w:val="2"/>
                <w:sz w:val="24"/>
                <w:szCs w:val="24"/>
                <w:highlight w:val="none"/>
              </w:rPr>
              <w:t>，本项目</w:t>
            </w:r>
            <w:r>
              <w:rPr>
                <w:rFonts w:hint="eastAsia"/>
                <w:color w:val="auto"/>
                <w:kern w:val="2"/>
                <w:sz w:val="24"/>
                <w:szCs w:val="24"/>
                <w:highlight w:val="none"/>
                <w:lang w:eastAsia="zh-CN"/>
              </w:rPr>
              <w:t>瓦斯存在量按照两个截断阀之间管段最大存在量计算，</w:t>
            </w:r>
            <w:r>
              <w:rPr>
                <w:rFonts w:hint="eastAsia"/>
                <w:color w:val="auto"/>
                <w:kern w:val="2"/>
                <w:sz w:val="24"/>
                <w:szCs w:val="24"/>
                <w:highlight w:val="none"/>
              </w:rPr>
              <w:t>瓦斯输气管线长约</w:t>
            </w:r>
            <w:r>
              <w:rPr>
                <w:rFonts w:hint="eastAsia" w:ascii="Times New Roman" w:hAnsi="Times New Roman" w:eastAsia="宋体" w:cs="Times New Roman"/>
                <w:color w:val="auto"/>
                <w:kern w:val="2"/>
                <w:sz w:val="24"/>
                <w:szCs w:val="24"/>
                <w:highlight w:val="none"/>
                <w:lang w:val="en-US" w:eastAsia="zh-CN"/>
              </w:rPr>
              <w:t>240</w:t>
            </w:r>
            <w:r>
              <w:rPr>
                <w:rFonts w:hint="eastAsia"/>
                <w:color w:val="auto"/>
                <w:kern w:val="2"/>
                <w:sz w:val="24"/>
                <w:szCs w:val="24"/>
                <w:highlight w:val="none"/>
              </w:rPr>
              <w:t>m，管道平均内径</w:t>
            </w:r>
            <w:r>
              <w:rPr>
                <w:rFonts w:hint="eastAsia" w:ascii="Times New Roman" w:hAnsi="Times New Roman" w:eastAsia="宋体" w:cs="Times New Roman"/>
                <w:color w:val="auto"/>
                <w:kern w:val="2"/>
                <w:sz w:val="24"/>
                <w:szCs w:val="24"/>
                <w:highlight w:val="none"/>
                <w:lang w:val="en-US" w:eastAsia="zh-CN"/>
              </w:rPr>
              <w:t>800</w:t>
            </w:r>
            <w:r>
              <w:rPr>
                <w:rFonts w:hint="eastAsia"/>
                <w:color w:val="auto"/>
                <w:kern w:val="2"/>
                <w:sz w:val="24"/>
                <w:szCs w:val="24"/>
                <w:highlight w:val="none"/>
              </w:rPr>
              <w:t>mm，</w:t>
            </w:r>
            <w:r>
              <w:rPr>
                <w:rFonts w:hint="eastAsia"/>
                <w:color w:val="auto"/>
                <w:kern w:val="2"/>
                <w:sz w:val="24"/>
                <w:szCs w:val="24"/>
                <w:highlight w:val="none"/>
                <w:lang w:eastAsia="zh-CN"/>
              </w:rPr>
              <w:t>按照气体成分分析报告，</w:t>
            </w:r>
            <w:r>
              <w:rPr>
                <w:rFonts w:hint="eastAsia"/>
                <w:color w:val="auto"/>
                <w:kern w:val="2"/>
                <w:sz w:val="24"/>
                <w:szCs w:val="24"/>
                <w:highlight w:val="none"/>
              </w:rPr>
              <w:t>甲烷</w:t>
            </w:r>
            <w:r>
              <w:rPr>
                <w:rFonts w:hint="eastAsia"/>
                <w:color w:val="auto"/>
                <w:kern w:val="2"/>
                <w:sz w:val="24"/>
                <w:szCs w:val="24"/>
                <w:highlight w:val="none"/>
                <w:lang w:eastAsia="zh-CN"/>
              </w:rPr>
              <w:t>成分</w:t>
            </w:r>
            <w:r>
              <w:rPr>
                <w:rFonts w:hint="eastAsia"/>
                <w:color w:val="auto"/>
                <w:kern w:val="2"/>
                <w:sz w:val="24"/>
                <w:szCs w:val="24"/>
                <w:highlight w:val="none"/>
              </w:rPr>
              <w:t>为</w:t>
            </w:r>
            <w:r>
              <w:rPr>
                <w:rFonts w:hint="eastAsia" w:ascii="Times New Roman" w:hAnsi="Times New Roman" w:eastAsia="宋体" w:cs="Times New Roman"/>
                <w:color w:val="auto"/>
                <w:kern w:val="2"/>
                <w:sz w:val="24"/>
                <w:szCs w:val="24"/>
                <w:highlight w:val="none"/>
                <w:lang w:val="en-US" w:eastAsia="zh-CN"/>
              </w:rPr>
              <w:t>12.5</w:t>
            </w:r>
            <w:r>
              <w:rPr>
                <w:rFonts w:hint="eastAsia"/>
                <w:color w:val="auto"/>
                <w:kern w:val="2"/>
                <w:sz w:val="24"/>
                <w:szCs w:val="24"/>
                <w:highlight w:val="none"/>
              </w:rPr>
              <w:t>%，甲烷密度为0.714kg/m</w:t>
            </w:r>
            <w:r>
              <w:rPr>
                <w:rFonts w:hint="eastAsia"/>
                <w:color w:val="auto"/>
                <w:kern w:val="2"/>
                <w:sz w:val="24"/>
                <w:szCs w:val="24"/>
                <w:highlight w:val="none"/>
                <w:vertAlign w:val="superscript"/>
              </w:rPr>
              <w:t>3</w:t>
            </w:r>
            <w:r>
              <w:rPr>
                <w:rFonts w:hint="eastAsia"/>
                <w:color w:val="auto"/>
                <w:kern w:val="2"/>
                <w:sz w:val="24"/>
                <w:szCs w:val="24"/>
                <w:highlight w:val="none"/>
              </w:rPr>
              <w:t>，管道内甲烷最大储量为</w:t>
            </w:r>
            <w:r>
              <w:rPr>
                <w:rFonts w:hint="eastAsia" w:ascii="Times New Roman" w:hAnsi="Times New Roman" w:eastAsia="宋体" w:cs="Times New Roman"/>
                <w:color w:val="auto"/>
                <w:kern w:val="2"/>
                <w:sz w:val="24"/>
                <w:szCs w:val="24"/>
                <w:highlight w:val="none"/>
                <w:lang w:val="en-US" w:eastAsia="zh-CN"/>
              </w:rPr>
              <w:t>0.011</w:t>
            </w:r>
            <w:r>
              <w:rPr>
                <w:rFonts w:hint="eastAsia"/>
                <w:color w:val="auto"/>
                <w:kern w:val="2"/>
                <w:sz w:val="24"/>
                <w:szCs w:val="24"/>
                <w:highlight w:val="none"/>
              </w:rPr>
              <w:t>t，输送管道全部架空敷设</w:t>
            </w:r>
            <w:r>
              <w:rPr>
                <w:rFonts w:hint="eastAsia" w:ascii="Times New Roman" w:hAnsi="Times New Roman" w:eastAsia="宋体" w:cs="Times New Roman"/>
                <w:color w:val="auto"/>
                <w:kern w:val="2"/>
                <w:sz w:val="24"/>
                <w:szCs w:val="24"/>
                <w:highlight w:val="none"/>
                <w:lang w:eastAsia="zh-CN"/>
              </w:rPr>
              <w:t>。</w:t>
            </w:r>
          </w:p>
          <w:p w14:paraId="1A5DD71C">
            <w:pPr>
              <w:keepNext w:val="0"/>
              <w:keepLines w:val="0"/>
              <w:suppressLineNumbers w:val="0"/>
              <w:adjustRightInd w:val="0"/>
              <w:snapToGrid w:val="0"/>
              <w:spacing w:before="0" w:beforeAutospacing="0" w:after="0" w:afterAutospacing="0" w:line="360" w:lineRule="auto"/>
              <w:ind w:left="0" w:right="0" w:firstLine="442" w:firstLineChars="200"/>
              <w:jc w:val="center"/>
              <w:rPr>
                <w:rFonts w:hint="default" w:ascii="Times New Roman" w:hAnsi="Times New Roman" w:cs="Times New Roman"/>
                <w:b/>
                <w:color w:val="auto"/>
                <w:spacing w:val="-10"/>
                <w:sz w:val="24"/>
                <w:szCs w:val="24"/>
                <w:highlight w:val="none"/>
              </w:rPr>
            </w:pPr>
            <w:r>
              <w:rPr>
                <w:rFonts w:hint="default" w:ascii="Times New Roman" w:hAnsi="Times New Roman" w:cs="Times New Roman"/>
                <w:b/>
                <w:color w:val="auto"/>
                <w:spacing w:val="-10"/>
                <w:sz w:val="24"/>
                <w:szCs w:val="24"/>
                <w:highlight w:val="none"/>
              </w:rPr>
              <w:t>表4-</w:t>
            </w:r>
            <w:r>
              <w:rPr>
                <w:rFonts w:hint="eastAsia" w:ascii="Times New Roman" w:hAnsi="Times New Roman" w:cs="Times New Roman"/>
                <w:b/>
                <w:color w:val="auto"/>
                <w:spacing w:val="-10"/>
                <w:sz w:val="24"/>
                <w:szCs w:val="24"/>
                <w:highlight w:val="none"/>
                <w:lang w:val="en-US" w:eastAsia="zh-CN"/>
              </w:rPr>
              <w:t>1</w:t>
            </w:r>
            <w:r>
              <w:rPr>
                <w:rFonts w:hint="eastAsia" w:cs="Times New Roman"/>
                <w:b/>
                <w:color w:val="auto"/>
                <w:spacing w:val="-10"/>
                <w:sz w:val="24"/>
                <w:szCs w:val="24"/>
                <w:highlight w:val="none"/>
                <w:lang w:val="en-US" w:eastAsia="zh-CN"/>
              </w:rPr>
              <w:t>4</w:t>
            </w:r>
            <w:r>
              <w:rPr>
                <w:rFonts w:hint="default" w:ascii="Times New Roman" w:hAnsi="Times New Roman" w:cs="Times New Roman"/>
                <w:b/>
                <w:color w:val="auto"/>
                <w:spacing w:val="-10"/>
                <w:sz w:val="24"/>
                <w:szCs w:val="24"/>
                <w:highlight w:val="none"/>
              </w:rPr>
              <w:t>建设项目风险源调查表</w:t>
            </w:r>
          </w:p>
          <w:tbl>
            <w:tblPr>
              <w:tblStyle w:val="23"/>
              <w:tblW w:w="5000"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426"/>
              <w:gridCol w:w="1291"/>
              <w:gridCol w:w="1467"/>
              <w:gridCol w:w="1280"/>
              <w:gridCol w:w="1767"/>
            </w:tblGrid>
            <w:tr w14:paraId="7075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7" w:type="pct"/>
                  <w:noWrap w:val="0"/>
                  <w:vAlign w:val="center"/>
                </w:tcPr>
                <w:p w14:paraId="786634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序号</w:t>
                  </w:r>
                </w:p>
              </w:tc>
              <w:tc>
                <w:tcPr>
                  <w:tcW w:w="899" w:type="pct"/>
                  <w:shd w:val="clear" w:color="auto" w:fill="auto"/>
                  <w:noWrap w:val="0"/>
                  <w:vAlign w:val="center"/>
                </w:tcPr>
                <w:p w14:paraId="0C605F0C">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物质名称</w:t>
                  </w:r>
                </w:p>
              </w:tc>
              <w:tc>
                <w:tcPr>
                  <w:tcW w:w="814" w:type="pct"/>
                  <w:noWrap w:val="0"/>
                  <w:vAlign w:val="center"/>
                </w:tcPr>
                <w:p w14:paraId="29C27B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危险物质</w:t>
                  </w:r>
                </w:p>
              </w:tc>
              <w:tc>
                <w:tcPr>
                  <w:tcW w:w="925" w:type="pct"/>
                  <w:noWrap w:val="0"/>
                  <w:vAlign w:val="center"/>
                </w:tcPr>
                <w:p w14:paraId="7EB024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最大存在总量</w:t>
                  </w:r>
                </w:p>
              </w:tc>
              <w:tc>
                <w:tcPr>
                  <w:tcW w:w="807" w:type="pct"/>
                  <w:noWrap w:val="0"/>
                  <w:vAlign w:val="center"/>
                </w:tcPr>
                <w:p w14:paraId="3BF92F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分布</w:t>
                  </w:r>
                </w:p>
              </w:tc>
              <w:tc>
                <w:tcPr>
                  <w:tcW w:w="1114" w:type="pct"/>
                  <w:noWrap w:val="0"/>
                  <w:vAlign w:val="center"/>
                </w:tcPr>
                <w:p w14:paraId="6F37D3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涉及的生产工艺特点</w:t>
                  </w:r>
                </w:p>
              </w:tc>
            </w:tr>
            <w:tr w14:paraId="2D5D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437" w:type="pct"/>
                  <w:noWrap w:val="0"/>
                  <w:vAlign w:val="center"/>
                </w:tcPr>
                <w:p w14:paraId="0CECAF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s="宋体"/>
                      <w:b w:val="0"/>
                      <w:bCs/>
                      <w:color w:val="auto"/>
                      <w:spacing w:val="-10"/>
                      <w:sz w:val="21"/>
                      <w:szCs w:val="21"/>
                      <w:highlight w:val="none"/>
                    </w:rPr>
                  </w:pPr>
                  <w:r>
                    <w:rPr>
                      <w:rFonts w:hint="eastAsia" w:ascii="Times New Roman" w:hAnsi="Times New Roman" w:cs="宋体"/>
                      <w:b w:val="0"/>
                      <w:bCs/>
                      <w:color w:val="auto"/>
                      <w:spacing w:val="-10"/>
                      <w:sz w:val="21"/>
                      <w:szCs w:val="21"/>
                      <w:highlight w:val="none"/>
                    </w:rPr>
                    <w:t>1</w:t>
                  </w:r>
                </w:p>
              </w:tc>
              <w:tc>
                <w:tcPr>
                  <w:tcW w:w="899" w:type="pct"/>
                  <w:shd w:val="clear" w:color="auto" w:fill="auto"/>
                  <w:noWrap w:val="0"/>
                  <w:vAlign w:val="center"/>
                </w:tcPr>
                <w:p w14:paraId="0F0666AD">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eastAsia="zh-CN"/>
                    </w:rPr>
                    <w:t>润滑油</w:t>
                  </w:r>
                </w:p>
              </w:tc>
              <w:tc>
                <w:tcPr>
                  <w:tcW w:w="814" w:type="pct"/>
                  <w:noWrap w:val="0"/>
                  <w:vAlign w:val="center"/>
                </w:tcPr>
                <w:p w14:paraId="658773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s="宋体"/>
                      <w:b w:val="0"/>
                      <w:bCs/>
                      <w:color w:val="auto"/>
                      <w:spacing w:val="-10"/>
                      <w:sz w:val="21"/>
                      <w:szCs w:val="21"/>
                      <w:highlight w:val="none"/>
                      <w:lang w:eastAsia="zh-CN"/>
                    </w:rPr>
                  </w:pPr>
                  <w:r>
                    <w:rPr>
                      <w:rFonts w:hint="eastAsia" w:ascii="宋体" w:hAnsi="宋体" w:cs="宋体"/>
                      <w:b w:val="0"/>
                      <w:bCs/>
                      <w:color w:val="auto"/>
                      <w:spacing w:val="-10"/>
                      <w:sz w:val="21"/>
                      <w:szCs w:val="21"/>
                      <w:highlight w:val="none"/>
                      <w:lang w:val="en-US" w:eastAsia="zh-CN"/>
                    </w:rPr>
                    <w:t>矿物油</w:t>
                  </w:r>
                </w:p>
              </w:tc>
              <w:tc>
                <w:tcPr>
                  <w:tcW w:w="925" w:type="pct"/>
                  <w:noWrap w:val="0"/>
                  <w:vAlign w:val="center"/>
                </w:tcPr>
                <w:p w14:paraId="6E7A58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s="宋体"/>
                      <w:b w:val="0"/>
                      <w:bCs/>
                      <w:color w:val="auto"/>
                      <w:spacing w:val="-10"/>
                      <w:sz w:val="21"/>
                      <w:szCs w:val="21"/>
                      <w:highlight w:val="none"/>
                    </w:rPr>
                  </w:pPr>
                  <w:r>
                    <w:rPr>
                      <w:rFonts w:hint="eastAsia" w:ascii="Times New Roman" w:hAnsi="Times New Roman" w:cs="Times New Roman"/>
                      <w:b w:val="0"/>
                      <w:bCs/>
                      <w:color w:val="auto"/>
                      <w:spacing w:val="-10"/>
                      <w:sz w:val="21"/>
                      <w:szCs w:val="21"/>
                      <w:highlight w:val="none"/>
                      <w:lang w:val="en-US" w:eastAsia="zh-CN"/>
                    </w:rPr>
                    <w:t>0.6t</w:t>
                  </w:r>
                </w:p>
              </w:tc>
              <w:tc>
                <w:tcPr>
                  <w:tcW w:w="807" w:type="pct"/>
                  <w:noWrap w:val="0"/>
                  <w:vAlign w:val="center"/>
                </w:tcPr>
                <w:p w14:paraId="0C6411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lang w:val="en-US" w:eastAsia="zh-CN"/>
                    </w:rPr>
                    <w:t>库房</w:t>
                  </w:r>
                </w:p>
              </w:tc>
              <w:tc>
                <w:tcPr>
                  <w:tcW w:w="1114" w:type="pct"/>
                  <w:vMerge w:val="restart"/>
                  <w:noWrap w:val="0"/>
                  <w:vAlign w:val="center"/>
                </w:tcPr>
                <w:p w14:paraId="2A5FA6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机械设备维护</w:t>
                  </w:r>
                </w:p>
              </w:tc>
            </w:tr>
            <w:tr w14:paraId="2843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437" w:type="pct"/>
                  <w:noWrap w:val="0"/>
                  <w:vAlign w:val="center"/>
                </w:tcPr>
                <w:p w14:paraId="25E0C6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imes New Roman" w:hAnsi="Times New Roman" w:eastAsia="宋体" w:cs="宋体"/>
                      <w:b w:val="0"/>
                      <w:bCs/>
                      <w:color w:val="auto"/>
                      <w:spacing w:val="-10"/>
                      <w:sz w:val="21"/>
                      <w:szCs w:val="21"/>
                      <w:highlight w:val="none"/>
                      <w:lang w:val="en-US" w:eastAsia="zh-CN"/>
                    </w:rPr>
                  </w:pPr>
                  <w:r>
                    <w:rPr>
                      <w:rFonts w:hint="eastAsia" w:ascii="Times New Roman" w:hAnsi="Times New Roman" w:cs="宋体"/>
                      <w:b w:val="0"/>
                      <w:bCs/>
                      <w:color w:val="auto"/>
                      <w:spacing w:val="-10"/>
                      <w:sz w:val="21"/>
                      <w:szCs w:val="21"/>
                      <w:highlight w:val="none"/>
                      <w:lang w:val="en-US" w:eastAsia="zh-CN"/>
                    </w:rPr>
                    <w:t>2</w:t>
                  </w:r>
                </w:p>
              </w:tc>
              <w:tc>
                <w:tcPr>
                  <w:tcW w:w="899" w:type="pct"/>
                  <w:shd w:val="clear" w:color="auto" w:fill="auto"/>
                  <w:noWrap w:val="0"/>
                  <w:vAlign w:val="center"/>
                </w:tcPr>
                <w:p w14:paraId="4267531C">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eastAsia="zh-CN"/>
                    </w:rPr>
                    <w:t>废矿物油</w:t>
                  </w:r>
                </w:p>
              </w:tc>
              <w:tc>
                <w:tcPr>
                  <w:tcW w:w="814" w:type="pct"/>
                  <w:noWrap w:val="0"/>
                  <w:vAlign w:val="center"/>
                </w:tcPr>
                <w:p w14:paraId="47AC88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废</w:t>
                  </w:r>
                  <w:r>
                    <w:rPr>
                      <w:rFonts w:hint="eastAsia" w:ascii="宋体" w:hAnsi="宋体" w:cs="宋体"/>
                      <w:b w:val="0"/>
                      <w:bCs/>
                      <w:color w:val="auto"/>
                      <w:spacing w:val="-10"/>
                      <w:sz w:val="21"/>
                      <w:szCs w:val="21"/>
                      <w:highlight w:val="none"/>
                      <w:lang w:val="en-US" w:eastAsia="zh-CN"/>
                    </w:rPr>
                    <w:t>矿物油</w:t>
                  </w:r>
                </w:p>
              </w:tc>
              <w:tc>
                <w:tcPr>
                  <w:tcW w:w="925" w:type="pct"/>
                  <w:noWrap w:val="0"/>
                  <w:vAlign w:val="center"/>
                </w:tcPr>
                <w:p w14:paraId="04E417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color w:val="auto"/>
                      <w:spacing w:val="-10"/>
                      <w:sz w:val="21"/>
                      <w:szCs w:val="21"/>
                      <w:highlight w:val="none"/>
                      <w:lang w:val="en-US" w:eastAsia="zh-CN"/>
                    </w:rPr>
                  </w:pPr>
                  <w:r>
                    <w:rPr>
                      <w:rFonts w:hint="eastAsia" w:ascii="Times New Roman" w:hAnsi="Times New Roman" w:cs="Times New Roman"/>
                      <w:b w:val="0"/>
                      <w:bCs/>
                      <w:color w:val="auto"/>
                      <w:spacing w:val="-10"/>
                      <w:sz w:val="21"/>
                      <w:szCs w:val="21"/>
                      <w:highlight w:val="none"/>
                      <w:lang w:val="en-US" w:eastAsia="zh-CN"/>
                    </w:rPr>
                    <w:t>0.4</w:t>
                  </w:r>
                  <w:r>
                    <w:rPr>
                      <w:rFonts w:hint="default" w:ascii="Times New Roman" w:hAnsi="Times New Roman" w:cs="Times New Roman"/>
                      <w:b w:val="0"/>
                      <w:bCs/>
                      <w:color w:val="auto"/>
                      <w:spacing w:val="-10"/>
                      <w:sz w:val="21"/>
                      <w:szCs w:val="21"/>
                      <w:highlight w:val="none"/>
                    </w:rPr>
                    <w:t>t</w:t>
                  </w:r>
                </w:p>
              </w:tc>
              <w:tc>
                <w:tcPr>
                  <w:tcW w:w="807" w:type="pct"/>
                  <w:noWrap w:val="0"/>
                  <w:vAlign w:val="center"/>
                </w:tcPr>
                <w:p w14:paraId="1BBA17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eastAsia="宋体" w:cs="宋体"/>
                      <w:b w:val="0"/>
                      <w:bCs/>
                      <w:color w:val="auto"/>
                      <w:spacing w:val="-10"/>
                      <w:sz w:val="21"/>
                      <w:szCs w:val="21"/>
                      <w:highlight w:val="none"/>
                      <w:lang w:val="en-US" w:eastAsia="zh-CN"/>
                    </w:rPr>
                  </w:pPr>
                  <w:r>
                    <w:rPr>
                      <w:rFonts w:hint="eastAsia" w:ascii="宋体" w:hAnsi="宋体" w:eastAsia="宋体" w:cs="宋体"/>
                      <w:b w:val="0"/>
                      <w:bCs/>
                      <w:color w:val="auto"/>
                      <w:spacing w:val="-10"/>
                      <w:sz w:val="21"/>
                      <w:szCs w:val="21"/>
                      <w:highlight w:val="none"/>
                      <w:lang w:eastAsia="zh-CN"/>
                    </w:rPr>
                    <w:t>危废贮存点</w:t>
                  </w:r>
                </w:p>
              </w:tc>
              <w:tc>
                <w:tcPr>
                  <w:tcW w:w="1114" w:type="pct"/>
                  <w:vMerge w:val="continue"/>
                  <w:noWrap w:val="0"/>
                  <w:vAlign w:val="center"/>
                </w:tcPr>
                <w:p w14:paraId="5BB0D5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宋体" w:hAnsi="宋体" w:cs="宋体"/>
                      <w:b w:val="0"/>
                      <w:bCs/>
                      <w:color w:val="auto"/>
                      <w:spacing w:val="-10"/>
                      <w:sz w:val="21"/>
                      <w:szCs w:val="21"/>
                      <w:highlight w:val="none"/>
                    </w:rPr>
                  </w:pPr>
                </w:p>
              </w:tc>
            </w:tr>
            <w:tr w14:paraId="22FE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437" w:type="pct"/>
                  <w:noWrap w:val="0"/>
                  <w:vAlign w:val="center"/>
                </w:tcPr>
                <w:p w14:paraId="3FAF1F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宋体"/>
                      <w:b w:val="0"/>
                      <w:bCs/>
                      <w:color w:val="auto"/>
                      <w:spacing w:val="-10"/>
                      <w:sz w:val="21"/>
                      <w:szCs w:val="21"/>
                      <w:highlight w:val="none"/>
                      <w:lang w:val="en-US" w:eastAsia="zh-CN"/>
                    </w:rPr>
                  </w:pPr>
                  <w:r>
                    <w:rPr>
                      <w:rFonts w:hint="eastAsia" w:cs="宋体"/>
                      <w:b w:val="0"/>
                      <w:bCs/>
                      <w:color w:val="auto"/>
                      <w:spacing w:val="-10"/>
                      <w:sz w:val="21"/>
                      <w:szCs w:val="21"/>
                      <w:highlight w:val="none"/>
                      <w:lang w:val="en-US" w:eastAsia="zh-CN"/>
                    </w:rPr>
                    <w:t>3</w:t>
                  </w:r>
                </w:p>
              </w:tc>
              <w:tc>
                <w:tcPr>
                  <w:tcW w:w="899" w:type="pct"/>
                  <w:shd w:val="clear" w:color="auto" w:fill="auto"/>
                  <w:noWrap w:val="0"/>
                  <w:vAlign w:val="center"/>
                </w:tcPr>
                <w:p w14:paraId="7362354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瓦斯</w:t>
                  </w:r>
                </w:p>
              </w:tc>
              <w:tc>
                <w:tcPr>
                  <w:tcW w:w="814" w:type="pct"/>
                  <w:noWrap w:val="0"/>
                  <w:vAlign w:val="center"/>
                </w:tcPr>
                <w:p w14:paraId="712A30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b w:val="0"/>
                      <w:bCs/>
                      <w:color w:val="auto"/>
                      <w:spacing w:val="-10"/>
                      <w:sz w:val="21"/>
                      <w:szCs w:val="21"/>
                      <w:highlight w:val="none"/>
                      <w:lang w:val="en-US" w:eastAsia="zh-CN"/>
                    </w:rPr>
                  </w:pPr>
                  <w:r>
                    <w:rPr>
                      <w:rFonts w:hint="eastAsia" w:ascii="宋体" w:hAnsi="宋体" w:cs="宋体"/>
                      <w:b w:val="0"/>
                      <w:bCs/>
                      <w:color w:val="auto"/>
                      <w:spacing w:val="-10"/>
                      <w:sz w:val="21"/>
                      <w:szCs w:val="21"/>
                      <w:highlight w:val="none"/>
                      <w:lang w:val="en-US" w:eastAsia="zh-CN"/>
                    </w:rPr>
                    <w:t>甲烷</w:t>
                  </w:r>
                </w:p>
              </w:tc>
              <w:tc>
                <w:tcPr>
                  <w:tcW w:w="925" w:type="pct"/>
                  <w:noWrap w:val="0"/>
                  <w:vAlign w:val="center"/>
                </w:tcPr>
                <w:p w14:paraId="3CC9ED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val="0"/>
                      <w:bCs/>
                      <w:color w:val="auto"/>
                      <w:spacing w:val="-10"/>
                      <w:sz w:val="21"/>
                      <w:szCs w:val="21"/>
                      <w:highlight w:val="none"/>
                      <w:lang w:val="en-US" w:eastAsia="zh-CN"/>
                    </w:rPr>
                  </w:pPr>
                  <w:r>
                    <w:rPr>
                      <w:rFonts w:hint="eastAsia" w:cs="Times New Roman"/>
                      <w:b w:val="0"/>
                      <w:bCs/>
                      <w:color w:val="auto"/>
                      <w:spacing w:val="-10"/>
                      <w:sz w:val="21"/>
                      <w:szCs w:val="21"/>
                      <w:highlight w:val="none"/>
                      <w:lang w:val="en-US" w:eastAsia="zh-CN"/>
                    </w:rPr>
                    <w:t>0.011t</w:t>
                  </w:r>
                </w:p>
              </w:tc>
              <w:tc>
                <w:tcPr>
                  <w:tcW w:w="807" w:type="pct"/>
                  <w:noWrap w:val="0"/>
                  <w:vAlign w:val="center"/>
                </w:tcPr>
                <w:p w14:paraId="0187EE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b w:val="0"/>
                      <w:bCs/>
                      <w:color w:val="auto"/>
                      <w:spacing w:val="-10"/>
                      <w:sz w:val="21"/>
                      <w:szCs w:val="21"/>
                      <w:highlight w:val="none"/>
                      <w:lang w:val="en-US" w:eastAsia="zh-CN"/>
                    </w:rPr>
                  </w:pPr>
                  <w:r>
                    <w:rPr>
                      <w:rFonts w:hint="eastAsia" w:ascii="宋体" w:hAnsi="宋体" w:cs="宋体"/>
                      <w:b w:val="0"/>
                      <w:bCs/>
                      <w:color w:val="auto"/>
                      <w:spacing w:val="-10"/>
                      <w:sz w:val="21"/>
                      <w:szCs w:val="21"/>
                      <w:highlight w:val="none"/>
                      <w:lang w:val="en-US" w:eastAsia="zh-CN"/>
                    </w:rPr>
                    <w:t>管道</w:t>
                  </w:r>
                </w:p>
              </w:tc>
              <w:tc>
                <w:tcPr>
                  <w:tcW w:w="1114" w:type="pct"/>
                  <w:noWrap w:val="0"/>
                  <w:vAlign w:val="center"/>
                </w:tcPr>
                <w:p w14:paraId="72138D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宋体" w:hAnsi="宋体" w:eastAsia="宋体" w:cs="宋体"/>
                      <w:b w:val="0"/>
                      <w:bCs/>
                      <w:color w:val="auto"/>
                      <w:spacing w:val="-10"/>
                      <w:sz w:val="21"/>
                      <w:szCs w:val="21"/>
                      <w:highlight w:val="none"/>
                      <w:lang w:val="en-US" w:eastAsia="zh-CN"/>
                    </w:rPr>
                  </w:pPr>
                  <w:r>
                    <w:rPr>
                      <w:rFonts w:hint="eastAsia" w:ascii="宋体" w:hAnsi="宋体" w:cs="宋体"/>
                      <w:b w:val="0"/>
                      <w:bCs/>
                      <w:color w:val="auto"/>
                      <w:spacing w:val="-10"/>
                      <w:sz w:val="21"/>
                      <w:szCs w:val="21"/>
                      <w:highlight w:val="none"/>
                      <w:lang w:val="en-US" w:eastAsia="zh-CN"/>
                    </w:rPr>
                    <w:t>气体输送</w:t>
                  </w:r>
                </w:p>
              </w:tc>
            </w:tr>
          </w:tbl>
          <w:p w14:paraId="4E5BDE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eastAsia" w:ascii="宋体" w:hAnsi="宋体" w:cs="宋体"/>
                <w:bCs/>
                <w:color w:val="auto"/>
                <w:spacing w:val="-10"/>
                <w:sz w:val="24"/>
                <w:highlight w:val="none"/>
              </w:rPr>
            </w:pPr>
            <w:r>
              <w:rPr>
                <w:rFonts w:hint="eastAsia" w:ascii="Times New Roman" w:hAnsi="Times New Roman" w:cs="宋体"/>
                <w:bCs/>
                <w:color w:val="auto"/>
                <w:spacing w:val="-10"/>
                <w:sz w:val="24"/>
                <w:highlight w:val="none"/>
              </w:rPr>
              <w:t>1</w:t>
            </w:r>
            <w:r>
              <w:rPr>
                <w:rFonts w:hint="eastAsia" w:ascii="宋体" w:hAnsi="宋体" w:cs="宋体"/>
                <w:bCs/>
                <w:color w:val="auto"/>
                <w:spacing w:val="-10"/>
                <w:sz w:val="24"/>
                <w:highlight w:val="none"/>
              </w:rPr>
              <w:t>）环境风险潜势初判</w:t>
            </w:r>
          </w:p>
          <w:p w14:paraId="160B71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eastAsia" w:ascii="宋体" w:hAnsi="宋体" w:cs="宋体"/>
                <w:bCs/>
                <w:color w:val="auto"/>
                <w:spacing w:val="-10"/>
                <w:sz w:val="24"/>
                <w:highlight w:val="none"/>
              </w:rPr>
            </w:pPr>
            <w:r>
              <w:rPr>
                <w:rFonts w:hint="eastAsia" w:ascii="宋体" w:hAnsi="宋体" w:cs="宋体"/>
                <w:bCs/>
                <w:color w:val="auto"/>
                <w:spacing w:val="-10"/>
                <w:sz w:val="24"/>
                <w:highlight w:val="none"/>
              </w:rPr>
              <w:t>危险物质数量与临界量比值（</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w:t>
            </w:r>
          </w:p>
          <w:p w14:paraId="56EC1C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eastAsia" w:ascii="宋体" w:hAnsi="宋体" w:cs="宋体"/>
                <w:bCs/>
                <w:color w:val="auto"/>
                <w:spacing w:val="-10"/>
                <w:sz w:val="24"/>
                <w:highlight w:val="none"/>
              </w:rPr>
            </w:pPr>
            <w:r>
              <w:rPr>
                <w:rFonts w:hint="eastAsia" w:ascii="宋体" w:hAnsi="宋体" w:cs="宋体"/>
                <w:bCs/>
                <w:color w:val="auto"/>
                <w:spacing w:val="-10"/>
                <w:sz w:val="24"/>
                <w:highlight w:val="none"/>
              </w:rPr>
              <w:t>根据《建设项目环境风险评价技术导则》（</w:t>
            </w:r>
            <w:r>
              <w:rPr>
                <w:rFonts w:hint="eastAsia" w:ascii="Times New Roman" w:hAnsi="Times New Roman" w:cs="宋体"/>
                <w:bCs/>
                <w:color w:val="auto"/>
                <w:spacing w:val="-10"/>
                <w:sz w:val="24"/>
                <w:highlight w:val="none"/>
              </w:rPr>
              <w:t>HJ169</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2018</w:t>
            </w:r>
            <w:r>
              <w:rPr>
                <w:rFonts w:hint="eastAsia" w:ascii="宋体" w:hAnsi="宋体" w:cs="宋体"/>
                <w:bCs/>
                <w:color w:val="auto"/>
                <w:spacing w:val="-10"/>
                <w:sz w:val="24"/>
                <w:highlight w:val="none"/>
              </w:rPr>
              <w:t>）附录</w:t>
            </w:r>
            <w:r>
              <w:rPr>
                <w:rFonts w:hint="eastAsia" w:ascii="Times New Roman" w:hAnsi="Times New Roman" w:cs="宋体"/>
                <w:bCs/>
                <w:color w:val="auto"/>
                <w:spacing w:val="-10"/>
                <w:sz w:val="24"/>
                <w:highlight w:val="none"/>
              </w:rPr>
              <w:t>C</w:t>
            </w:r>
            <w:r>
              <w:rPr>
                <w:rFonts w:hint="eastAsia" w:ascii="宋体" w:hAnsi="宋体" w:cs="宋体"/>
                <w:bCs/>
                <w:color w:val="auto"/>
                <w:spacing w:val="-10"/>
                <w:sz w:val="24"/>
                <w:highlight w:val="none"/>
              </w:rPr>
              <w:t>，当存在多种危险物质时，按下式计算物质总量与其临界量比值</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w:t>
            </w:r>
          </w:p>
          <w:p w14:paraId="2D7419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eastAsia" w:ascii="宋体" w:hAnsi="宋体" w:cs="宋体"/>
                <w:bCs/>
                <w:color w:val="auto"/>
                <w:spacing w:val="-10"/>
                <w:sz w:val="24"/>
                <w:highlight w:val="none"/>
              </w:rPr>
            </w:pPr>
            <w:r>
              <w:rPr>
                <w:rFonts w:hint="eastAsia" w:ascii="宋体" w:hAnsi="宋体" w:cs="宋体"/>
                <w:bCs/>
                <w:color w:val="auto"/>
                <w:spacing w:val="-10"/>
                <w:sz w:val="24"/>
                <w:highlight w:val="none"/>
              </w:rPr>
              <w:t>当只涉及一种危险物质时，计算该物质的总量与其临界量比值，即为</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；当存在多种危险物质时，则按下式计算物质总量与其临界量比值（</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w:t>
            </w:r>
          </w:p>
          <w:p w14:paraId="079E49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default" w:ascii="宋体" w:hAnsi="宋体" w:cs="宋体"/>
                <w:bCs/>
                <w:color w:val="auto"/>
                <w:spacing w:val="-10"/>
                <w:sz w:val="24"/>
                <w:highlight w:val="none"/>
                <w:vertAlign w:val="subscript"/>
              </w:rPr>
            </w:pP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w:t>
            </w:r>
            <w:r>
              <w:rPr>
                <w:rFonts w:hint="eastAsia" w:ascii="Times New Roman" w:hAnsi="Times New Roman" w:cs="宋体"/>
                <w:bCs/>
                <w:color w:val="auto"/>
                <w:spacing w:val="-10"/>
                <w:sz w:val="24"/>
                <w:highlight w:val="none"/>
                <w:vertAlign w:val="subscript"/>
              </w:rPr>
              <w:t>1</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w:t>
            </w:r>
            <w:r>
              <w:rPr>
                <w:rFonts w:hint="eastAsia" w:ascii="Times New Roman" w:hAnsi="Times New Roman" w:cs="宋体"/>
                <w:bCs/>
                <w:color w:val="auto"/>
                <w:spacing w:val="-10"/>
                <w:sz w:val="24"/>
                <w:highlight w:val="none"/>
                <w:vertAlign w:val="subscript"/>
              </w:rPr>
              <w:t>1</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w:t>
            </w:r>
            <w:r>
              <w:rPr>
                <w:rFonts w:hint="eastAsia" w:ascii="Times New Roman" w:hAnsi="Times New Roman" w:cs="宋体"/>
                <w:bCs/>
                <w:color w:val="auto"/>
                <w:spacing w:val="-10"/>
                <w:sz w:val="24"/>
                <w:highlight w:val="none"/>
                <w:vertAlign w:val="subscript"/>
              </w:rPr>
              <w:t>2</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w:t>
            </w:r>
            <w:r>
              <w:rPr>
                <w:rFonts w:hint="eastAsia" w:ascii="Times New Roman" w:hAnsi="Times New Roman" w:cs="宋体"/>
                <w:bCs/>
                <w:color w:val="auto"/>
                <w:spacing w:val="-10"/>
                <w:sz w:val="24"/>
                <w:highlight w:val="none"/>
                <w:vertAlign w:val="subscript"/>
              </w:rPr>
              <w:t>2</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w:t>
            </w:r>
            <w:r>
              <w:rPr>
                <w:rFonts w:hint="eastAsia" w:ascii="Times New Roman" w:hAnsi="Times New Roman" w:cs="宋体"/>
                <w:bCs/>
                <w:color w:val="auto"/>
                <w:spacing w:val="-10"/>
                <w:sz w:val="24"/>
                <w:highlight w:val="none"/>
                <w:vertAlign w:val="subscript"/>
              </w:rPr>
              <w:t>n</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w:t>
            </w:r>
            <w:r>
              <w:rPr>
                <w:rFonts w:hint="eastAsia" w:ascii="Times New Roman" w:hAnsi="Times New Roman" w:cs="宋体"/>
                <w:bCs/>
                <w:color w:val="auto"/>
                <w:spacing w:val="-10"/>
                <w:sz w:val="24"/>
                <w:highlight w:val="none"/>
                <w:vertAlign w:val="subscript"/>
              </w:rPr>
              <w:t>n</w:t>
            </w:r>
          </w:p>
          <w:p w14:paraId="22BA06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eastAsia" w:ascii="宋体" w:hAnsi="宋体" w:cs="宋体"/>
                <w:bCs/>
                <w:color w:val="auto"/>
                <w:spacing w:val="-10"/>
                <w:sz w:val="24"/>
                <w:highlight w:val="none"/>
              </w:rPr>
            </w:pPr>
            <w:r>
              <w:rPr>
                <w:rFonts w:hint="eastAsia" w:ascii="宋体" w:hAnsi="宋体" w:cs="宋体"/>
                <w:bCs/>
                <w:color w:val="auto"/>
                <w:spacing w:val="-10"/>
                <w:sz w:val="24"/>
                <w:highlight w:val="none"/>
              </w:rPr>
              <w:t>式中：</w:t>
            </w:r>
            <w:r>
              <w:rPr>
                <w:rFonts w:hint="eastAsia" w:ascii="Times New Roman" w:hAnsi="Times New Roman" w:cs="宋体"/>
                <w:bCs/>
                <w:color w:val="auto"/>
                <w:spacing w:val="-10"/>
                <w:sz w:val="24"/>
                <w:highlight w:val="none"/>
              </w:rPr>
              <w:t>q1</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q2</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w:t>
            </w:r>
            <w:r>
              <w:rPr>
                <w:rFonts w:hint="eastAsia" w:ascii="Times New Roman" w:hAnsi="Times New Roman" w:cs="宋体"/>
                <w:bCs/>
                <w:color w:val="auto"/>
                <w:spacing w:val="-10"/>
                <w:sz w:val="24"/>
                <w:highlight w:val="none"/>
                <w:vertAlign w:val="subscript"/>
              </w:rPr>
              <w:t>n</w:t>
            </w:r>
            <w:r>
              <w:rPr>
                <w:rFonts w:hint="eastAsia" w:ascii="宋体" w:hAnsi="宋体" w:cs="宋体"/>
                <w:bCs/>
                <w:color w:val="auto"/>
                <w:spacing w:val="-10"/>
                <w:sz w:val="24"/>
                <w:highlight w:val="none"/>
              </w:rPr>
              <w:t>—每种危险物质的最大存在总量，</w:t>
            </w:r>
            <w:r>
              <w:rPr>
                <w:rFonts w:hint="eastAsia" w:ascii="Times New Roman" w:hAnsi="Times New Roman" w:cs="宋体"/>
                <w:bCs/>
                <w:color w:val="auto"/>
                <w:spacing w:val="-10"/>
                <w:sz w:val="24"/>
                <w:highlight w:val="none"/>
              </w:rPr>
              <w:t>t</w:t>
            </w:r>
            <w:r>
              <w:rPr>
                <w:rFonts w:hint="eastAsia" w:ascii="宋体" w:hAnsi="宋体" w:cs="宋体"/>
                <w:bCs/>
                <w:color w:val="auto"/>
                <w:spacing w:val="-10"/>
                <w:sz w:val="24"/>
                <w:highlight w:val="none"/>
              </w:rPr>
              <w:t>；</w:t>
            </w:r>
          </w:p>
          <w:p w14:paraId="73106E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100" w:firstLineChars="500"/>
              <w:textAlignment w:val="auto"/>
              <w:rPr>
                <w:rFonts w:hint="eastAsia" w:ascii="宋体" w:hAnsi="宋体" w:cs="宋体"/>
                <w:bCs/>
                <w:color w:val="auto"/>
                <w:spacing w:val="-10"/>
                <w:sz w:val="24"/>
                <w:highlight w:val="none"/>
              </w:rPr>
            </w:pPr>
            <w:r>
              <w:rPr>
                <w:rFonts w:hint="eastAsia" w:ascii="Times New Roman" w:hAnsi="Times New Roman" w:cs="宋体"/>
                <w:bCs/>
                <w:color w:val="auto"/>
                <w:spacing w:val="-10"/>
                <w:sz w:val="24"/>
                <w:highlight w:val="none"/>
              </w:rPr>
              <w:t>Q1</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Q2</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Qn</w:t>
            </w:r>
            <w:r>
              <w:rPr>
                <w:rFonts w:hint="eastAsia" w:ascii="宋体" w:hAnsi="宋体" w:cs="宋体"/>
                <w:bCs/>
                <w:color w:val="auto"/>
                <w:spacing w:val="-10"/>
                <w:sz w:val="24"/>
                <w:highlight w:val="none"/>
              </w:rPr>
              <w:t>—每种危险物质的临界量，</w:t>
            </w:r>
            <w:r>
              <w:rPr>
                <w:rFonts w:hint="eastAsia" w:ascii="Times New Roman" w:hAnsi="Times New Roman" w:cs="宋体"/>
                <w:bCs/>
                <w:color w:val="auto"/>
                <w:spacing w:val="-10"/>
                <w:sz w:val="24"/>
                <w:highlight w:val="none"/>
              </w:rPr>
              <w:t>t</w:t>
            </w:r>
            <w:r>
              <w:rPr>
                <w:rFonts w:hint="eastAsia" w:ascii="宋体" w:hAnsi="宋体" w:cs="宋体"/>
                <w:bCs/>
                <w:color w:val="auto"/>
                <w:spacing w:val="-10"/>
                <w:sz w:val="24"/>
                <w:highlight w:val="none"/>
              </w:rPr>
              <w:t>。</w:t>
            </w:r>
          </w:p>
          <w:p w14:paraId="3CC3EB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eastAsia" w:ascii="宋体" w:hAnsi="宋体" w:cs="宋体"/>
                <w:bCs/>
                <w:color w:val="auto"/>
                <w:spacing w:val="-10"/>
                <w:sz w:val="24"/>
                <w:highlight w:val="none"/>
              </w:rPr>
            </w:pPr>
            <w:r>
              <w:rPr>
                <w:rFonts w:hint="eastAsia" w:ascii="宋体" w:hAnsi="宋体" w:cs="宋体"/>
                <w:bCs/>
                <w:color w:val="auto"/>
                <w:spacing w:val="-10"/>
                <w:sz w:val="24"/>
                <w:highlight w:val="none"/>
              </w:rPr>
              <w:t>当</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1</w:t>
            </w:r>
            <w:r>
              <w:rPr>
                <w:rFonts w:hint="eastAsia" w:ascii="宋体" w:hAnsi="宋体" w:cs="宋体"/>
                <w:bCs/>
                <w:color w:val="auto"/>
                <w:spacing w:val="-10"/>
                <w:sz w:val="24"/>
                <w:highlight w:val="none"/>
              </w:rPr>
              <w:t>时，该项目环境风险潜势为</w:t>
            </w:r>
            <w:r>
              <w:rPr>
                <w:rFonts w:hint="eastAsia" w:ascii="Times New Roman" w:hAnsi="Times New Roman" w:cs="宋体"/>
                <w:bCs/>
                <w:color w:val="auto"/>
                <w:spacing w:val="-10"/>
                <w:sz w:val="24"/>
                <w:highlight w:val="none"/>
              </w:rPr>
              <w:t>I</w:t>
            </w:r>
            <w:r>
              <w:rPr>
                <w:rFonts w:hint="eastAsia" w:ascii="宋体" w:hAnsi="宋体" w:cs="宋体"/>
                <w:bCs/>
                <w:color w:val="auto"/>
                <w:spacing w:val="-10"/>
                <w:sz w:val="24"/>
                <w:highlight w:val="none"/>
              </w:rPr>
              <w:t>。</w:t>
            </w:r>
          </w:p>
          <w:p w14:paraId="4C86FF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eastAsia" w:ascii="宋体" w:hAnsi="宋体" w:cs="宋体"/>
                <w:bCs/>
                <w:color w:val="auto"/>
                <w:spacing w:val="-10"/>
                <w:sz w:val="24"/>
                <w:highlight w:val="none"/>
              </w:rPr>
            </w:pPr>
            <w:r>
              <w:rPr>
                <w:rFonts w:hint="eastAsia" w:ascii="宋体" w:hAnsi="宋体" w:cs="宋体"/>
                <w:bCs/>
                <w:color w:val="auto"/>
                <w:spacing w:val="-10"/>
                <w:sz w:val="24"/>
                <w:highlight w:val="none"/>
              </w:rPr>
              <w:t>当</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1</w:t>
            </w:r>
            <w:r>
              <w:rPr>
                <w:rFonts w:hint="eastAsia" w:ascii="宋体" w:hAnsi="宋体" w:cs="宋体"/>
                <w:bCs/>
                <w:color w:val="auto"/>
                <w:spacing w:val="-10"/>
                <w:sz w:val="24"/>
                <w:highlight w:val="none"/>
              </w:rPr>
              <w:t>时，将</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值划分为：（</w:t>
            </w:r>
            <w:r>
              <w:rPr>
                <w:rFonts w:hint="eastAsia" w:ascii="Times New Roman" w:hAnsi="Times New Roman" w:cs="宋体"/>
                <w:bCs/>
                <w:color w:val="auto"/>
                <w:spacing w:val="-10"/>
                <w:sz w:val="24"/>
                <w:highlight w:val="none"/>
              </w:rPr>
              <w:t>1</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1</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10</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2</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10</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100</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3</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100</w:t>
            </w:r>
            <w:r>
              <w:rPr>
                <w:rFonts w:hint="eastAsia" w:ascii="宋体" w:hAnsi="宋体" w:cs="宋体"/>
                <w:bCs/>
                <w:color w:val="auto"/>
                <w:spacing w:val="-10"/>
                <w:sz w:val="24"/>
                <w:highlight w:val="none"/>
              </w:rPr>
              <w:t>。本项目</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值计算见下表</w:t>
            </w:r>
            <w:r>
              <w:rPr>
                <w:rFonts w:hint="eastAsia" w:ascii="Times New Roman" w:hAnsi="Times New Roman" w:cs="宋体"/>
                <w:bCs/>
                <w:color w:val="auto"/>
                <w:spacing w:val="-10"/>
                <w:sz w:val="24"/>
                <w:highlight w:val="none"/>
              </w:rPr>
              <w:t>4</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lang w:val="en-US" w:eastAsia="zh-CN"/>
              </w:rPr>
              <w:t>12</w:t>
            </w:r>
            <w:r>
              <w:rPr>
                <w:rFonts w:hint="eastAsia" w:ascii="宋体" w:hAnsi="宋体" w:cs="宋体"/>
                <w:bCs/>
                <w:color w:val="auto"/>
                <w:spacing w:val="-10"/>
                <w:sz w:val="24"/>
                <w:highlight w:val="none"/>
              </w:rPr>
              <w:t>所示。</w:t>
            </w:r>
          </w:p>
          <w:p w14:paraId="557C6A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eastAsia" w:ascii="宋体" w:hAnsi="宋体" w:cs="宋体"/>
                <w:bCs/>
                <w:color w:val="auto"/>
                <w:spacing w:val="-10"/>
                <w:sz w:val="24"/>
                <w:highlight w:val="none"/>
              </w:rPr>
            </w:pPr>
            <w:r>
              <w:rPr>
                <w:rFonts w:hint="eastAsia" w:ascii="宋体" w:hAnsi="宋体" w:cs="宋体"/>
                <w:bCs/>
                <w:color w:val="auto"/>
                <w:spacing w:val="-10"/>
                <w:sz w:val="24"/>
                <w:highlight w:val="none"/>
              </w:rPr>
              <w:t>根据《建设项目环境风险评价技术导则》（</w:t>
            </w:r>
            <w:r>
              <w:rPr>
                <w:rFonts w:hint="eastAsia" w:ascii="Times New Roman" w:hAnsi="Times New Roman" w:cs="宋体"/>
                <w:bCs/>
                <w:color w:val="auto"/>
                <w:spacing w:val="-10"/>
                <w:sz w:val="24"/>
                <w:highlight w:val="none"/>
              </w:rPr>
              <w:t>HJ169</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2018</w:t>
            </w:r>
            <w:r>
              <w:rPr>
                <w:rFonts w:hint="eastAsia" w:ascii="宋体" w:hAnsi="宋体" w:cs="宋体"/>
                <w:bCs/>
                <w:color w:val="auto"/>
                <w:spacing w:val="-10"/>
                <w:sz w:val="24"/>
                <w:highlight w:val="none"/>
              </w:rPr>
              <w:t>）附录</w:t>
            </w:r>
            <w:r>
              <w:rPr>
                <w:rFonts w:hint="eastAsia" w:ascii="Times New Roman" w:hAnsi="Times New Roman" w:cs="宋体"/>
                <w:bCs/>
                <w:color w:val="auto"/>
                <w:spacing w:val="-10"/>
                <w:sz w:val="24"/>
                <w:highlight w:val="none"/>
              </w:rPr>
              <w:t>B</w:t>
            </w:r>
            <w:r>
              <w:rPr>
                <w:rFonts w:hint="eastAsia" w:ascii="宋体" w:hAnsi="宋体" w:cs="宋体"/>
                <w:bCs/>
                <w:color w:val="auto"/>
                <w:spacing w:val="-10"/>
                <w:sz w:val="24"/>
                <w:highlight w:val="none"/>
              </w:rPr>
              <w:t>，废矿物油临界量为</w:t>
            </w:r>
            <w:r>
              <w:rPr>
                <w:rFonts w:hint="eastAsia" w:ascii="Times New Roman" w:hAnsi="Times New Roman" w:cs="宋体"/>
                <w:bCs/>
                <w:color w:val="auto"/>
                <w:spacing w:val="-10"/>
                <w:sz w:val="24"/>
                <w:highlight w:val="none"/>
              </w:rPr>
              <w:t>2500t</w:t>
            </w:r>
            <w:r>
              <w:rPr>
                <w:rFonts w:hint="eastAsia" w:ascii="宋体" w:hAnsi="宋体" w:cs="宋体"/>
                <w:bCs/>
                <w:color w:val="auto"/>
                <w:spacing w:val="-10"/>
                <w:sz w:val="24"/>
                <w:highlight w:val="none"/>
              </w:rPr>
              <w:t>。</w:t>
            </w:r>
          </w:p>
          <w:p w14:paraId="5D23DB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2" w:firstLineChars="200"/>
              <w:jc w:val="center"/>
              <w:textAlignment w:val="auto"/>
              <w:rPr>
                <w:rFonts w:hint="default" w:ascii="宋体" w:hAnsi="宋体" w:cs="宋体"/>
                <w:b/>
                <w:color w:val="auto"/>
                <w:spacing w:val="-10"/>
                <w:sz w:val="24"/>
                <w:szCs w:val="24"/>
                <w:highlight w:val="none"/>
              </w:rPr>
            </w:pPr>
            <w:r>
              <w:rPr>
                <w:rFonts w:hint="eastAsia" w:ascii="宋体" w:hAnsi="宋体" w:cs="宋体"/>
                <w:b/>
                <w:color w:val="auto"/>
                <w:spacing w:val="-10"/>
                <w:sz w:val="24"/>
                <w:szCs w:val="24"/>
                <w:highlight w:val="none"/>
              </w:rPr>
              <w:t>表</w:t>
            </w:r>
            <w:r>
              <w:rPr>
                <w:rFonts w:hint="eastAsia" w:ascii="Times New Roman" w:hAnsi="Times New Roman" w:cs="宋体"/>
                <w:b/>
                <w:color w:val="auto"/>
                <w:spacing w:val="-10"/>
                <w:sz w:val="24"/>
                <w:szCs w:val="24"/>
                <w:highlight w:val="none"/>
              </w:rPr>
              <w:t>4</w:t>
            </w:r>
            <w:r>
              <w:rPr>
                <w:rFonts w:hint="eastAsia" w:ascii="宋体" w:hAnsi="宋体" w:cs="宋体"/>
                <w:b/>
                <w:color w:val="auto"/>
                <w:spacing w:val="-10"/>
                <w:sz w:val="24"/>
                <w:szCs w:val="24"/>
                <w:highlight w:val="none"/>
              </w:rPr>
              <w:t>-</w:t>
            </w:r>
            <w:r>
              <w:rPr>
                <w:rFonts w:hint="eastAsia" w:ascii="Times New Roman" w:hAnsi="Times New Roman" w:cs="宋体"/>
                <w:b/>
                <w:color w:val="auto"/>
                <w:spacing w:val="-10"/>
                <w:sz w:val="24"/>
                <w:szCs w:val="24"/>
                <w:highlight w:val="none"/>
                <w:lang w:val="en-US" w:eastAsia="zh-CN"/>
              </w:rPr>
              <w:t>1</w:t>
            </w:r>
            <w:r>
              <w:rPr>
                <w:rFonts w:hint="eastAsia" w:cs="宋体"/>
                <w:b/>
                <w:color w:val="auto"/>
                <w:spacing w:val="-10"/>
                <w:sz w:val="24"/>
                <w:szCs w:val="24"/>
                <w:highlight w:val="none"/>
                <w:lang w:val="en-US" w:eastAsia="zh-CN"/>
              </w:rPr>
              <w:t>5</w:t>
            </w:r>
            <w:r>
              <w:rPr>
                <w:rFonts w:hint="eastAsia" w:ascii="宋体" w:hAnsi="宋体" w:cs="宋体"/>
                <w:b/>
                <w:color w:val="auto"/>
                <w:spacing w:val="-10"/>
                <w:sz w:val="24"/>
                <w:szCs w:val="24"/>
                <w:highlight w:val="none"/>
              </w:rPr>
              <w:t>本项目</w:t>
            </w:r>
            <w:r>
              <w:rPr>
                <w:rFonts w:hint="eastAsia" w:ascii="Times New Roman" w:hAnsi="Times New Roman" w:cs="宋体"/>
                <w:b/>
                <w:color w:val="auto"/>
                <w:spacing w:val="-10"/>
                <w:sz w:val="24"/>
                <w:szCs w:val="24"/>
                <w:highlight w:val="none"/>
              </w:rPr>
              <w:t>Q</w:t>
            </w:r>
            <w:r>
              <w:rPr>
                <w:rFonts w:hint="eastAsia" w:ascii="宋体" w:hAnsi="宋体" w:cs="宋体"/>
                <w:b/>
                <w:color w:val="auto"/>
                <w:spacing w:val="-10"/>
                <w:sz w:val="24"/>
                <w:szCs w:val="24"/>
                <w:highlight w:val="none"/>
              </w:rPr>
              <w:t>值一览表</w:t>
            </w:r>
          </w:p>
          <w:tbl>
            <w:tblPr>
              <w:tblStyle w:val="23"/>
              <w:tblW w:w="4997"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540"/>
              <w:gridCol w:w="921"/>
              <w:gridCol w:w="1949"/>
              <w:gridCol w:w="1317"/>
              <w:gridCol w:w="1484"/>
            </w:tblGrid>
            <w:tr w14:paraId="0ED1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7" w:type="pct"/>
                  <w:noWrap w:val="0"/>
                  <w:vAlign w:val="center"/>
                </w:tcPr>
                <w:p w14:paraId="1EF1A2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序号</w:t>
                  </w:r>
                </w:p>
              </w:tc>
              <w:tc>
                <w:tcPr>
                  <w:tcW w:w="972" w:type="pct"/>
                  <w:noWrap w:val="0"/>
                  <w:vAlign w:val="center"/>
                </w:tcPr>
                <w:p w14:paraId="489786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危险物质名称</w:t>
                  </w:r>
                </w:p>
              </w:tc>
              <w:tc>
                <w:tcPr>
                  <w:tcW w:w="581" w:type="pct"/>
                  <w:noWrap w:val="0"/>
                  <w:vAlign w:val="center"/>
                </w:tcPr>
                <w:p w14:paraId="684043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s="宋体"/>
                      <w:b w:val="0"/>
                      <w:bCs/>
                      <w:color w:val="auto"/>
                      <w:spacing w:val="-10"/>
                      <w:sz w:val="21"/>
                      <w:szCs w:val="21"/>
                      <w:highlight w:val="none"/>
                    </w:rPr>
                  </w:pPr>
                  <w:r>
                    <w:rPr>
                      <w:rFonts w:hint="eastAsia" w:ascii="Times New Roman" w:hAnsi="Times New Roman" w:cs="宋体"/>
                      <w:b w:val="0"/>
                      <w:bCs/>
                      <w:color w:val="auto"/>
                      <w:spacing w:val="-10"/>
                      <w:sz w:val="21"/>
                      <w:szCs w:val="21"/>
                      <w:highlight w:val="none"/>
                    </w:rPr>
                    <w:t>CAS</w:t>
                  </w:r>
                  <w:r>
                    <w:rPr>
                      <w:rFonts w:hint="eastAsia" w:ascii="宋体" w:hAnsi="宋体" w:cs="宋体"/>
                      <w:b w:val="0"/>
                      <w:bCs/>
                      <w:color w:val="auto"/>
                      <w:spacing w:val="-10"/>
                      <w:sz w:val="21"/>
                      <w:szCs w:val="21"/>
                      <w:highlight w:val="none"/>
                    </w:rPr>
                    <w:t>号</w:t>
                  </w:r>
                </w:p>
              </w:tc>
              <w:tc>
                <w:tcPr>
                  <w:tcW w:w="1230" w:type="pct"/>
                  <w:noWrap w:val="0"/>
                  <w:vAlign w:val="center"/>
                </w:tcPr>
                <w:p w14:paraId="0D71EC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最大存在总量</w:t>
                  </w:r>
                  <w:r>
                    <w:rPr>
                      <w:rFonts w:hint="eastAsia" w:ascii="Times New Roman" w:hAnsi="Times New Roman" w:cs="宋体"/>
                      <w:b w:val="0"/>
                      <w:bCs/>
                      <w:color w:val="auto"/>
                      <w:spacing w:val="-10"/>
                      <w:sz w:val="21"/>
                      <w:szCs w:val="21"/>
                      <w:highlight w:val="none"/>
                    </w:rPr>
                    <w:t>q</w:t>
                  </w:r>
                  <w:r>
                    <w:rPr>
                      <w:rFonts w:hint="eastAsia" w:ascii="Times New Roman" w:hAnsi="Times New Roman" w:cs="宋体"/>
                      <w:b w:val="0"/>
                      <w:bCs/>
                      <w:color w:val="auto"/>
                      <w:spacing w:val="-10"/>
                      <w:sz w:val="21"/>
                      <w:szCs w:val="21"/>
                      <w:highlight w:val="none"/>
                      <w:vertAlign w:val="subscript"/>
                    </w:rPr>
                    <w:t>n</w:t>
                  </w:r>
                  <w:r>
                    <w:rPr>
                      <w:rFonts w:hint="eastAsia" w:ascii="宋体" w:hAnsi="宋体" w:cs="宋体"/>
                      <w:b w:val="0"/>
                      <w:bCs/>
                      <w:color w:val="auto"/>
                      <w:spacing w:val="-10"/>
                      <w:sz w:val="21"/>
                      <w:szCs w:val="21"/>
                      <w:highlight w:val="none"/>
                    </w:rPr>
                    <w:t>/</w:t>
                  </w:r>
                  <w:r>
                    <w:rPr>
                      <w:rFonts w:hint="eastAsia" w:ascii="Times New Roman" w:hAnsi="Times New Roman" w:cs="宋体"/>
                      <w:b w:val="0"/>
                      <w:bCs/>
                      <w:color w:val="auto"/>
                      <w:spacing w:val="-10"/>
                      <w:sz w:val="21"/>
                      <w:szCs w:val="21"/>
                      <w:highlight w:val="none"/>
                    </w:rPr>
                    <w:t>t</w:t>
                  </w:r>
                </w:p>
              </w:tc>
              <w:tc>
                <w:tcPr>
                  <w:tcW w:w="831" w:type="pct"/>
                  <w:noWrap w:val="0"/>
                  <w:vAlign w:val="center"/>
                </w:tcPr>
                <w:p w14:paraId="5D9E63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临界值</w:t>
                  </w:r>
                  <w:r>
                    <w:rPr>
                      <w:rFonts w:hint="eastAsia" w:ascii="Times New Roman" w:hAnsi="Times New Roman" w:cs="宋体"/>
                      <w:b w:val="0"/>
                      <w:bCs/>
                      <w:color w:val="auto"/>
                      <w:spacing w:val="-10"/>
                      <w:sz w:val="21"/>
                      <w:szCs w:val="21"/>
                      <w:highlight w:val="none"/>
                    </w:rPr>
                    <w:t>Q</w:t>
                  </w:r>
                  <w:r>
                    <w:rPr>
                      <w:rFonts w:hint="eastAsia" w:ascii="Times New Roman" w:hAnsi="Times New Roman" w:cs="宋体"/>
                      <w:b w:val="0"/>
                      <w:bCs/>
                      <w:color w:val="auto"/>
                      <w:spacing w:val="-10"/>
                      <w:sz w:val="21"/>
                      <w:szCs w:val="21"/>
                      <w:highlight w:val="none"/>
                      <w:vertAlign w:val="subscript"/>
                    </w:rPr>
                    <w:t>n</w:t>
                  </w:r>
                  <w:r>
                    <w:rPr>
                      <w:rFonts w:hint="eastAsia" w:ascii="宋体" w:hAnsi="宋体" w:cs="宋体"/>
                      <w:b w:val="0"/>
                      <w:bCs/>
                      <w:color w:val="auto"/>
                      <w:spacing w:val="-10"/>
                      <w:sz w:val="21"/>
                      <w:szCs w:val="21"/>
                      <w:highlight w:val="none"/>
                    </w:rPr>
                    <w:t>/</w:t>
                  </w:r>
                  <w:r>
                    <w:rPr>
                      <w:rFonts w:hint="eastAsia" w:ascii="Times New Roman" w:hAnsi="Times New Roman" w:cs="宋体"/>
                      <w:b w:val="0"/>
                      <w:bCs/>
                      <w:color w:val="auto"/>
                      <w:spacing w:val="-10"/>
                      <w:sz w:val="21"/>
                      <w:szCs w:val="21"/>
                      <w:highlight w:val="none"/>
                    </w:rPr>
                    <w:t>t</w:t>
                  </w:r>
                </w:p>
              </w:tc>
              <w:tc>
                <w:tcPr>
                  <w:tcW w:w="936" w:type="pct"/>
                  <w:noWrap w:val="0"/>
                  <w:vAlign w:val="center"/>
                </w:tcPr>
                <w:p w14:paraId="4DB3B1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危险物质</w:t>
                  </w:r>
                  <w:r>
                    <w:rPr>
                      <w:rFonts w:hint="eastAsia" w:ascii="Times New Roman" w:hAnsi="Times New Roman" w:cs="宋体"/>
                      <w:b w:val="0"/>
                      <w:bCs/>
                      <w:color w:val="auto"/>
                      <w:spacing w:val="-10"/>
                      <w:sz w:val="21"/>
                      <w:szCs w:val="21"/>
                      <w:highlight w:val="none"/>
                    </w:rPr>
                    <w:t>Q</w:t>
                  </w:r>
                  <w:r>
                    <w:rPr>
                      <w:rFonts w:hint="eastAsia" w:ascii="宋体" w:hAnsi="宋体" w:cs="宋体"/>
                      <w:b w:val="0"/>
                      <w:bCs/>
                      <w:color w:val="auto"/>
                      <w:spacing w:val="-10"/>
                      <w:sz w:val="21"/>
                      <w:szCs w:val="21"/>
                      <w:highlight w:val="none"/>
                    </w:rPr>
                    <w:t>值</w:t>
                  </w:r>
                </w:p>
              </w:tc>
            </w:tr>
            <w:tr w14:paraId="2484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47" w:type="pct"/>
                  <w:noWrap w:val="0"/>
                  <w:vAlign w:val="center"/>
                </w:tcPr>
                <w:p w14:paraId="31188A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s="宋体"/>
                      <w:b w:val="0"/>
                      <w:bCs/>
                      <w:color w:val="auto"/>
                      <w:spacing w:val="-10"/>
                      <w:sz w:val="21"/>
                      <w:szCs w:val="21"/>
                      <w:highlight w:val="none"/>
                    </w:rPr>
                  </w:pPr>
                  <w:r>
                    <w:rPr>
                      <w:rFonts w:hint="eastAsia" w:ascii="Times New Roman" w:hAnsi="Times New Roman" w:cs="宋体"/>
                      <w:b w:val="0"/>
                      <w:bCs/>
                      <w:color w:val="auto"/>
                      <w:spacing w:val="-10"/>
                      <w:sz w:val="21"/>
                      <w:szCs w:val="21"/>
                      <w:highlight w:val="none"/>
                    </w:rPr>
                    <w:t>1</w:t>
                  </w:r>
                </w:p>
              </w:tc>
              <w:tc>
                <w:tcPr>
                  <w:tcW w:w="972" w:type="pct"/>
                  <w:noWrap w:val="0"/>
                  <w:vAlign w:val="center"/>
                </w:tcPr>
                <w:p w14:paraId="132934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废矿物油</w:t>
                  </w:r>
                </w:p>
              </w:tc>
              <w:tc>
                <w:tcPr>
                  <w:tcW w:w="581" w:type="pct"/>
                  <w:noWrap w:val="0"/>
                  <w:vAlign w:val="center"/>
                </w:tcPr>
                <w:p w14:paraId="6164D2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rPr>
                    <w:t>/</w:t>
                  </w:r>
                </w:p>
              </w:tc>
              <w:tc>
                <w:tcPr>
                  <w:tcW w:w="1230" w:type="pct"/>
                  <w:noWrap w:val="0"/>
                  <w:vAlign w:val="center"/>
                </w:tcPr>
                <w:p w14:paraId="23B122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eastAsia="宋体" w:cs="宋体"/>
                      <w:b w:val="0"/>
                      <w:bCs/>
                      <w:color w:val="auto"/>
                      <w:spacing w:val="-10"/>
                      <w:sz w:val="21"/>
                      <w:szCs w:val="21"/>
                      <w:highlight w:val="none"/>
                      <w:lang w:val="en-US" w:eastAsia="zh-CN"/>
                    </w:rPr>
                  </w:pPr>
                  <w:r>
                    <w:rPr>
                      <w:rFonts w:hint="eastAsia" w:ascii="Times New Roman" w:hAnsi="Times New Roman" w:cs="宋体"/>
                      <w:b w:val="0"/>
                      <w:bCs/>
                      <w:color w:val="auto"/>
                      <w:spacing w:val="-10"/>
                      <w:sz w:val="21"/>
                      <w:szCs w:val="21"/>
                      <w:highlight w:val="none"/>
                      <w:lang w:val="en-US" w:eastAsia="zh-CN"/>
                    </w:rPr>
                    <w:t>0.4</w:t>
                  </w:r>
                </w:p>
              </w:tc>
              <w:tc>
                <w:tcPr>
                  <w:tcW w:w="831" w:type="pct"/>
                  <w:noWrap w:val="0"/>
                  <w:vAlign w:val="center"/>
                </w:tcPr>
                <w:p w14:paraId="657D93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cs="宋体"/>
                      <w:b w:val="0"/>
                      <w:bCs/>
                      <w:color w:val="auto"/>
                      <w:spacing w:val="-10"/>
                      <w:sz w:val="21"/>
                      <w:szCs w:val="21"/>
                      <w:highlight w:val="none"/>
                    </w:rPr>
                  </w:pPr>
                  <w:r>
                    <w:rPr>
                      <w:rFonts w:hint="eastAsia" w:ascii="Times New Roman" w:hAnsi="Times New Roman" w:cs="宋体"/>
                      <w:b w:val="0"/>
                      <w:bCs/>
                      <w:color w:val="auto"/>
                      <w:spacing w:val="-10"/>
                      <w:sz w:val="21"/>
                      <w:szCs w:val="21"/>
                      <w:highlight w:val="none"/>
                    </w:rPr>
                    <w:t>2500</w:t>
                  </w:r>
                </w:p>
              </w:tc>
              <w:tc>
                <w:tcPr>
                  <w:tcW w:w="936" w:type="pct"/>
                  <w:noWrap w:val="0"/>
                  <w:vAlign w:val="center"/>
                </w:tcPr>
                <w:p w14:paraId="261263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eastAsia="宋体" w:cs="宋体"/>
                      <w:b w:val="0"/>
                      <w:bCs/>
                      <w:color w:val="auto"/>
                      <w:spacing w:val="-10"/>
                      <w:sz w:val="21"/>
                      <w:szCs w:val="21"/>
                      <w:highlight w:val="none"/>
                      <w:lang w:val="en-US" w:eastAsia="zh-CN"/>
                    </w:rPr>
                  </w:pPr>
                  <w:r>
                    <w:rPr>
                      <w:rFonts w:hint="eastAsia" w:ascii="Times New Roman" w:hAnsi="Times New Roman" w:cs="宋体"/>
                      <w:b w:val="0"/>
                      <w:bCs/>
                      <w:color w:val="auto"/>
                      <w:spacing w:val="-10"/>
                      <w:sz w:val="21"/>
                      <w:szCs w:val="21"/>
                      <w:highlight w:val="none"/>
                    </w:rPr>
                    <w:t>0</w:t>
                  </w:r>
                  <w:r>
                    <w:rPr>
                      <w:rFonts w:hint="eastAsia" w:ascii="宋体" w:hAnsi="宋体" w:cs="宋体"/>
                      <w:b w:val="0"/>
                      <w:bCs/>
                      <w:color w:val="auto"/>
                      <w:spacing w:val="-10"/>
                      <w:sz w:val="21"/>
                      <w:szCs w:val="21"/>
                      <w:highlight w:val="none"/>
                    </w:rPr>
                    <w:t>.</w:t>
                  </w:r>
                  <w:r>
                    <w:rPr>
                      <w:rFonts w:hint="eastAsia" w:ascii="Times New Roman" w:hAnsi="Times New Roman" w:cs="宋体"/>
                      <w:b w:val="0"/>
                      <w:bCs/>
                      <w:color w:val="auto"/>
                      <w:spacing w:val="-10"/>
                      <w:sz w:val="21"/>
                      <w:szCs w:val="21"/>
                      <w:highlight w:val="none"/>
                    </w:rPr>
                    <w:t>000</w:t>
                  </w:r>
                  <w:r>
                    <w:rPr>
                      <w:rFonts w:hint="eastAsia" w:ascii="Times New Roman" w:hAnsi="Times New Roman" w:cs="宋体"/>
                      <w:b w:val="0"/>
                      <w:bCs/>
                      <w:color w:val="auto"/>
                      <w:spacing w:val="-10"/>
                      <w:sz w:val="21"/>
                      <w:szCs w:val="21"/>
                      <w:highlight w:val="none"/>
                      <w:lang w:val="en-US" w:eastAsia="zh-CN"/>
                    </w:rPr>
                    <w:t>16</w:t>
                  </w:r>
                </w:p>
              </w:tc>
            </w:tr>
            <w:tr w14:paraId="740E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47" w:type="pct"/>
                  <w:noWrap w:val="0"/>
                  <w:vAlign w:val="center"/>
                </w:tcPr>
                <w:p w14:paraId="0EC8DA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宋体"/>
                      <w:b w:val="0"/>
                      <w:bCs/>
                      <w:color w:val="auto"/>
                      <w:spacing w:val="-10"/>
                      <w:sz w:val="21"/>
                      <w:szCs w:val="21"/>
                      <w:highlight w:val="none"/>
                      <w:lang w:val="en-US" w:eastAsia="zh-CN"/>
                    </w:rPr>
                  </w:pPr>
                  <w:r>
                    <w:rPr>
                      <w:rFonts w:hint="eastAsia" w:ascii="Times New Roman" w:hAnsi="Times New Roman" w:cs="宋体"/>
                      <w:b w:val="0"/>
                      <w:bCs/>
                      <w:color w:val="auto"/>
                      <w:spacing w:val="-10"/>
                      <w:sz w:val="21"/>
                      <w:szCs w:val="21"/>
                      <w:highlight w:val="none"/>
                      <w:lang w:val="en-US" w:eastAsia="zh-CN"/>
                    </w:rPr>
                    <w:t>2</w:t>
                  </w:r>
                </w:p>
              </w:tc>
              <w:tc>
                <w:tcPr>
                  <w:tcW w:w="972" w:type="pct"/>
                  <w:noWrap w:val="0"/>
                  <w:vAlign w:val="center"/>
                </w:tcPr>
                <w:p w14:paraId="52E72501">
                  <w:pPr>
                    <w:keepNext w:val="0"/>
                    <w:keepLines w:val="0"/>
                    <w:suppressLineNumbers w:val="0"/>
                    <w:adjustRightInd w:val="0"/>
                    <w:snapToGrid w:val="0"/>
                    <w:spacing w:before="0" w:beforeAutospacing="0" w:after="0" w:afterAutospacing="0"/>
                    <w:ind w:left="0" w:right="0"/>
                    <w:jc w:val="center"/>
                    <w:rPr>
                      <w:rFonts w:hint="eastAsia" w:ascii="宋体" w:hAnsi="宋体" w:cs="宋体"/>
                      <w:b w:val="0"/>
                      <w:bCs/>
                      <w:color w:val="auto"/>
                      <w:spacing w:val="-10"/>
                      <w:sz w:val="21"/>
                      <w:szCs w:val="21"/>
                      <w:highlight w:val="none"/>
                    </w:rPr>
                  </w:pPr>
                  <w:r>
                    <w:rPr>
                      <w:rFonts w:hint="eastAsia" w:ascii="宋体" w:hAnsi="宋体" w:cs="宋体"/>
                      <w:b w:val="0"/>
                      <w:bCs/>
                      <w:color w:val="auto"/>
                      <w:spacing w:val="-10"/>
                      <w:sz w:val="21"/>
                      <w:szCs w:val="21"/>
                      <w:highlight w:val="none"/>
                      <w:lang w:val="en-US" w:eastAsia="zh-CN"/>
                    </w:rPr>
                    <w:t>矿物油</w:t>
                  </w:r>
                </w:p>
              </w:tc>
              <w:tc>
                <w:tcPr>
                  <w:tcW w:w="581" w:type="pct"/>
                  <w:noWrap w:val="0"/>
                  <w:vAlign w:val="center"/>
                </w:tcPr>
                <w:p w14:paraId="04385572">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b w:val="0"/>
                      <w:bCs/>
                      <w:color w:val="auto"/>
                      <w:spacing w:val="-10"/>
                      <w:sz w:val="21"/>
                      <w:szCs w:val="21"/>
                      <w:highlight w:val="none"/>
                      <w:lang w:val="en-US" w:eastAsia="zh-CN"/>
                    </w:rPr>
                  </w:pPr>
                  <w:r>
                    <w:rPr>
                      <w:rFonts w:hint="eastAsia" w:ascii="宋体" w:hAnsi="宋体" w:cs="宋体"/>
                      <w:b w:val="0"/>
                      <w:bCs/>
                      <w:color w:val="auto"/>
                      <w:spacing w:val="-10"/>
                      <w:sz w:val="21"/>
                      <w:szCs w:val="21"/>
                      <w:highlight w:val="none"/>
                      <w:lang w:val="en-US" w:eastAsia="zh-CN"/>
                    </w:rPr>
                    <w:t>/</w:t>
                  </w:r>
                </w:p>
              </w:tc>
              <w:tc>
                <w:tcPr>
                  <w:tcW w:w="1230" w:type="pct"/>
                  <w:noWrap w:val="0"/>
                  <w:vAlign w:val="center"/>
                </w:tcPr>
                <w:p w14:paraId="105D7B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宋体"/>
                      <w:b w:val="0"/>
                      <w:bCs/>
                      <w:color w:val="auto"/>
                      <w:spacing w:val="-10"/>
                      <w:sz w:val="21"/>
                      <w:szCs w:val="21"/>
                      <w:highlight w:val="none"/>
                      <w:lang w:val="en-US"/>
                    </w:rPr>
                  </w:pPr>
                  <w:r>
                    <w:rPr>
                      <w:rFonts w:hint="eastAsia" w:ascii="Times New Roman" w:hAnsi="Times New Roman" w:cs="Times New Roman"/>
                      <w:b w:val="0"/>
                      <w:bCs/>
                      <w:color w:val="auto"/>
                      <w:spacing w:val="-10"/>
                      <w:sz w:val="21"/>
                      <w:szCs w:val="21"/>
                      <w:highlight w:val="none"/>
                      <w:lang w:val="en-US" w:eastAsia="zh-CN"/>
                    </w:rPr>
                    <w:t>0.6</w:t>
                  </w:r>
                </w:p>
              </w:tc>
              <w:tc>
                <w:tcPr>
                  <w:tcW w:w="831" w:type="pct"/>
                  <w:noWrap w:val="0"/>
                  <w:vAlign w:val="center"/>
                </w:tcPr>
                <w:p w14:paraId="2F2CA7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宋体"/>
                      <w:b w:val="0"/>
                      <w:bCs/>
                      <w:color w:val="auto"/>
                      <w:spacing w:val="-10"/>
                      <w:sz w:val="21"/>
                      <w:szCs w:val="21"/>
                      <w:highlight w:val="none"/>
                      <w:lang w:val="en-US" w:eastAsia="zh-CN"/>
                    </w:rPr>
                  </w:pPr>
                  <w:r>
                    <w:rPr>
                      <w:rFonts w:hint="eastAsia" w:ascii="Times New Roman" w:hAnsi="Times New Roman" w:cs="宋体"/>
                      <w:b w:val="0"/>
                      <w:bCs/>
                      <w:color w:val="auto"/>
                      <w:spacing w:val="-10"/>
                      <w:sz w:val="21"/>
                      <w:szCs w:val="21"/>
                      <w:highlight w:val="none"/>
                      <w:lang w:val="en-US" w:eastAsia="zh-CN"/>
                    </w:rPr>
                    <w:t>2500</w:t>
                  </w:r>
                </w:p>
              </w:tc>
              <w:tc>
                <w:tcPr>
                  <w:tcW w:w="936" w:type="pct"/>
                  <w:noWrap w:val="0"/>
                  <w:vAlign w:val="center"/>
                </w:tcPr>
                <w:p w14:paraId="697B1C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宋体"/>
                      <w:b w:val="0"/>
                      <w:bCs/>
                      <w:color w:val="auto"/>
                      <w:spacing w:val="-10"/>
                      <w:sz w:val="21"/>
                      <w:szCs w:val="21"/>
                      <w:highlight w:val="none"/>
                      <w:lang w:val="en-US" w:eastAsia="zh-CN"/>
                    </w:rPr>
                  </w:pPr>
                  <w:r>
                    <w:rPr>
                      <w:rFonts w:hint="eastAsia" w:ascii="Times New Roman" w:hAnsi="Times New Roman" w:cs="宋体"/>
                      <w:b w:val="0"/>
                      <w:bCs/>
                      <w:color w:val="auto"/>
                      <w:spacing w:val="-10"/>
                      <w:sz w:val="21"/>
                      <w:szCs w:val="21"/>
                      <w:highlight w:val="none"/>
                      <w:lang w:val="en-US" w:eastAsia="zh-CN"/>
                    </w:rPr>
                    <w:t>0.0004</w:t>
                  </w:r>
                </w:p>
              </w:tc>
            </w:tr>
            <w:tr w14:paraId="52D9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47" w:type="pct"/>
                  <w:noWrap w:val="0"/>
                  <w:vAlign w:val="center"/>
                </w:tcPr>
                <w:p w14:paraId="27BBD4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宋体"/>
                      <w:b w:val="0"/>
                      <w:bCs/>
                      <w:color w:val="auto"/>
                      <w:spacing w:val="-10"/>
                      <w:sz w:val="21"/>
                      <w:szCs w:val="21"/>
                      <w:highlight w:val="none"/>
                      <w:lang w:val="en-US" w:eastAsia="zh-CN"/>
                    </w:rPr>
                  </w:pPr>
                  <w:r>
                    <w:rPr>
                      <w:rFonts w:hint="eastAsia" w:cs="宋体"/>
                      <w:b w:val="0"/>
                      <w:bCs/>
                      <w:color w:val="auto"/>
                      <w:spacing w:val="-10"/>
                      <w:sz w:val="21"/>
                      <w:szCs w:val="21"/>
                      <w:highlight w:val="none"/>
                      <w:lang w:val="en-US" w:eastAsia="zh-CN"/>
                    </w:rPr>
                    <w:t>3</w:t>
                  </w:r>
                </w:p>
              </w:tc>
              <w:tc>
                <w:tcPr>
                  <w:tcW w:w="972" w:type="pct"/>
                  <w:noWrap w:val="0"/>
                  <w:vAlign w:val="center"/>
                </w:tcPr>
                <w:p w14:paraId="23A1E44D">
                  <w:pPr>
                    <w:keepNext w:val="0"/>
                    <w:keepLines w:val="0"/>
                    <w:suppressLineNumbers w:val="0"/>
                    <w:adjustRightInd w:val="0"/>
                    <w:snapToGrid w:val="0"/>
                    <w:spacing w:before="0" w:beforeAutospacing="0" w:after="0" w:afterAutospacing="0"/>
                    <w:ind w:left="0" w:right="0"/>
                    <w:jc w:val="center"/>
                    <w:rPr>
                      <w:rFonts w:hint="default" w:ascii="宋体" w:hAnsi="宋体" w:cs="宋体"/>
                      <w:b w:val="0"/>
                      <w:bCs/>
                      <w:color w:val="auto"/>
                      <w:spacing w:val="-10"/>
                      <w:sz w:val="21"/>
                      <w:szCs w:val="21"/>
                      <w:highlight w:val="none"/>
                      <w:lang w:val="en-US" w:eastAsia="zh-CN"/>
                    </w:rPr>
                  </w:pPr>
                  <w:r>
                    <w:rPr>
                      <w:rFonts w:hint="eastAsia" w:ascii="宋体" w:hAnsi="宋体" w:cs="宋体"/>
                      <w:b w:val="0"/>
                      <w:bCs/>
                      <w:color w:val="auto"/>
                      <w:spacing w:val="-10"/>
                      <w:sz w:val="21"/>
                      <w:szCs w:val="21"/>
                      <w:highlight w:val="none"/>
                      <w:lang w:val="en-US" w:eastAsia="zh-CN"/>
                    </w:rPr>
                    <w:t>甲烷</w:t>
                  </w:r>
                </w:p>
              </w:tc>
              <w:tc>
                <w:tcPr>
                  <w:tcW w:w="581" w:type="pct"/>
                  <w:noWrap w:val="0"/>
                  <w:vAlign w:val="center"/>
                </w:tcPr>
                <w:p w14:paraId="608DB399">
                  <w:pPr>
                    <w:keepNext w:val="0"/>
                    <w:keepLines w:val="0"/>
                    <w:suppressLineNumbers w:val="0"/>
                    <w:adjustRightInd w:val="0"/>
                    <w:snapToGrid w:val="0"/>
                    <w:spacing w:before="0" w:beforeAutospacing="0" w:after="0" w:afterAutospacing="0"/>
                    <w:ind w:left="0" w:right="0"/>
                    <w:jc w:val="center"/>
                    <w:rPr>
                      <w:rFonts w:hint="default" w:ascii="宋体" w:hAnsi="宋体" w:cs="宋体"/>
                      <w:b w:val="0"/>
                      <w:bCs/>
                      <w:color w:val="auto"/>
                      <w:spacing w:val="-10"/>
                      <w:sz w:val="21"/>
                      <w:szCs w:val="21"/>
                      <w:highlight w:val="none"/>
                      <w:lang w:val="en-US" w:eastAsia="zh-CN"/>
                    </w:rPr>
                  </w:pPr>
                  <w:r>
                    <w:rPr>
                      <w:rFonts w:hint="eastAsia" w:hAnsi="Times New Roman"/>
                      <w:color w:val="auto"/>
                      <w:highlight w:val="none"/>
                    </w:rPr>
                    <w:t>74-82-8</w:t>
                  </w:r>
                </w:p>
              </w:tc>
              <w:tc>
                <w:tcPr>
                  <w:tcW w:w="1230" w:type="pct"/>
                  <w:noWrap w:val="0"/>
                  <w:vAlign w:val="center"/>
                </w:tcPr>
                <w:p w14:paraId="79DBF9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val="0"/>
                      <w:bCs/>
                      <w:color w:val="auto"/>
                      <w:spacing w:val="-10"/>
                      <w:sz w:val="21"/>
                      <w:szCs w:val="21"/>
                      <w:highlight w:val="none"/>
                      <w:lang w:val="en-US" w:eastAsia="zh-CN"/>
                    </w:rPr>
                  </w:pPr>
                  <w:r>
                    <w:rPr>
                      <w:rFonts w:hint="eastAsia" w:cs="Times New Roman"/>
                      <w:b w:val="0"/>
                      <w:bCs/>
                      <w:color w:val="auto"/>
                      <w:spacing w:val="-10"/>
                      <w:sz w:val="21"/>
                      <w:szCs w:val="21"/>
                      <w:highlight w:val="none"/>
                      <w:lang w:val="en-US" w:eastAsia="zh-CN"/>
                    </w:rPr>
                    <w:t>0.011</w:t>
                  </w:r>
                </w:p>
              </w:tc>
              <w:tc>
                <w:tcPr>
                  <w:tcW w:w="831" w:type="pct"/>
                  <w:noWrap w:val="0"/>
                  <w:vAlign w:val="center"/>
                </w:tcPr>
                <w:p w14:paraId="4CC206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宋体"/>
                      <w:b w:val="0"/>
                      <w:bCs/>
                      <w:color w:val="auto"/>
                      <w:spacing w:val="-10"/>
                      <w:sz w:val="21"/>
                      <w:szCs w:val="21"/>
                      <w:highlight w:val="none"/>
                      <w:lang w:val="en-US" w:eastAsia="zh-CN"/>
                    </w:rPr>
                  </w:pPr>
                  <w:r>
                    <w:rPr>
                      <w:rFonts w:hint="eastAsia" w:hAnsi="Times New Roman"/>
                      <w:color w:val="auto"/>
                      <w:highlight w:val="none"/>
                    </w:rPr>
                    <w:t>10</w:t>
                  </w:r>
                </w:p>
              </w:tc>
              <w:tc>
                <w:tcPr>
                  <w:tcW w:w="936" w:type="pct"/>
                  <w:noWrap w:val="0"/>
                  <w:vAlign w:val="center"/>
                </w:tcPr>
                <w:p w14:paraId="233A4C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宋体"/>
                      <w:b w:val="0"/>
                      <w:bCs/>
                      <w:color w:val="auto"/>
                      <w:spacing w:val="-10"/>
                      <w:sz w:val="21"/>
                      <w:szCs w:val="21"/>
                      <w:highlight w:val="none"/>
                      <w:lang w:val="en-US" w:eastAsia="zh-CN"/>
                    </w:rPr>
                  </w:pPr>
                  <w:r>
                    <w:rPr>
                      <w:rFonts w:hint="eastAsia" w:cs="宋体"/>
                      <w:b w:val="0"/>
                      <w:bCs/>
                      <w:color w:val="auto"/>
                      <w:spacing w:val="-10"/>
                      <w:sz w:val="21"/>
                      <w:szCs w:val="21"/>
                      <w:highlight w:val="none"/>
                      <w:lang w:val="en-US" w:eastAsia="zh-CN"/>
                    </w:rPr>
                    <w:t>0.0011</w:t>
                  </w:r>
                </w:p>
              </w:tc>
            </w:tr>
            <w:tr w14:paraId="3D91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447" w:type="pct"/>
                  <w:noWrap w:val="0"/>
                  <w:vAlign w:val="center"/>
                </w:tcPr>
                <w:p w14:paraId="244D29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宋体"/>
                      <w:b w:val="0"/>
                      <w:bCs/>
                      <w:color w:val="auto"/>
                      <w:spacing w:val="-10"/>
                      <w:sz w:val="21"/>
                      <w:szCs w:val="21"/>
                      <w:highlight w:val="none"/>
                      <w:lang w:val="en-US" w:eastAsia="zh-CN"/>
                    </w:rPr>
                  </w:pPr>
                  <w:r>
                    <w:rPr>
                      <w:rFonts w:hint="eastAsia" w:ascii="Times New Roman" w:hAnsi="Times New Roman" w:cs="宋体"/>
                      <w:b w:val="0"/>
                      <w:bCs/>
                      <w:color w:val="auto"/>
                      <w:spacing w:val="-10"/>
                      <w:sz w:val="21"/>
                      <w:szCs w:val="21"/>
                      <w:highlight w:val="none"/>
                      <w:lang w:val="en-US" w:eastAsia="zh-CN"/>
                    </w:rPr>
                    <w:t>合计</w:t>
                  </w:r>
                </w:p>
              </w:tc>
              <w:tc>
                <w:tcPr>
                  <w:tcW w:w="972" w:type="pct"/>
                  <w:noWrap w:val="0"/>
                  <w:vAlign w:val="center"/>
                </w:tcPr>
                <w:p w14:paraId="74D1DC56">
                  <w:pPr>
                    <w:keepNext w:val="0"/>
                    <w:keepLines w:val="0"/>
                    <w:suppressLineNumbers w:val="0"/>
                    <w:adjustRightInd w:val="0"/>
                    <w:snapToGrid w:val="0"/>
                    <w:spacing w:before="0" w:beforeAutospacing="0" w:after="0" w:afterAutospacing="0"/>
                    <w:ind w:left="0" w:right="0"/>
                    <w:jc w:val="center"/>
                    <w:rPr>
                      <w:rFonts w:hint="eastAsia" w:ascii="宋体" w:hAnsi="宋体" w:cs="宋体"/>
                      <w:b w:val="0"/>
                      <w:bCs/>
                      <w:color w:val="auto"/>
                      <w:spacing w:val="-10"/>
                      <w:sz w:val="21"/>
                      <w:szCs w:val="21"/>
                      <w:highlight w:val="none"/>
                      <w:lang w:val="en-US" w:eastAsia="zh-CN"/>
                    </w:rPr>
                  </w:pPr>
                  <w:r>
                    <w:rPr>
                      <w:rFonts w:hint="eastAsia" w:ascii="宋体" w:hAnsi="宋体" w:cs="宋体"/>
                      <w:b w:val="0"/>
                      <w:bCs/>
                      <w:color w:val="auto"/>
                      <w:spacing w:val="-10"/>
                      <w:sz w:val="21"/>
                      <w:szCs w:val="21"/>
                      <w:highlight w:val="none"/>
                      <w:lang w:val="en-US" w:eastAsia="zh-CN"/>
                    </w:rPr>
                    <w:t>/</w:t>
                  </w:r>
                </w:p>
              </w:tc>
              <w:tc>
                <w:tcPr>
                  <w:tcW w:w="581" w:type="pct"/>
                  <w:noWrap w:val="0"/>
                  <w:vAlign w:val="center"/>
                </w:tcPr>
                <w:p w14:paraId="25ACEB2E">
                  <w:pPr>
                    <w:keepNext w:val="0"/>
                    <w:keepLines w:val="0"/>
                    <w:suppressLineNumbers w:val="0"/>
                    <w:adjustRightInd w:val="0"/>
                    <w:snapToGrid w:val="0"/>
                    <w:spacing w:before="0" w:beforeAutospacing="0" w:after="0" w:afterAutospacing="0"/>
                    <w:ind w:left="0" w:right="0"/>
                    <w:jc w:val="center"/>
                    <w:rPr>
                      <w:rFonts w:hint="eastAsia" w:ascii="宋体" w:hAnsi="宋体" w:cs="宋体"/>
                      <w:b w:val="0"/>
                      <w:bCs/>
                      <w:color w:val="auto"/>
                      <w:spacing w:val="-10"/>
                      <w:sz w:val="21"/>
                      <w:szCs w:val="21"/>
                      <w:highlight w:val="none"/>
                      <w:lang w:val="en-US" w:eastAsia="zh-CN"/>
                    </w:rPr>
                  </w:pPr>
                  <w:r>
                    <w:rPr>
                      <w:rFonts w:hint="eastAsia" w:ascii="宋体" w:hAnsi="宋体" w:cs="宋体"/>
                      <w:b w:val="0"/>
                      <w:bCs/>
                      <w:color w:val="auto"/>
                      <w:spacing w:val="-10"/>
                      <w:sz w:val="21"/>
                      <w:szCs w:val="21"/>
                      <w:highlight w:val="none"/>
                      <w:lang w:val="en-US" w:eastAsia="zh-CN"/>
                    </w:rPr>
                    <w:t>/</w:t>
                  </w:r>
                </w:p>
              </w:tc>
              <w:tc>
                <w:tcPr>
                  <w:tcW w:w="1230" w:type="pct"/>
                  <w:noWrap w:val="0"/>
                  <w:vAlign w:val="center"/>
                </w:tcPr>
                <w:p w14:paraId="061E01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b w:val="0"/>
                      <w:bCs/>
                      <w:color w:val="auto"/>
                      <w:spacing w:val="-10"/>
                      <w:sz w:val="21"/>
                      <w:szCs w:val="21"/>
                      <w:highlight w:val="none"/>
                      <w:lang w:val="en-US" w:eastAsia="zh-CN"/>
                    </w:rPr>
                  </w:pPr>
                  <w:r>
                    <w:rPr>
                      <w:rFonts w:hint="eastAsia" w:ascii="宋体" w:hAnsi="宋体" w:cs="宋体"/>
                      <w:b w:val="0"/>
                      <w:bCs/>
                      <w:color w:val="auto"/>
                      <w:spacing w:val="-10"/>
                      <w:sz w:val="21"/>
                      <w:szCs w:val="21"/>
                      <w:highlight w:val="none"/>
                      <w:lang w:val="en-US" w:eastAsia="zh-CN"/>
                    </w:rPr>
                    <w:t>/</w:t>
                  </w:r>
                </w:p>
              </w:tc>
              <w:tc>
                <w:tcPr>
                  <w:tcW w:w="831" w:type="pct"/>
                  <w:noWrap w:val="0"/>
                  <w:vAlign w:val="center"/>
                </w:tcPr>
                <w:p w14:paraId="71F861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cs="宋体"/>
                      <w:b w:val="0"/>
                      <w:bCs/>
                      <w:color w:val="auto"/>
                      <w:spacing w:val="-10"/>
                      <w:sz w:val="21"/>
                      <w:szCs w:val="21"/>
                      <w:highlight w:val="none"/>
                      <w:lang w:val="en-US" w:eastAsia="zh-CN"/>
                    </w:rPr>
                  </w:pPr>
                  <w:r>
                    <w:rPr>
                      <w:rFonts w:hint="eastAsia" w:ascii="宋体" w:hAnsi="宋体" w:cs="宋体"/>
                      <w:b w:val="0"/>
                      <w:bCs/>
                      <w:color w:val="auto"/>
                      <w:spacing w:val="-10"/>
                      <w:sz w:val="21"/>
                      <w:szCs w:val="21"/>
                      <w:highlight w:val="none"/>
                      <w:lang w:val="en-US" w:eastAsia="zh-CN"/>
                    </w:rPr>
                    <w:t>/</w:t>
                  </w:r>
                </w:p>
              </w:tc>
              <w:tc>
                <w:tcPr>
                  <w:tcW w:w="936" w:type="pct"/>
                  <w:noWrap w:val="0"/>
                  <w:vAlign w:val="center"/>
                </w:tcPr>
                <w:p w14:paraId="2426C6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宋体"/>
                      <w:b w:val="0"/>
                      <w:bCs/>
                      <w:color w:val="auto"/>
                      <w:spacing w:val="-10"/>
                      <w:sz w:val="21"/>
                      <w:szCs w:val="21"/>
                      <w:highlight w:val="none"/>
                      <w:lang w:val="en-US" w:eastAsia="zh-CN"/>
                    </w:rPr>
                  </w:pPr>
                  <w:r>
                    <w:rPr>
                      <w:rFonts w:hint="eastAsia" w:ascii="Times New Roman" w:hAnsi="Times New Roman" w:cs="宋体"/>
                      <w:b w:val="0"/>
                      <w:bCs/>
                      <w:color w:val="auto"/>
                      <w:spacing w:val="-10"/>
                      <w:sz w:val="21"/>
                      <w:szCs w:val="21"/>
                      <w:highlight w:val="none"/>
                      <w:lang w:val="en-US" w:eastAsia="zh-CN"/>
                    </w:rPr>
                    <w:t>0.00</w:t>
                  </w:r>
                  <w:r>
                    <w:rPr>
                      <w:rFonts w:hint="eastAsia" w:cs="宋体"/>
                      <w:b w:val="0"/>
                      <w:bCs/>
                      <w:color w:val="auto"/>
                      <w:spacing w:val="-10"/>
                      <w:sz w:val="21"/>
                      <w:szCs w:val="21"/>
                      <w:highlight w:val="none"/>
                      <w:lang w:val="en-US" w:eastAsia="zh-CN"/>
                    </w:rPr>
                    <w:t>016</w:t>
                  </w:r>
                </w:p>
              </w:tc>
            </w:tr>
          </w:tbl>
          <w:p w14:paraId="445D48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eastAsia" w:ascii="宋体" w:hAnsi="宋体" w:cs="宋体"/>
                <w:bCs/>
                <w:color w:val="auto"/>
                <w:spacing w:val="-10"/>
                <w:sz w:val="24"/>
                <w:highlight w:val="none"/>
              </w:rPr>
            </w:pPr>
            <w:r>
              <w:rPr>
                <w:rFonts w:hint="eastAsia" w:ascii="宋体" w:hAnsi="宋体" w:cs="宋体"/>
                <w:bCs/>
                <w:color w:val="auto"/>
                <w:spacing w:val="-10"/>
                <w:sz w:val="24"/>
                <w:highlight w:val="none"/>
              </w:rPr>
              <w:t>由表</w:t>
            </w:r>
            <w:r>
              <w:rPr>
                <w:rFonts w:hint="eastAsia" w:ascii="Times New Roman" w:hAnsi="Times New Roman" w:cs="宋体"/>
                <w:bCs/>
                <w:color w:val="auto"/>
                <w:spacing w:val="-10"/>
                <w:sz w:val="24"/>
                <w:highlight w:val="none"/>
              </w:rPr>
              <w:t>4</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lang w:val="en-US" w:eastAsia="zh-CN"/>
              </w:rPr>
              <w:t>12</w:t>
            </w:r>
            <w:r>
              <w:rPr>
                <w:rFonts w:hint="eastAsia" w:ascii="宋体" w:hAnsi="宋体" w:cs="宋体"/>
                <w:bCs/>
                <w:color w:val="auto"/>
                <w:spacing w:val="-10"/>
                <w:sz w:val="24"/>
                <w:highlight w:val="none"/>
              </w:rPr>
              <w:t>可知，项目</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1</w:t>
            </w:r>
            <w:r>
              <w:rPr>
                <w:rFonts w:hint="eastAsia" w:ascii="宋体" w:hAnsi="宋体" w:cs="宋体"/>
                <w:bCs/>
                <w:color w:val="auto"/>
                <w:spacing w:val="-10"/>
                <w:sz w:val="24"/>
                <w:highlight w:val="none"/>
              </w:rPr>
              <w:t>。根据《建设项目环境风险评价技术导则》（</w:t>
            </w:r>
            <w:r>
              <w:rPr>
                <w:rFonts w:hint="eastAsia" w:ascii="Times New Roman" w:hAnsi="Times New Roman" w:cs="宋体"/>
                <w:bCs/>
                <w:color w:val="auto"/>
                <w:spacing w:val="-10"/>
                <w:sz w:val="24"/>
                <w:highlight w:val="none"/>
              </w:rPr>
              <w:t>HJ169</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2018</w:t>
            </w:r>
            <w:r>
              <w:rPr>
                <w:rFonts w:hint="eastAsia" w:ascii="宋体" w:hAnsi="宋体" w:cs="宋体"/>
                <w:bCs/>
                <w:color w:val="auto"/>
                <w:spacing w:val="-10"/>
                <w:sz w:val="24"/>
                <w:highlight w:val="none"/>
              </w:rPr>
              <w:t>）“当</w:t>
            </w:r>
            <w:r>
              <w:rPr>
                <w:rFonts w:hint="eastAsia" w:ascii="Times New Roman" w:hAnsi="Times New Roman" w:cs="宋体"/>
                <w:bCs/>
                <w:color w:val="auto"/>
                <w:spacing w:val="-10"/>
                <w:sz w:val="24"/>
                <w:highlight w:val="none"/>
              </w:rPr>
              <w:t>Q</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1</w:t>
            </w:r>
            <w:r>
              <w:rPr>
                <w:rFonts w:hint="eastAsia" w:ascii="宋体" w:hAnsi="宋体" w:cs="宋体"/>
                <w:bCs/>
                <w:color w:val="auto"/>
                <w:spacing w:val="-10"/>
                <w:sz w:val="24"/>
                <w:highlight w:val="none"/>
              </w:rPr>
              <w:t>时，该项目环境风险潜势为</w:t>
            </w:r>
            <w:r>
              <w:rPr>
                <w:rFonts w:hint="eastAsia" w:ascii="Times New Roman" w:hAnsi="Times New Roman" w:cs="宋体"/>
                <w:bCs/>
                <w:color w:val="auto"/>
                <w:spacing w:val="-10"/>
                <w:sz w:val="24"/>
                <w:highlight w:val="none"/>
              </w:rPr>
              <w:t>I</w:t>
            </w:r>
            <w:r>
              <w:rPr>
                <w:rFonts w:hint="eastAsia" w:ascii="宋体" w:hAnsi="宋体" w:cs="宋体"/>
                <w:bCs/>
                <w:color w:val="auto"/>
                <w:spacing w:val="-10"/>
                <w:sz w:val="24"/>
                <w:highlight w:val="none"/>
              </w:rPr>
              <w:t>”。因此，本项目环境风险潜势为</w:t>
            </w:r>
            <w:r>
              <w:rPr>
                <w:rFonts w:hint="eastAsia" w:ascii="Times New Roman" w:hAnsi="Times New Roman" w:cs="宋体"/>
                <w:bCs/>
                <w:color w:val="auto"/>
                <w:spacing w:val="-10"/>
                <w:sz w:val="24"/>
                <w:highlight w:val="none"/>
              </w:rPr>
              <w:t>I</w:t>
            </w:r>
            <w:r>
              <w:rPr>
                <w:rFonts w:hint="eastAsia" w:ascii="宋体" w:hAnsi="宋体" w:cs="宋体"/>
                <w:bCs/>
                <w:color w:val="auto"/>
                <w:spacing w:val="-10"/>
                <w:sz w:val="24"/>
                <w:highlight w:val="none"/>
              </w:rPr>
              <w:t>。</w:t>
            </w:r>
          </w:p>
          <w:p w14:paraId="394CDB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eastAsia" w:ascii="宋体" w:hAnsi="宋体" w:cs="宋体"/>
                <w:bCs/>
                <w:color w:val="auto"/>
                <w:spacing w:val="-10"/>
                <w:sz w:val="24"/>
                <w:highlight w:val="none"/>
              </w:rPr>
            </w:pPr>
            <w:r>
              <w:rPr>
                <w:rFonts w:hint="eastAsia" w:ascii="Times New Roman" w:hAnsi="Times New Roman" w:cs="宋体"/>
                <w:bCs/>
                <w:color w:val="auto"/>
                <w:spacing w:val="-10"/>
                <w:sz w:val="24"/>
                <w:highlight w:val="none"/>
              </w:rPr>
              <w:t>2</w:t>
            </w:r>
            <w:r>
              <w:rPr>
                <w:rFonts w:hint="eastAsia" w:ascii="宋体" w:hAnsi="宋体" w:cs="宋体"/>
                <w:bCs/>
                <w:color w:val="auto"/>
                <w:spacing w:val="-10"/>
                <w:sz w:val="24"/>
                <w:highlight w:val="none"/>
              </w:rPr>
              <w:t>）评价等级</w:t>
            </w:r>
          </w:p>
          <w:p w14:paraId="69E010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textAlignment w:val="auto"/>
              <w:rPr>
                <w:rFonts w:hint="eastAsia" w:ascii="宋体" w:hAnsi="宋体" w:cs="宋体"/>
                <w:bCs/>
                <w:color w:val="auto"/>
                <w:spacing w:val="-10"/>
                <w:sz w:val="24"/>
                <w:highlight w:val="none"/>
              </w:rPr>
            </w:pPr>
            <w:r>
              <w:rPr>
                <w:rFonts w:hint="eastAsia" w:ascii="宋体" w:hAnsi="宋体" w:cs="宋体"/>
                <w:bCs/>
                <w:color w:val="auto"/>
                <w:spacing w:val="-10"/>
                <w:sz w:val="24"/>
                <w:highlight w:val="none"/>
              </w:rPr>
              <w:t>根据《建设项目环境风险评价技术导则》（</w:t>
            </w:r>
            <w:r>
              <w:rPr>
                <w:rFonts w:hint="eastAsia" w:ascii="Times New Roman" w:hAnsi="Times New Roman" w:cs="宋体"/>
                <w:bCs/>
                <w:color w:val="auto"/>
                <w:spacing w:val="-10"/>
                <w:sz w:val="24"/>
                <w:highlight w:val="none"/>
              </w:rPr>
              <w:t>HJ169</w:t>
            </w:r>
            <w:r>
              <w:rPr>
                <w:rFonts w:hint="eastAsia" w:ascii="宋体" w:hAnsi="宋体" w:cs="宋体"/>
                <w:bCs/>
                <w:color w:val="auto"/>
                <w:spacing w:val="-10"/>
                <w:sz w:val="24"/>
                <w:highlight w:val="none"/>
              </w:rPr>
              <w:t>-</w:t>
            </w:r>
            <w:r>
              <w:rPr>
                <w:rFonts w:hint="eastAsia" w:ascii="Times New Roman" w:hAnsi="Times New Roman" w:cs="宋体"/>
                <w:bCs/>
                <w:color w:val="auto"/>
                <w:spacing w:val="-10"/>
                <w:sz w:val="24"/>
                <w:highlight w:val="none"/>
              </w:rPr>
              <w:t>2018</w:t>
            </w:r>
            <w:r>
              <w:rPr>
                <w:rFonts w:hint="eastAsia" w:ascii="宋体" w:hAnsi="宋体" w:cs="宋体"/>
                <w:bCs/>
                <w:color w:val="auto"/>
                <w:spacing w:val="-10"/>
                <w:sz w:val="24"/>
                <w:highlight w:val="none"/>
              </w:rPr>
              <w:t>）评价工作等级划分要求，本项目风险潜势为</w:t>
            </w:r>
            <w:r>
              <w:rPr>
                <w:rFonts w:hint="eastAsia" w:ascii="Times New Roman" w:hAnsi="Times New Roman" w:cs="宋体"/>
                <w:bCs/>
                <w:color w:val="auto"/>
                <w:spacing w:val="-10"/>
                <w:sz w:val="24"/>
                <w:highlight w:val="none"/>
              </w:rPr>
              <w:t>I</w:t>
            </w:r>
            <w:r>
              <w:rPr>
                <w:rFonts w:hint="eastAsia" w:ascii="宋体" w:hAnsi="宋体" w:cs="宋体"/>
                <w:bCs/>
                <w:color w:val="auto"/>
                <w:spacing w:val="-10"/>
                <w:sz w:val="24"/>
                <w:highlight w:val="none"/>
              </w:rPr>
              <w:t>，进行简单分析。</w:t>
            </w:r>
          </w:p>
          <w:p w14:paraId="0926F1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环境风险防范措施</w:t>
            </w:r>
          </w:p>
          <w:p w14:paraId="69E28D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olor w:val="auto"/>
                <w:sz w:val="24"/>
                <w:szCs w:val="24"/>
                <w:highlight w:val="none"/>
              </w:rPr>
            </w:pPr>
            <w:r>
              <w:rPr>
                <w:rFonts w:hint="eastAsia"/>
                <w:color w:val="auto"/>
                <w:sz w:val="24"/>
                <w:szCs w:val="24"/>
                <w:highlight w:val="none"/>
              </w:rPr>
              <w:t>1）瓦斯环境风险防范措施</w:t>
            </w:r>
          </w:p>
          <w:p w14:paraId="6F1571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olor w:val="auto"/>
                <w:sz w:val="24"/>
                <w:szCs w:val="24"/>
                <w:highlight w:val="none"/>
              </w:rPr>
            </w:pPr>
            <w:r>
              <w:rPr>
                <w:rFonts w:hint="eastAsia"/>
                <w:color w:val="auto"/>
                <w:sz w:val="24"/>
                <w:szCs w:val="24"/>
                <w:highlight w:val="none"/>
              </w:rPr>
              <w:t>本项目输送距离短，并且有专人管理瓦斯的输送，发现运行故障及时通知关闭送气阀门，可以最大限度</w:t>
            </w:r>
            <w:r>
              <w:rPr>
                <w:rFonts w:hint="eastAsia"/>
                <w:color w:val="auto"/>
                <w:sz w:val="24"/>
                <w:szCs w:val="24"/>
                <w:highlight w:val="none"/>
                <w:lang w:eastAsia="zh-CN"/>
              </w:rPr>
              <w:t>地</w:t>
            </w:r>
            <w:r>
              <w:rPr>
                <w:rFonts w:hint="eastAsia"/>
                <w:color w:val="auto"/>
                <w:sz w:val="24"/>
                <w:szCs w:val="24"/>
                <w:highlight w:val="none"/>
              </w:rPr>
              <w:t>预防风险事故的发生。</w:t>
            </w:r>
          </w:p>
          <w:p w14:paraId="093B68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olor w:val="auto"/>
                <w:sz w:val="24"/>
                <w:szCs w:val="24"/>
                <w:highlight w:val="none"/>
              </w:rPr>
            </w:pPr>
            <w:r>
              <w:rPr>
                <w:rFonts w:hint="eastAsia"/>
                <w:color w:val="auto"/>
                <w:sz w:val="24"/>
                <w:szCs w:val="24"/>
                <w:highlight w:val="none"/>
              </w:rPr>
              <w:t>为防止危害事故的发生，本项目应采取的防治措施有：</w:t>
            </w:r>
          </w:p>
          <w:p w14:paraId="2118BE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olor w:val="auto"/>
                <w:sz w:val="24"/>
                <w:szCs w:val="24"/>
                <w:highlight w:val="none"/>
              </w:rPr>
            </w:pPr>
            <w:r>
              <w:rPr>
                <w:rFonts w:hint="eastAsia"/>
                <w:color w:val="auto"/>
                <w:sz w:val="24"/>
                <w:szCs w:val="24"/>
                <w:highlight w:val="none"/>
              </w:rPr>
              <w:t>①采用高强度的优质管材，并通过提高施工质量、对人员出入频繁的地段的明管加修防护廊道并树立明显防火标志，其发生事故的概率很低，相应的环境风险也是较低的，属于可接受范围。</w:t>
            </w:r>
          </w:p>
          <w:p w14:paraId="26952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olor w:val="auto"/>
                <w:sz w:val="24"/>
                <w:szCs w:val="24"/>
                <w:highlight w:val="none"/>
              </w:rPr>
            </w:pPr>
            <w:r>
              <w:rPr>
                <w:rFonts w:hint="eastAsia"/>
                <w:color w:val="auto"/>
                <w:sz w:val="24"/>
                <w:szCs w:val="24"/>
                <w:highlight w:val="none"/>
              </w:rPr>
              <w:t>②严格对本项目的输气管线进行检查，保证项目安全稳定运行；</w:t>
            </w:r>
          </w:p>
          <w:p w14:paraId="261FF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rPr>
            </w:pPr>
            <w:r>
              <w:rPr>
                <w:rFonts w:hint="eastAsia"/>
                <w:color w:val="auto"/>
                <w:sz w:val="24"/>
                <w:szCs w:val="24"/>
                <w:highlight w:val="none"/>
              </w:rPr>
              <w:t>③制定以防为主的应急机构</w:t>
            </w:r>
            <w:r>
              <w:rPr>
                <w:rFonts w:hint="eastAsia"/>
                <w:color w:val="auto"/>
                <w:sz w:val="24"/>
                <w:szCs w:val="24"/>
                <w:highlight w:val="none"/>
                <w:lang w:eastAsia="zh-CN"/>
              </w:rPr>
              <w:t>，对</w:t>
            </w:r>
            <w:r>
              <w:rPr>
                <w:rFonts w:hint="eastAsia"/>
                <w:color w:val="auto"/>
                <w:sz w:val="24"/>
                <w:szCs w:val="24"/>
                <w:highlight w:val="none"/>
              </w:rPr>
              <w:t>事故发生实施统一指挥，首先要第一时间关停送气阀门，及时排空管线内的瓦斯，以防爆炸；</w:t>
            </w:r>
          </w:p>
          <w:p w14:paraId="291B8C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w:t>
            </w:r>
            <w:r>
              <w:rPr>
                <w:rFonts w:hint="eastAsia" w:cs="Times New Roman"/>
                <w:color w:val="auto"/>
                <w:sz w:val="24"/>
                <w:szCs w:val="24"/>
                <w:highlight w:val="none"/>
                <w:lang w:eastAsia="zh-CN"/>
              </w:rPr>
              <w:t>）</w:t>
            </w:r>
            <w:r>
              <w:rPr>
                <w:rFonts w:hint="eastAsia"/>
                <w:color w:val="auto"/>
                <w:sz w:val="24"/>
                <w:szCs w:val="24"/>
                <w:highlight w:val="none"/>
              </w:rPr>
              <w:t>油类物质环境风险防范措施</w:t>
            </w:r>
          </w:p>
          <w:p w14:paraId="5B10D0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b w:val="0"/>
                <w:bCs w:val="0"/>
                <w:color w:val="auto"/>
                <w:spacing w:val="0"/>
                <w:sz w:val="24"/>
                <w:szCs w:val="24"/>
                <w:highlight w:val="none"/>
                <w:lang w:eastAsia="zh-CN"/>
              </w:rPr>
              <w:t>危废贮存点</w:t>
            </w:r>
            <w:r>
              <w:rPr>
                <w:rFonts w:hint="default" w:ascii="Times New Roman" w:hAnsi="Times New Roman" w:eastAsia="宋体" w:cs="Times New Roman"/>
                <w:b w:val="0"/>
                <w:bCs w:val="0"/>
                <w:color w:val="auto"/>
                <w:spacing w:val="0"/>
                <w:sz w:val="24"/>
                <w:szCs w:val="24"/>
                <w:highlight w:val="none"/>
                <w:lang w:val="en-US" w:eastAsia="zh-CN"/>
              </w:rPr>
              <w:t>进口处设置0.</w:t>
            </w:r>
            <w:r>
              <w:rPr>
                <w:rFonts w:hint="eastAsia" w:cs="Times New Roman"/>
                <w:b w:val="0"/>
                <w:bCs w:val="0"/>
                <w:color w:val="auto"/>
                <w:spacing w:val="0"/>
                <w:sz w:val="24"/>
                <w:szCs w:val="24"/>
                <w:highlight w:val="none"/>
                <w:lang w:val="en-US" w:eastAsia="zh-CN"/>
              </w:rPr>
              <w:t>2</w:t>
            </w:r>
            <w:r>
              <w:rPr>
                <w:rFonts w:hint="default" w:ascii="Times New Roman" w:hAnsi="Times New Roman" w:eastAsia="宋体" w:cs="Times New Roman"/>
                <w:b w:val="0"/>
                <w:bCs w:val="0"/>
                <w:color w:val="auto"/>
                <w:spacing w:val="0"/>
                <w:sz w:val="24"/>
                <w:szCs w:val="24"/>
                <w:highlight w:val="none"/>
                <w:lang w:val="en-US" w:eastAsia="zh-CN"/>
              </w:rPr>
              <w:t>m高的围堰，</w:t>
            </w:r>
            <w:r>
              <w:rPr>
                <w:rFonts w:hint="default" w:ascii="Times New Roman" w:hAnsi="Times New Roman" w:eastAsia="宋体" w:cs="Times New Roman"/>
                <w:b w:val="0"/>
                <w:bCs w:val="0"/>
                <w:color w:val="auto"/>
                <w:spacing w:val="0"/>
                <w:sz w:val="24"/>
                <w:szCs w:val="24"/>
                <w:highlight w:val="none"/>
              </w:rPr>
              <w:t>贮存区四周建宽0.1m、深0.2m的导流渠，配套一座</w:t>
            </w:r>
            <w:r>
              <w:rPr>
                <w:rFonts w:hint="eastAsia" w:ascii="Times New Roman" w:hAnsi="Times New Roman" w:eastAsia="宋体" w:cs="Times New Roman"/>
                <w:b w:val="0"/>
                <w:bCs w:val="0"/>
                <w:color w:val="auto"/>
                <w:spacing w:val="0"/>
                <w:sz w:val="24"/>
                <w:szCs w:val="24"/>
                <w:highlight w:val="none"/>
                <w:lang w:eastAsia="zh-CN"/>
              </w:rPr>
              <w:t>2</w:t>
            </w:r>
            <w:r>
              <w:rPr>
                <w:rFonts w:hint="default" w:ascii="Times New Roman" w:hAnsi="Times New Roman" w:eastAsia="宋体" w:cs="Times New Roman"/>
                <w:b w:val="0"/>
                <w:bCs w:val="0"/>
                <w:color w:val="auto"/>
                <w:spacing w:val="0"/>
                <w:sz w:val="24"/>
                <w:szCs w:val="24"/>
                <w:highlight w:val="none"/>
              </w:rPr>
              <w:t>m</w:t>
            </w:r>
            <w:r>
              <w:rPr>
                <w:rFonts w:hint="eastAsia" w:ascii="Times New Roman" w:hAnsi="Times New Roman" w:eastAsia="宋体" w:cs="Times New Roman"/>
                <w:b w:val="0"/>
                <w:bCs w:val="0"/>
                <w:color w:val="auto"/>
                <w:spacing w:val="0"/>
                <w:sz w:val="24"/>
                <w:szCs w:val="24"/>
                <w:highlight w:val="none"/>
                <w:vertAlign w:val="superscript"/>
                <w:lang w:val="en-US" w:eastAsia="zh-CN"/>
              </w:rPr>
              <w:t>3</w:t>
            </w:r>
            <w:r>
              <w:rPr>
                <w:rFonts w:hint="default" w:ascii="Times New Roman" w:hAnsi="Times New Roman" w:eastAsia="宋体" w:cs="Times New Roman"/>
                <w:b w:val="0"/>
                <w:bCs w:val="0"/>
                <w:color w:val="auto"/>
                <w:spacing w:val="0"/>
                <w:sz w:val="24"/>
                <w:szCs w:val="24"/>
                <w:highlight w:val="none"/>
              </w:rPr>
              <w:t>的集油池</w:t>
            </w:r>
            <w:r>
              <w:rPr>
                <w:rFonts w:hint="eastAsia" w:ascii="Times New Roman" w:hAnsi="Times New Roman" w:eastAsia="宋体" w:cs="Times New Roman"/>
                <w:b w:val="0"/>
                <w:bCs w:val="0"/>
                <w:color w:val="auto"/>
                <w:spacing w:val="0"/>
                <w:sz w:val="24"/>
                <w:szCs w:val="24"/>
                <w:highlight w:val="none"/>
                <w:lang w:eastAsia="zh-CN"/>
              </w:rPr>
              <w:t>。</w:t>
            </w:r>
          </w:p>
          <w:p w14:paraId="11091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color w:val="auto"/>
                <w:sz w:val="24"/>
                <w:szCs w:val="24"/>
                <w:highlight w:val="none"/>
              </w:rPr>
              <w:t>少量溢出时先进行</w:t>
            </w:r>
            <w:r>
              <w:rPr>
                <w:rFonts w:hint="default" w:ascii="Times New Roman" w:hAnsi="Times New Roman" w:eastAsia="宋体" w:cs="Times New Roman"/>
                <w:b w:val="0"/>
                <w:bCs w:val="0"/>
                <w:color w:val="auto"/>
                <w:sz w:val="24"/>
                <w:szCs w:val="24"/>
                <w:highlight w:val="none"/>
              </w:rPr>
              <w:t>溢流的围堵，避免污染面积扩散，用沙或泥土吸收溢出的液体，然后移至安全地区，以待日后处理。较大面积泄漏时，需使用围油栏对油污进行控制，防止扩散，并使用收油机、吸油毡、浮式储油罐进行吸附、收集。</w:t>
            </w:r>
          </w:p>
          <w:p w14:paraId="4C816C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cs="Times New Roman"/>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rPr>
              <w:t>实施以上措施后可将环境风险发生的概率降到最</w:t>
            </w:r>
            <w:r>
              <w:rPr>
                <w:rFonts w:hint="eastAsia" w:ascii="Times New Roman" w:hAnsi="Times New Roman" w:eastAsia="宋体" w:cs="Times New Roman"/>
                <w:b w:val="0"/>
                <w:bCs w:val="0"/>
                <w:color w:val="auto"/>
                <w:sz w:val="24"/>
                <w:szCs w:val="24"/>
                <w:highlight w:val="none"/>
                <w:lang w:val="en-US" w:eastAsia="zh-CN"/>
              </w:rPr>
              <w:t>低</w:t>
            </w:r>
            <w:r>
              <w:rPr>
                <w:rFonts w:hint="default" w:ascii="Times New Roman" w:hAnsi="Times New Roman" w:eastAsia="宋体" w:cs="Times New Roman"/>
                <w:b w:val="0"/>
                <w:bCs w:val="0"/>
                <w:color w:val="auto"/>
                <w:sz w:val="24"/>
                <w:szCs w:val="24"/>
                <w:highlight w:val="none"/>
              </w:rPr>
              <w:t>程度，减少了对环境的影响。</w:t>
            </w:r>
            <w:r>
              <w:rPr>
                <w:rFonts w:hint="eastAsia" w:ascii="Times New Roman" w:hAnsi="Times New Roman" w:eastAsia="宋体" w:cs="Times New Roman"/>
                <w:b w:val="0"/>
                <w:bCs w:val="0"/>
                <w:color w:val="auto"/>
                <w:sz w:val="24"/>
                <w:szCs w:val="24"/>
                <w:highlight w:val="none"/>
                <w:lang w:val="en-US" w:eastAsia="zh-CN"/>
              </w:rPr>
              <w:t>同时要求企业按相关规定编制突发环境事件应急预案。</w:t>
            </w:r>
          </w:p>
          <w:p w14:paraId="35CA27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s="宋体"/>
                <w:bCs/>
                <w:color w:val="auto"/>
                <w:spacing w:val="-10"/>
                <w:highlight w:val="none"/>
              </w:rPr>
            </w:pPr>
            <w:r>
              <w:rPr>
                <w:rFonts w:hint="eastAsia" w:ascii="Times New Roman" w:hAnsi="Times New Roman" w:cs="Times New Roman"/>
                <w:color w:val="auto"/>
                <w:sz w:val="24"/>
                <w:szCs w:val="24"/>
                <w:highlight w:val="none"/>
                <w:lang w:val="en-US" w:eastAsia="zh-CN"/>
              </w:rPr>
              <w:t>本</w:t>
            </w:r>
            <w:r>
              <w:rPr>
                <w:rFonts w:hint="eastAsia" w:ascii="Times New Roman" w:hAnsi="Times New Roman" w:cs="Times New Roman"/>
                <w:color w:val="auto"/>
                <w:sz w:val="24"/>
                <w:szCs w:val="24"/>
                <w:highlight w:val="none"/>
              </w:rPr>
              <w:t>项目环境风险简单分析</w:t>
            </w:r>
            <w:r>
              <w:rPr>
                <w:rFonts w:hint="eastAsia" w:cs="Times New Roman"/>
                <w:color w:val="auto"/>
                <w:sz w:val="24"/>
                <w:szCs w:val="24"/>
                <w:highlight w:val="none"/>
                <w:lang w:eastAsia="zh-CN"/>
              </w:rPr>
              <w:t>内容</w:t>
            </w:r>
            <w:r>
              <w:rPr>
                <w:rFonts w:hint="eastAsia" w:ascii="Times New Roman" w:hAnsi="Times New Roman" w:cs="Times New Roman"/>
                <w:color w:val="auto"/>
                <w:sz w:val="24"/>
                <w:szCs w:val="24"/>
                <w:highlight w:val="none"/>
              </w:rPr>
              <w:t>见下表4-</w:t>
            </w:r>
            <w:r>
              <w:rPr>
                <w:rFonts w:hint="eastAsia" w:ascii="Times New Roman" w:hAnsi="Times New Roman" w:cs="Times New Roman"/>
                <w:color w:val="auto"/>
                <w:sz w:val="24"/>
                <w:szCs w:val="24"/>
                <w:highlight w:val="none"/>
                <w:lang w:val="en-US" w:eastAsia="zh-CN"/>
              </w:rPr>
              <w:t>1</w:t>
            </w:r>
            <w:r>
              <w:rPr>
                <w:rFonts w:hint="eastAsia" w:cs="Times New Roman"/>
                <w:color w:val="auto"/>
                <w:sz w:val="24"/>
                <w:szCs w:val="24"/>
                <w:highlight w:val="none"/>
                <w:lang w:val="en-US" w:eastAsia="zh-CN"/>
              </w:rPr>
              <w:t>6</w:t>
            </w:r>
            <w:r>
              <w:rPr>
                <w:rFonts w:hint="eastAsia" w:ascii="Times New Roman" w:hAnsi="Times New Roman" w:cs="Times New Roman"/>
                <w:color w:val="auto"/>
                <w:sz w:val="24"/>
                <w:szCs w:val="24"/>
                <w:highlight w:val="none"/>
              </w:rPr>
              <w:t>。</w:t>
            </w:r>
          </w:p>
          <w:p w14:paraId="633EDC54">
            <w:pPr>
              <w:keepNext w:val="0"/>
              <w:keepLines w:val="0"/>
              <w:suppressLineNumbers w:val="0"/>
              <w:bidi w:val="0"/>
              <w:spacing w:before="0" w:beforeAutospacing="0" w:after="0" w:afterAutospacing="0" w:line="360" w:lineRule="auto"/>
              <w:ind w:left="0" w:right="0"/>
              <w:jc w:val="center"/>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表4-1</w:t>
            </w:r>
            <w:r>
              <w:rPr>
                <w:rFonts w:hint="eastAsia" w:cs="Times New Roman"/>
                <w:b/>
                <w:bCs/>
                <w:color w:val="auto"/>
                <w:sz w:val="24"/>
                <w:szCs w:val="24"/>
                <w:highlight w:val="none"/>
                <w:lang w:val="en-US" w:eastAsia="zh-CN"/>
              </w:rPr>
              <w:t>6</w:t>
            </w:r>
            <w:r>
              <w:rPr>
                <w:rFonts w:hint="eastAsia" w:ascii="Times New Roman" w:hAnsi="Times New Roman" w:cs="Times New Roman"/>
                <w:b/>
                <w:bCs/>
                <w:color w:val="auto"/>
                <w:sz w:val="24"/>
                <w:szCs w:val="24"/>
                <w:highlight w:val="none"/>
              </w:rPr>
              <w:t>建设项目环境风险简单分析内容表</w:t>
            </w:r>
          </w:p>
          <w:tbl>
            <w:tblPr>
              <w:tblStyle w:val="23"/>
              <w:tblW w:w="4998" w:type="pct"/>
              <w:tblInd w:w="-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16"/>
              <w:gridCol w:w="784"/>
              <w:gridCol w:w="2295"/>
              <w:gridCol w:w="643"/>
              <w:gridCol w:w="2383"/>
            </w:tblGrid>
            <w:tr w14:paraId="0713B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 w:hRule="atLeast"/>
              </w:trPr>
              <w:tc>
                <w:tcPr>
                  <w:tcW w:w="1146" w:type="pct"/>
                  <w:noWrap w:val="0"/>
                  <w:vAlign w:val="center"/>
                </w:tcPr>
                <w:p w14:paraId="1F673D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建设项目名称</w:t>
                  </w:r>
                </w:p>
              </w:tc>
              <w:tc>
                <w:tcPr>
                  <w:tcW w:w="3853" w:type="pct"/>
                  <w:gridSpan w:val="4"/>
                  <w:noWrap w:val="0"/>
                  <w:vAlign w:val="center"/>
                </w:tcPr>
                <w:p w14:paraId="49A8B4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color w:val="auto"/>
                      <w:spacing w:val="-10"/>
                      <w:highlight w:val="none"/>
                    </w:rPr>
                    <w:t>阳泉玻化微珠科技有限公司低浓度瓦斯玻璃微珠项目</w:t>
                  </w:r>
                </w:p>
              </w:tc>
            </w:tr>
            <w:tr w14:paraId="657A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146" w:type="pct"/>
                  <w:noWrap w:val="0"/>
                  <w:vAlign w:val="center"/>
                </w:tcPr>
                <w:p w14:paraId="737F08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建设地点</w:t>
                  </w:r>
                </w:p>
              </w:tc>
              <w:tc>
                <w:tcPr>
                  <w:tcW w:w="3853" w:type="pct"/>
                  <w:gridSpan w:val="4"/>
                  <w:noWrap w:val="0"/>
                  <w:vAlign w:val="center"/>
                </w:tcPr>
                <w:p w14:paraId="212D40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color w:val="auto"/>
                      <w:spacing w:val="-10"/>
                      <w:highlight w:val="none"/>
                    </w:rPr>
                    <w:t>山西省阳泉市盂县路家村镇石坡峪村（兴裕煤矿内）</w:t>
                  </w:r>
                </w:p>
              </w:tc>
            </w:tr>
            <w:tr w14:paraId="51FB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7" w:hRule="atLeast"/>
              </w:trPr>
              <w:tc>
                <w:tcPr>
                  <w:tcW w:w="1146" w:type="pct"/>
                  <w:noWrap w:val="0"/>
                  <w:vAlign w:val="center"/>
                </w:tcPr>
                <w:p w14:paraId="52C56F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地理坐标</w:t>
                  </w:r>
                </w:p>
              </w:tc>
              <w:tc>
                <w:tcPr>
                  <w:tcW w:w="495" w:type="pct"/>
                  <w:noWrap w:val="0"/>
                  <w:vAlign w:val="center"/>
                </w:tcPr>
                <w:p w14:paraId="3DF7B8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0"/>
                      <w:sz w:val="21"/>
                      <w:szCs w:val="21"/>
                      <w:highlight w:val="none"/>
                    </w:rPr>
                  </w:pPr>
                  <w:r>
                    <w:rPr>
                      <w:rFonts w:hint="default" w:ascii="Times New Roman" w:hAnsi="Times New Roman" w:eastAsia="宋体" w:cs="Times New Roman"/>
                      <w:b w:val="0"/>
                      <w:bCs/>
                      <w:color w:val="auto"/>
                      <w:spacing w:val="0"/>
                      <w:sz w:val="21"/>
                      <w:szCs w:val="21"/>
                      <w:highlight w:val="none"/>
                    </w:rPr>
                    <w:t>经度</w:t>
                  </w:r>
                </w:p>
              </w:tc>
              <w:tc>
                <w:tcPr>
                  <w:tcW w:w="1448" w:type="pct"/>
                  <w:noWrap w:val="0"/>
                  <w:vAlign w:val="center"/>
                </w:tcPr>
                <w:p w14:paraId="0C154E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0"/>
                      <w:sz w:val="21"/>
                      <w:szCs w:val="21"/>
                      <w:highlight w:val="none"/>
                    </w:rPr>
                  </w:pPr>
                  <w:r>
                    <w:rPr>
                      <w:rFonts w:hint="default" w:ascii="Times New Roman" w:hAnsi="Times New Roman" w:eastAsia="宋体" w:cs="Times New Roman"/>
                      <w:color w:val="auto"/>
                      <w:sz w:val="21"/>
                      <w:szCs w:val="21"/>
                      <w:highlight w:val="none"/>
                      <w:u w:val="none"/>
                      <w:lang w:val="en-US" w:eastAsia="zh-CN"/>
                    </w:rPr>
                    <w:t>113</w:t>
                  </w:r>
                  <w:r>
                    <w:rPr>
                      <w:rFonts w:hint="default" w:ascii="Times New Roman" w:hAnsi="Times New Roman" w:eastAsia="宋体" w:cs="Times New Roman"/>
                      <w:color w:val="auto"/>
                      <w:sz w:val="21"/>
                      <w:szCs w:val="21"/>
                      <w:highlight w:val="none"/>
                      <w:u w:val="none"/>
                    </w:rPr>
                    <w:t>度</w:t>
                  </w:r>
                  <w:r>
                    <w:rPr>
                      <w:rFonts w:hint="eastAsia" w:ascii="Times New Roman" w:hAnsi="Times New Roman" w:eastAsia="宋体" w:cs="Times New Roman"/>
                      <w:color w:val="auto"/>
                      <w:sz w:val="21"/>
                      <w:szCs w:val="21"/>
                      <w:highlight w:val="none"/>
                      <w:u w:val="none"/>
                      <w:lang w:val="en-US" w:eastAsia="zh-CN"/>
                    </w:rPr>
                    <w:t>247</w:t>
                  </w:r>
                  <w:r>
                    <w:rPr>
                      <w:rFonts w:hint="default" w:ascii="Times New Roman" w:hAnsi="Times New Roman" w:eastAsia="宋体" w:cs="Times New Roman"/>
                      <w:color w:val="auto"/>
                      <w:sz w:val="21"/>
                      <w:szCs w:val="21"/>
                      <w:highlight w:val="none"/>
                      <w:u w:val="none"/>
                    </w:rPr>
                    <w:t>分</w:t>
                  </w:r>
                  <w:r>
                    <w:rPr>
                      <w:rFonts w:hint="eastAsia" w:ascii="Times New Roman" w:hAnsi="Times New Roman" w:eastAsia="宋体" w:cs="Times New Roman"/>
                      <w:color w:val="auto"/>
                      <w:sz w:val="21"/>
                      <w:szCs w:val="21"/>
                      <w:highlight w:val="none"/>
                      <w:u w:val="none"/>
                      <w:lang w:val="en-US" w:eastAsia="zh-CN"/>
                    </w:rPr>
                    <w:t>19.579</w:t>
                  </w:r>
                  <w:r>
                    <w:rPr>
                      <w:rFonts w:hint="default" w:ascii="Times New Roman" w:hAnsi="Times New Roman" w:eastAsia="宋体" w:cs="Times New Roman"/>
                      <w:color w:val="auto"/>
                      <w:sz w:val="21"/>
                      <w:szCs w:val="21"/>
                      <w:highlight w:val="none"/>
                      <w:u w:val="none"/>
                    </w:rPr>
                    <w:t>秒</w:t>
                  </w:r>
                </w:p>
              </w:tc>
              <w:tc>
                <w:tcPr>
                  <w:tcW w:w="406" w:type="pct"/>
                  <w:noWrap w:val="0"/>
                  <w:vAlign w:val="center"/>
                </w:tcPr>
                <w:p w14:paraId="1FF2DA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0"/>
                      <w:sz w:val="21"/>
                      <w:szCs w:val="21"/>
                      <w:highlight w:val="none"/>
                    </w:rPr>
                  </w:pPr>
                  <w:r>
                    <w:rPr>
                      <w:rFonts w:hint="default" w:ascii="Times New Roman" w:hAnsi="Times New Roman" w:eastAsia="宋体" w:cs="Times New Roman"/>
                      <w:b w:val="0"/>
                      <w:bCs/>
                      <w:color w:val="auto"/>
                      <w:spacing w:val="0"/>
                      <w:sz w:val="21"/>
                      <w:szCs w:val="21"/>
                      <w:highlight w:val="none"/>
                    </w:rPr>
                    <w:t>纬度</w:t>
                  </w:r>
                </w:p>
              </w:tc>
              <w:tc>
                <w:tcPr>
                  <w:tcW w:w="1503" w:type="pct"/>
                  <w:noWrap w:val="0"/>
                  <w:vAlign w:val="center"/>
                </w:tcPr>
                <w:p w14:paraId="256C41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0"/>
                      <w:sz w:val="21"/>
                      <w:szCs w:val="21"/>
                      <w:highlight w:val="none"/>
                    </w:rPr>
                  </w:pPr>
                  <w:r>
                    <w:rPr>
                      <w:rFonts w:hint="default" w:ascii="Times New Roman" w:hAnsi="Times New Roman" w:eastAsia="宋体" w:cs="Times New Roman"/>
                      <w:color w:val="auto"/>
                      <w:sz w:val="21"/>
                      <w:szCs w:val="21"/>
                      <w:highlight w:val="none"/>
                      <w:u w:val="none"/>
                      <w:lang w:val="en-US" w:eastAsia="zh-CN"/>
                    </w:rPr>
                    <w:t>38</w:t>
                  </w:r>
                  <w:r>
                    <w:rPr>
                      <w:rFonts w:hint="default" w:ascii="Times New Roman" w:hAnsi="Times New Roman" w:eastAsia="宋体" w:cs="Times New Roman"/>
                      <w:color w:val="auto"/>
                      <w:sz w:val="21"/>
                      <w:szCs w:val="21"/>
                      <w:highlight w:val="none"/>
                      <w:u w:val="none"/>
                    </w:rPr>
                    <w:t>度</w:t>
                  </w:r>
                  <w:r>
                    <w:rPr>
                      <w:rFonts w:hint="eastAsia" w:ascii="Times New Roman" w:hAnsi="Times New Roman" w:eastAsia="宋体" w:cs="Times New Roman"/>
                      <w:color w:val="auto"/>
                      <w:sz w:val="21"/>
                      <w:szCs w:val="21"/>
                      <w:highlight w:val="none"/>
                      <w:u w:val="none"/>
                      <w:lang w:val="en-US" w:eastAsia="zh-CN"/>
                    </w:rPr>
                    <w:t>0</w:t>
                  </w:r>
                  <w:r>
                    <w:rPr>
                      <w:rFonts w:hint="default" w:ascii="Times New Roman" w:hAnsi="Times New Roman" w:eastAsia="宋体" w:cs="Times New Roman"/>
                      <w:color w:val="auto"/>
                      <w:sz w:val="21"/>
                      <w:szCs w:val="21"/>
                      <w:highlight w:val="none"/>
                      <w:u w:val="none"/>
                    </w:rPr>
                    <w:t>分</w:t>
                  </w:r>
                  <w:r>
                    <w:rPr>
                      <w:rFonts w:hint="eastAsia" w:ascii="Times New Roman" w:hAnsi="Times New Roman" w:eastAsia="宋体" w:cs="Times New Roman"/>
                      <w:color w:val="auto"/>
                      <w:sz w:val="21"/>
                      <w:szCs w:val="21"/>
                      <w:highlight w:val="none"/>
                      <w:u w:val="none"/>
                      <w:lang w:val="en-US" w:eastAsia="zh-CN"/>
                    </w:rPr>
                    <w:t>32.416</w:t>
                  </w:r>
                  <w:r>
                    <w:rPr>
                      <w:rFonts w:hint="default" w:ascii="Times New Roman" w:hAnsi="Times New Roman" w:eastAsia="宋体" w:cs="Times New Roman"/>
                      <w:color w:val="auto"/>
                      <w:sz w:val="21"/>
                      <w:szCs w:val="21"/>
                      <w:highlight w:val="none"/>
                      <w:u w:val="none"/>
                    </w:rPr>
                    <w:t>秒</w:t>
                  </w:r>
                </w:p>
              </w:tc>
            </w:tr>
            <w:tr w14:paraId="644B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4" w:hRule="atLeast"/>
              </w:trPr>
              <w:tc>
                <w:tcPr>
                  <w:tcW w:w="1146" w:type="pct"/>
                  <w:noWrap w:val="0"/>
                  <w:vAlign w:val="center"/>
                </w:tcPr>
                <w:p w14:paraId="0756D5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主要危险物质及分布</w:t>
                  </w:r>
                </w:p>
              </w:tc>
              <w:tc>
                <w:tcPr>
                  <w:tcW w:w="3853" w:type="pct"/>
                  <w:gridSpan w:val="4"/>
                  <w:noWrap w:val="0"/>
                  <w:vAlign w:val="center"/>
                </w:tcPr>
                <w:p w14:paraId="66E3CF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10"/>
                      <w:sz w:val="21"/>
                      <w:szCs w:val="21"/>
                      <w:highlight w:val="none"/>
                      <w:lang w:eastAsia="zh-CN"/>
                    </w:rPr>
                  </w:pPr>
                  <w:r>
                    <w:rPr>
                      <w:rFonts w:hint="eastAsia" w:cs="Times New Roman"/>
                      <w:b w:val="0"/>
                      <w:bCs/>
                      <w:color w:val="auto"/>
                      <w:spacing w:val="-10"/>
                      <w:sz w:val="21"/>
                      <w:szCs w:val="21"/>
                      <w:highlight w:val="none"/>
                      <w:lang w:val="en-US" w:eastAsia="zh-CN"/>
                    </w:rPr>
                    <w:t>管道：瓦斯，</w:t>
                  </w:r>
                  <w:r>
                    <w:rPr>
                      <w:rFonts w:hint="default" w:ascii="Times New Roman" w:hAnsi="Times New Roman" w:eastAsia="宋体" w:cs="Times New Roman"/>
                      <w:b w:val="0"/>
                      <w:bCs/>
                      <w:color w:val="auto"/>
                      <w:spacing w:val="-10"/>
                      <w:sz w:val="21"/>
                      <w:szCs w:val="21"/>
                      <w:highlight w:val="none"/>
                      <w:lang w:val="en-US" w:eastAsia="zh-CN"/>
                    </w:rPr>
                    <w:t>库房：矿物油，</w:t>
                  </w:r>
                  <w:r>
                    <w:rPr>
                      <w:rFonts w:hint="eastAsia" w:ascii="Times New Roman" w:hAnsi="Times New Roman" w:eastAsia="宋体" w:cs="Times New Roman"/>
                      <w:b w:val="0"/>
                      <w:bCs/>
                      <w:color w:val="auto"/>
                      <w:spacing w:val="-10"/>
                      <w:sz w:val="21"/>
                      <w:szCs w:val="21"/>
                      <w:highlight w:val="none"/>
                      <w:lang w:eastAsia="zh-CN"/>
                    </w:rPr>
                    <w:t>危废贮存点</w:t>
                  </w:r>
                  <w:r>
                    <w:rPr>
                      <w:rFonts w:hint="default" w:ascii="Times New Roman" w:hAnsi="Times New Roman" w:eastAsia="宋体" w:cs="Times New Roman"/>
                      <w:b w:val="0"/>
                      <w:bCs/>
                      <w:color w:val="auto"/>
                      <w:spacing w:val="-10"/>
                      <w:sz w:val="21"/>
                      <w:szCs w:val="21"/>
                      <w:highlight w:val="none"/>
                    </w:rPr>
                    <w:t>：废</w:t>
                  </w:r>
                  <w:r>
                    <w:rPr>
                      <w:rFonts w:hint="default" w:ascii="Times New Roman" w:hAnsi="Times New Roman" w:eastAsia="宋体" w:cs="Times New Roman"/>
                      <w:b w:val="0"/>
                      <w:bCs/>
                      <w:color w:val="auto"/>
                      <w:spacing w:val="-10"/>
                      <w:sz w:val="21"/>
                      <w:szCs w:val="21"/>
                      <w:highlight w:val="none"/>
                      <w:lang w:val="en-US" w:eastAsia="zh-CN"/>
                    </w:rPr>
                    <w:t>矿物油</w:t>
                  </w:r>
                </w:p>
              </w:tc>
            </w:tr>
            <w:tr w14:paraId="7F5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146" w:type="pct"/>
                  <w:noWrap w:val="0"/>
                  <w:vAlign w:val="center"/>
                </w:tcPr>
                <w:p w14:paraId="1A27C8DE">
                  <w:pPr>
                    <w:keepNext w:val="0"/>
                    <w:keepLines w:val="0"/>
                    <w:pageBreakBefore w:val="0"/>
                    <w:widowControl/>
                    <w:suppressLineNumbers w:val="0"/>
                    <w:kinsoku/>
                    <w:wordWrap/>
                    <w:overflowPunct/>
                    <w:topLinePunct w:val="0"/>
                    <w:autoSpaceDE/>
                    <w:autoSpaceDN/>
                    <w:bidi w:val="0"/>
                    <w:adjustRightInd w:val="0"/>
                    <w:snapToGrid w:val="0"/>
                    <w:spacing w:before="32" w:beforeLines="10" w:beforeAutospacing="0" w:after="32" w:afterLines="10" w:afterAutospacing="0"/>
                    <w:ind w:left="0" w:right="0"/>
                    <w:jc w:val="center"/>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kern w:val="0"/>
                      <w:sz w:val="21"/>
                      <w:szCs w:val="21"/>
                      <w:highlight w:val="none"/>
                    </w:rPr>
                    <w:t>环境影响途径及危害后果</w:t>
                  </w:r>
                </w:p>
              </w:tc>
              <w:tc>
                <w:tcPr>
                  <w:tcW w:w="3853" w:type="pct"/>
                  <w:gridSpan w:val="4"/>
                  <w:noWrap w:val="0"/>
                  <w:vAlign w:val="center"/>
                </w:tcPr>
                <w:p w14:paraId="01D51F27">
                  <w:pPr>
                    <w:pStyle w:val="10"/>
                    <w:keepNext w:val="0"/>
                    <w:keepLines w:val="0"/>
                    <w:suppressLineNumbers w:val="0"/>
                    <w:spacing w:before="0" w:beforeAutospacing="0" w:after="0" w:afterAutospacing="0" w:line="240" w:lineRule="auto"/>
                    <w:ind w:left="0" w:leftChars="0" w:right="0" w:firstLine="0" w:firstLineChars="0"/>
                    <w:jc w:val="left"/>
                    <w:rPr>
                      <w:rFonts w:hint="default" w:ascii="Times New Roman" w:hAnsi="Times New Roman"/>
                      <w:color w:val="auto"/>
                      <w:spacing w:val="-10"/>
                      <w:sz w:val="21"/>
                      <w:szCs w:val="21"/>
                      <w:highlight w:val="none"/>
                    </w:rPr>
                  </w:pPr>
                  <w:r>
                    <w:rPr>
                      <w:rFonts w:hint="default" w:ascii="Times New Roman" w:hAnsi="Times New Roman"/>
                      <w:color w:val="auto"/>
                      <w:spacing w:val="-10"/>
                      <w:sz w:val="21"/>
                      <w:szCs w:val="21"/>
                      <w:highlight w:val="none"/>
                    </w:rPr>
                    <w:t>1）对大气环境影响</w:t>
                  </w:r>
                </w:p>
                <w:p w14:paraId="586DD33C">
                  <w:pPr>
                    <w:keepNext w:val="0"/>
                    <w:keepLines w:val="0"/>
                    <w:suppressLineNumbers w:val="0"/>
                    <w:spacing w:before="0" w:beforeAutospacing="0" w:after="0" w:afterAutospacing="0"/>
                    <w:ind w:left="0" w:right="0"/>
                    <w:rPr>
                      <w:rFonts w:hint="default"/>
                      <w:color w:val="auto"/>
                      <w:spacing w:val="-10"/>
                      <w:highlight w:val="none"/>
                    </w:rPr>
                  </w:pPr>
                  <w:r>
                    <w:rPr>
                      <w:rFonts w:hint="default"/>
                      <w:color w:val="auto"/>
                      <w:spacing w:val="-10"/>
                      <w:highlight w:val="none"/>
                    </w:rPr>
                    <w:t>项目环境风险主要为瓦斯</w:t>
                  </w:r>
                  <w:r>
                    <w:rPr>
                      <w:rFonts w:hint="default"/>
                      <w:color w:val="auto"/>
                      <w:spacing w:val="-10"/>
                      <w:highlight w:val="none"/>
                      <w:lang w:eastAsia="zh-CN"/>
                    </w:rPr>
                    <w:t>、油类物质</w:t>
                  </w:r>
                  <w:r>
                    <w:rPr>
                      <w:rFonts w:hint="default"/>
                      <w:color w:val="auto"/>
                      <w:spacing w:val="-10"/>
                      <w:highlight w:val="none"/>
                    </w:rPr>
                    <w:t>泄漏引发火灾和爆炸。瓦斯输送管线已进行阻火及雾化处理，正常情况下不会发生火灾，当发生泄漏时，直接切断源头</w:t>
                  </w:r>
                  <w:r>
                    <w:rPr>
                      <w:rFonts w:hint="default"/>
                      <w:color w:val="auto"/>
                      <w:spacing w:val="-10"/>
                      <w:highlight w:val="none"/>
                      <w:lang w:eastAsia="zh-CN"/>
                    </w:rPr>
                    <w:t>；同时</w:t>
                  </w:r>
                  <w:r>
                    <w:rPr>
                      <w:rFonts w:hint="default"/>
                      <w:color w:val="auto"/>
                      <w:spacing w:val="-10"/>
                      <w:highlight w:val="none"/>
                    </w:rPr>
                    <w:t>项目内</w:t>
                  </w:r>
                  <w:r>
                    <w:rPr>
                      <w:rFonts w:hint="default"/>
                      <w:color w:val="auto"/>
                      <w:spacing w:val="-10"/>
                      <w:highlight w:val="none"/>
                      <w:lang w:eastAsia="zh-CN"/>
                    </w:rPr>
                    <w:t>储存</w:t>
                  </w:r>
                  <w:r>
                    <w:rPr>
                      <w:rFonts w:hint="default"/>
                      <w:color w:val="auto"/>
                      <w:spacing w:val="-10"/>
                      <w:highlight w:val="none"/>
                    </w:rPr>
                    <w:t>的</w:t>
                  </w:r>
                  <w:r>
                    <w:rPr>
                      <w:rFonts w:hint="default"/>
                      <w:color w:val="auto"/>
                      <w:spacing w:val="-10"/>
                      <w:highlight w:val="none"/>
                      <w:lang w:eastAsia="zh-CN"/>
                    </w:rPr>
                    <w:t>油类物质</w:t>
                  </w:r>
                  <w:r>
                    <w:rPr>
                      <w:rFonts w:hint="default"/>
                      <w:color w:val="auto"/>
                      <w:spacing w:val="-10"/>
                      <w:highlight w:val="none"/>
                    </w:rPr>
                    <w:t>量较少，发生火灾、爆炸</w:t>
                  </w:r>
                  <w:r>
                    <w:rPr>
                      <w:rFonts w:hint="eastAsia"/>
                      <w:color w:val="auto"/>
                      <w:spacing w:val="-10"/>
                      <w:highlight w:val="none"/>
                      <w:lang w:eastAsia="zh-CN"/>
                    </w:rPr>
                    <w:t>概率</w:t>
                  </w:r>
                  <w:r>
                    <w:rPr>
                      <w:rFonts w:hint="default"/>
                      <w:color w:val="auto"/>
                      <w:spacing w:val="-10"/>
                      <w:highlight w:val="none"/>
                    </w:rPr>
                    <w:t>较小；</w:t>
                  </w:r>
                </w:p>
                <w:p w14:paraId="329B42BB">
                  <w:pPr>
                    <w:pStyle w:val="10"/>
                    <w:keepNext w:val="0"/>
                    <w:keepLines w:val="0"/>
                    <w:suppressLineNumbers w:val="0"/>
                    <w:spacing w:before="0" w:beforeAutospacing="0" w:after="0" w:afterAutospacing="0" w:line="240" w:lineRule="auto"/>
                    <w:ind w:left="0" w:leftChars="0" w:right="0" w:firstLine="0" w:firstLineChars="0"/>
                    <w:jc w:val="left"/>
                    <w:rPr>
                      <w:rFonts w:hint="default" w:ascii="Times New Roman" w:hAnsi="Times New Roman"/>
                      <w:color w:val="auto"/>
                      <w:spacing w:val="-10"/>
                      <w:sz w:val="21"/>
                      <w:szCs w:val="21"/>
                      <w:highlight w:val="none"/>
                    </w:rPr>
                  </w:pPr>
                  <w:r>
                    <w:rPr>
                      <w:rFonts w:hint="default" w:ascii="Times New Roman" w:hAnsi="Times New Roman"/>
                      <w:color w:val="auto"/>
                      <w:spacing w:val="-10"/>
                      <w:sz w:val="21"/>
                      <w:szCs w:val="21"/>
                      <w:highlight w:val="none"/>
                    </w:rPr>
                    <w:t>（2）对地表水环境影响</w:t>
                  </w:r>
                </w:p>
                <w:p w14:paraId="4CA66844">
                  <w:pPr>
                    <w:keepNext w:val="0"/>
                    <w:keepLines w:val="0"/>
                    <w:suppressLineNumbers w:val="0"/>
                    <w:spacing w:before="0" w:beforeAutospacing="0" w:after="0" w:afterAutospacing="0"/>
                    <w:ind w:left="0" w:right="0"/>
                    <w:rPr>
                      <w:rFonts w:hint="default"/>
                      <w:color w:val="auto"/>
                      <w:spacing w:val="-10"/>
                      <w:highlight w:val="none"/>
                    </w:rPr>
                  </w:pPr>
                  <w:r>
                    <w:rPr>
                      <w:rFonts w:hint="default"/>
                      <w:color w:val="auto"/>
                      <w:spacing w:val="-10"/>
                      <w:highlight w:val="none"/>
                    </w:rPr>
                    <w:t>瓦斯泄漏对地表水的环境影响，主要考虑瓦斯</w:t>
                  </w:r>
                  <w:r>
                    <w:rPr>
                      <w:rFonts w:hint="default"/>
                      <w:color w:val="auto"/>
                      <w:spacing w:val="-10"/>
                      <w:highlight w:val="none"/>
                      <w:lang w:eastAsia="zh-CN"/>
                    </w:rPr>
                    <w:t>、油类物质</w:t>
                  </w:r>
                  <w:r>
                    <w:rPr>
                      <w:rFonts w:hint="default"/>
                      <w:color w:val="auto"/>
                      <w:spacing w:val="-10"/>
                      <w:highlight w:val="none"/>
                    </w:rPr>
                    <w:t>泄漏引发火灾，灭火时产生的消防废水，废水发生地表径流对周边地表水体造成污染。项目区已进行水泥硬化处理，具有一定的防渗能力，发生火灾时消防废水可以暂存在项目区雨水沟渠，不会流入外环境，对地表水造成影响。</w:t>
                  </w:r>
                </w:p>
                <w:p w14:paraId="29B4F916">
                  <w:pPr>
                    <w:pStyle w:val="10"/>
                    <w:keepNext w:val="0"/>
                    <w:keepLines w:val="0"/>
                    <w:suppressLineNumbers w:val="0"/>
                    <w:spacing w:before="0" w:beforeAutospacing="0" w:after="0" w:afterAutospacing="0" w:line="240" w:lineRule="auto"/>
                    <w:ind w:left="0" w:leftChars="0" w:right="0" w:firstLine="0" w:firstLineChars="0"/>
                    <w:jc w:val="left"/>
                    <w:rPr>
                      <w:rFonts w:hint="default" w:ascii="Times New Roman" w:hAnsi="Times New Roman"/>
                      <w:color w:val="auto"/>
                      <w:spacing w:val="-10"/>
                      <w:sz w:val="21"/>
                      <w:szCs w:val="21"/>
                      <w:highlight w:val="none"/>
                    </w:rPr>
                  </w:pPr>
                  <w:r>
                    <w:rPr>
                      <w:rFonts w:hint="default" w:ascii="Times New Roman" w:hAnsi="Times New Roman"/>
                      <w:color w:val="auto"/>
                      <w:spacing w:val="-10"/>
                      <w:sz w:val="21"/>
                      <w:szCs w:val="21"/>
                      <w:highlight w:val="none"/>
                    </w:rPr>
                    <w:t>（3）对地下水及土壤环境影响</w:t>
                  </w:r>
                </w:p>
                <w:p w14:paraId="1A131F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b w:val="0"/>
                      <w:bCs/>
                      <w:color w:val="auto"/>
                      <w:spacing w:val="-10"/>
                      <w:sz w:val="21"/>
                      <w:szCs w:val="21"/>
                      <w:highlight w:val="none"/>
                    </w:rPr>
                  </w:pPr>
                  <w:r>
                    <w:rPr>
                      <w:rFonts w:hint="default"/>
                      <w:color w:val="auto"/>
                      <w:spacing w:val="-10"/>
                      <w:highlight w:val="none"/>
                    </w:rPr>
                    <w:t>瓦斯</w:t>
                  </w:r>
                  <w:r>
                    <w:rPr>
                      <w:rFonts w:hint="default"/>
                      <w:color w:val="auto"/>
                      <w:spacing w:val="-10"/>
                      <w:highlight w:val="none"/>
                      <w:lang w:eastAsia="zh-CN"/>
                    </w:rPr>
                    <w:t>、油类物质</w:t>
                  </w:r>
                  <w:r>
                    <w:rPr>
                      <w:rFonts w:hint="default"/>
                      <w:color w:val="auto"/>
                      <w:spacing w:val="-10"/>
                      <w:highlight w:val="none"/>
                    </w:rPr>
                    <w:t>泄漏引发火灾爆炸时产生的消防废水有可能对地下水及土壤造成影响，项目区已进行水泥硬化处理，具有一定的防渗能力，发生火灾时消防废水可以暂存在项目区雨水沟渠，可减少渗透进入地下水及土壤环境；</w:t>
                  </w:r>
                </w:p>
              </w:tc>
            </w:tr>
            <w:tr w14:paraId="175C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146" w:type="pct"/>
                  <w:noWrap w:val="0"/>
                  <w:vAlign w:val="center"/>
                </w:tcPr>
                <w:p w14:paraId="2A920F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105" w:leftChars="-50" w:right="-105" w:rightChars="-50"/>
                    <w:jc w:val="center"/>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风险防范措施要求</w:t>
                  </w:r>
                </w:p>
              </w:tc>
              <w:tc>
                <w:tcPr>
                  <w:tcW w:w="3853" w:type="pct"/>
                  <w:gridSpan w:val="4"/>
                  <w:noWrap w:val="0"/>
                  <w:vAlign w:val="center"/>
                </w:tcPr>
                <w:p w14:paraId="28EC18DE">
                  <w:pPr>
                    <w:keepNext w:val="0"/>
                    <w:keepLines w:val="0"/>
                    <w:pageBreakBefore w:val="0"/>
                    <w:widowControl w:val="0"/>
                    <w:numPr>
                      <w:ilvl w:val="0"/>
                      <w:numId w:val="8"/>
                    </w:numPr>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b w:val="0"/>
                      <w:bCs/>
                      <w:color w:val="auto"/>
                      <w:spacing w:val="-10"/>
                      <w:sz w:val="21"/>
                      <w:szCs w:val="21"/>
                      <w:highlight w:val="none"/>
                    </w:rPr>
                  </w:pPr>
                  <w:r>
                    <w:rPr>
                      <w:rFonts w:hint="eastAsia" w:ascii="Times New Roman" w:hAnsi="Times New Roman" w:eastAsia="宋体" w:cs="Times New Roman"/>
                      <w:b w:val="0"/>
                      <w:bCs/>
                      <w:color w:val="auto"/>
                      <w:spacing w:val="-10"/>
                      <w:sz w:val="21"/>
                      <w:szCs w:val="21"/>
                      <w:highlight w:val="none"/>
                      <w:lang w:eastAsia="zh-CN"/>
                    </w:rPr>
                    <w:t>危废贮存点</w:t>
                  </w:r>
                  <w:r>
                    <w:rPr>
                      <w:rFonts w:hint="default" w:ascii="Times New Roman" w:hAnsi="Times New Roman" w:eastAsia="宋体" w:cs="Times New Roman"/>
                      <w:b w:val="0"/>
                      <w:bCs/>
                      <w:color w:val="auto"/>
                      <w:spacing w:val="-10"/>
                      <w:sz w:val="21"/>
                      <w:szCs w:val="21"/>
                      <w:highlight w:val="none"/>
                    </w:rPr>
                    <w:t>严格按照要求建设；总平布置遵循分区布置的原则，生产区</w:t>
                  </w:r>
                  <w:r>
                    <w:rPr>
                      <w:rFonts w:hint="default" w:ascii="Times New Roman" w:hAnsi="Times New Roman" w:eastAsia="宋体" w:cs="Times New Roman"/>
                      <w:b w:val="0"/>
                      <w:bCs/>
                      <w:color w:val="auto"/>
                      <w:spacing w:val="-10"/>
                      <w:sz w:val="21"/>
                      <w:szCs w:val="21"/>
                      <w:highlight w:val="none"/>
                      <w:lang w:val="en-US" w:eastAsia="zh-CN"/>
                    </w:rPr>
                    <w:t>与</w:t>
                  </w:r>
                  <w:r>
                    <w:rPr>
                      <w:rFonts w:hint="eastAsia" w:ascii="Times New Roman" w:hAnsi="Times New Roman" w:eastAsia="宋体" w:cs="Times New Roman"/>
                      <w:b w:val="0"/>
                      <w:bCs/>
                      <w:color w:val="auto"/>
                      <w:spacing w:val="-10"/>
                      <w:sz w:val="21"/>
                      <w:szCs w:val="21"/>
                      <w:highlight w:val="none"/>
                      <w:lang w:eastAsia="zh-CN"/>
                    </w:rPr>
                    <w:t>危废贮存点</w:t>
                  </w:r>
                  <w:r>
                    <w:rPr>
                      <w:rFonts w:hint="default" w:ascii="Times New Roman" w:hAnsi="Times New Roman" w:eastAsia="宋体" w:cs="Times New Roman"/>
                      <w:b w:val="0"/>
                      <w:bCs/>
                      <w:color w:val="auto"/>
                      <w:spacing w:val="-10"/>
                      <w:sz w:val="21"/>
                      <w:szCs w:val="21"/>
                      <w:highlight w:val="none"/>
                    </w:rPr>
                    <w:t>分开设置，各建构筑物之间的防火间距均严格按照《建筑设计防火规范》（GB50016-2006）进行设计，符合规范要求。</w:t>
                  </w:r>
                </w:p>
                <w:p w14:paraId="3D235DF3">
                  <w:pPr>
                    <w:pStyle w:val="9"/>
                    <w:keepNext w:val="0"/>
                    <w:keepLines w:val="0"/>
                    <w:numPr>
                      <w:ilvl w:val="0"/>
                      <w:numId w:val="8"/>
                    </w:numPr>
                    <w:suppressLineNumbers w:val="0"/>
                    <w:spacing w:before="0" w:beforeAutospacing="0" w:afterAutospacing="0"/>
                    <w:ind w:left="0" w:leftChars="0" w:right="0"/>
                    <w:rPr>
                      <w:rFonts w:hint="default" w:cs="Times New Roman"/>
                      <w:b w:val="0"/>
                      <w:bCs/>
                      <w:color w:val="auto"/>
                      <w:spacing w:val="-10"/>
                      <w:sz w:val="21"/>
                      <w:szCs w:val="21"/>
                      <w:highlight w:val="none"/>
                      <w:lang w:eastAsia="zh-CN"/>
                    </w:rPr>
                  </w:pPr>
                  <w:r>
                    <w:rPr>
                      <w:rFonts w:hint="eastAsia" w:ascii="Times New Roman" w:hAnsi="Times New Roman" w:eastAsia="宋体" w:cs="Times New Roman"/>
                      <w:b w:val="0"/>
                      <w:bCs/>
                      <w:color w:val="auto"/>
                      <w:spacing w:val="-10"/>
                      <w:sz w:val="21"/>
                      <w:szCs w:val="21"/>
                      <w:highlight w:val="none"/>
                      <w:lang w:val="en-US" w:eastAsia="zh-CN"/>
                    </w:rPr>
                    <w:t>进口处设置0.</w:t>
                  </w:r>
                  <w:r>
                    <w:rPr>
                      <w:rFonts w:hint="eastAsia" w:cs="Times New Roman"/>
                      <w:b w:val="0"/>
                      <w:bCs/>
                      <w:color w:val="auto"/>
                      <w:spacing w:val="-10"/>
                      <w:sz w:val="21"/>
                      <w:szCs w:val="21"/>
                      <w:highlight w:val="none"/>
                      <w:lang w:val="en-US" w:eastAsia="zh-CN"/>
                    </w:rPr>
                    <w:t>2</w:t>
                  </w:r>
                  <w:r>
                    <w:rPr>
                      <w:rFonts w:hint="eastAsia" w:ascii="Times New Roman" w:hAnsi="Times New Roman" w:eastAsia="宋体" w:cs="Times New Roman"/>
                      <w:b w:val="0"/>
                      <w:bCs/>
                      <w:color w:val="auto"/>
                      <w:spacing w:val="-10"/>
                      <w:sz w:val="21"/>
                      <w:szCs w:val="21"/>
                      <w:highlight w:val="none"/>
                      <w:lang w:val="en-US" w:eastAsia="zh-CN"/>
                    </w:rPr>
                    <w:t>m高的围堰，</w:t>
                  </w:r>
                  <w:r>
                    <w:rPr>
                      <w:rFonts w:hint="eastAsia" w:ascii="Times New Roman" w:hAnsi="Times New Roman" w:eastAsia="宋体" w:cs="Times New Roman"/>
                      <w:b w:val="0"/>
                      <w:bCs/>
                      <w:color w:val="auto"/>
                      <w:spacing w:val="-10"/>
                      <w:sz w:val="21"/>
                      <w:szCs w:val="21"/>
                      <w:highlight w:val="none"/>
                    </w:rPr>
                    <w:t>贮存区四周建宽0.1m、深0.2m的导流渠，配套一座</w:t>
                  </w:r>
                  <w:r>
                    <w:rPr>
                      <w:rFonts w:hint="eastAsia" w:ascii="Times New Roman" w:hAnsi="Times New Roman" w:eastAsia="宋体" w:cs="Times New Roman"/>
                      <w:b w:val="0"/>
                      <w:bCs/>
                      <w:color w:val="auto"/>
                      <w:spacing w:val="-10"/>
                      <w:sz w:val="21"/>
                      <w:szCs w:val="21"/>
                      <w:highlight w:val="none"/>
                      <w:lang w:eastAsia="zh-CN"/>
                    </w:rPr>
                    <w:t>2</w:t>
                  </w:r>
                  <w:r>
                    <w:rPr>
                      <w:rFonts w:hint="eastAsia" w:ascii="Times New Roman" w:hAnsi="Times New Roman" w:eastAsia="宋体" w:cs="Times New Roman"/>
                      <w:b w:val="0"/>
                      <w:bCs/>
                      <w:color w:val="auto"/>
                      <w:spacing w:val="-10"/>
                      <w:sz w:val="21"/>
                      <w:szCs w:val="21"/>
                      <w:highlight w:val="none"/>
                    </w:rPr>
                    <w:t>m</w:t>
                  </w:r>
                  <w:r>
                    <w:rPr>
                      <w:rFonts w:hint="eastAsia" w:ascii="Times New Roman" w:hAnsi="Times New Roman" w:eastAsia="宋体" w:cs="Times New Roman"/>
                      <w:b w:val="0"/>
                      <w:bCs/>
                      <w:color w:val="auto"/>
                      <w:spacing w:val="-10"/>
                      <w:sz w:val="21"/>
                      <w:szCs w:val="21"/>
                      <w:highlight w:val="none"/>
                      <w:vertAlign w:val="superscript"/>
                    </w:rPr>
                    <w:t>3</w:t>
                  </w:r>
                  <w:r>
                    <w:rPr>
                      <w:rFonts w:hint="eastAsia" w:ascii="Times New Roman" w:hAnsi="Times New Roman" w:eastAsia="宋体" w:cs="Times New Roman"/>
                      <w:b w:val="0"/>
                      <w:bCs/>
                      <w:color w:val="auto"/>
                      <w:spacing w:val="-10"/>
                      <w:sz w:val="21"/>
                      <w:szCs w:val="21"/>
                      <w:highlight w:val="none"/>
                    </w:rPr>
                    <w:t>的集油池</w:t>
                  </w:r>
                  <w:r>
                    <w:rPr>
                      <w:rFonts w:hint="eastAsia" w:cs="Times New Roman"/>
                      <w:b w:val="0"/>
                      <w:bCs/>
                      <w:color w:val="auto"/>
                      <w:spacing w:val="-10"/>
                      <w:sz w:val="21"/>
                      <w:szCs w:val="21"/>
                      <w:highlight w:val="none"/>
                      <w:lang w:eastAsia="zh-CN"/>
                    </w:rPr>
                    <w:t>。</w:t>
                  </w:r>
                </w:p>
                <w:p w14:paraId="6B302D20">
                  <w:pPr>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lang w:val="en-US" w:eastAsia="zh-CN"/>
                    </w:rPr>
                    <w:t>3.</w:t>
                  </w:r>
                  <w:r>
                    <w:rPr>
                      <w:rFonts w:hint="eastAsia"/>
                      <w:color w:val="auto"/>
                      <w:highlight w:val="none"/>
                    </w:rPr>
                    <w:t>瓦斯输送：①采用高强度的优质管材，并通过提高施工质量、对人员出入频繁的地段的明管加修防护廊道并树立明显防火标志，其发生事故的概率很低，相应的环境风险也是较低的，属于可接受范围。</w:t>
                  </w:r>
                </w:p>
                <w:p w14:paraId="7B7F5EAD">
                  <w:pPr>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②严格对本项目的输气管线进行检查，保证项目安全稳定运行；</w:t>
                  </w:r>
                </w:p>
                <w:p w14:paraId="2883E5E3">
                  <w:pPr>
                    <w:keepNext w:val="0"/>
                    <w:keepLines w:val="0"/>
                    <w:suppressLineNumbers w:val="0"/>
                    <w:spacing w:before="0" w:beforeAutospacing="0" w:after="0" w:afterAutospacing="0"/>
                    <w:ind w:left="0" w:right="0"/>
                    <w:rPr>
                      <w:rFonts w:hint="default"/>
                      <w:color w:val="auto"/>
                      <w:highlight w:val="none"/>
                    </w:rPr>
                  </w:pPr>
                  <w:r>
                    <w:rPr>
                      <w:rFonts w:hint="eastAsia"/>
                      <w:color w:val="auto"/>
                      <w:highlight w:val="none"/>
                    </w:rPr>
                    <w:t>③制定以防为主的应急机构</w:t>
                  </w:r>
                  <w:r>
                    <w:rPr>
                      <w:rFonts w:hint="eastAsia"/>
                      <w:color w:val="auto"/>
                      <w:highlight w:val="none"/>
                      <w:lang w:eastAsia="zh-CN"/>
                    </w:rPr>
                    <w:t>，对</w:t>
                  </w:r>
                  <w:r>
                    <w:rPr>
                      <w:rFonts w:hint="eastAsia"/>
                      <w:color w:val="auto"/>
                      <w:highlight w:val="none"/>
                    </w:rPr>
                    <w:t>事故发生实施统一指挥，首先要第一通知抽放站关停送气阀门，及时排空管线内的瓦斯，以防爆炸；</w:t>
                  </w:r>
                </w:p>
                <w:p w14:paraId="10735829">
                  <w:pPr>
                    <w:pStyle w:val="10"/>
                    <w:keepNext w:val="0"/>
                    <w:keepLines w:val="0"/>
                    <w:numPr>
                      <w:ilvl w:val="-1"/>
                      <w:numId w:val="0"/>
                    </w:numPr>
                    <w:suppressLineNumbers w:val="0"/>
                    <w:spacing w:before="0" w:beforeAutospacing="0" w:after="0" w:afterAutospacing="0" w:line="240" w:lineRule="auto"/>
                    <w:ind w:left="0" w:right="0" w:firstLine="0"/>
                    <w:rPr>
                      <w:rFonts w:hint="default" w:ascii="Times New Roman"/>
                      <w:color w:val="auto"/>
                      <w:sz w:val="21"/>
                      <w:szCs w:val="21"/>
                      <w:highlight w:val="none"/>
                      <w:lang w:eastAsia="zh-CN"/>
                    </w:rPr>
                  </w:pPr>
                  <w:r>
                    <w:rPr>
                      <w:rFonts w:hint="eastAsia" w:ascii="Times New Roman"/>
                      <w:color w:val="auto"/>
                      <w:sz w:val="21"/>
                      <w:szCs w:val="21"/>
                      <w:highlight w:val="none"/>
                      <w:lang w:eastAsia="zh-CN"/>
                    </w:rPr>
                    <w:t>制定突发环境事件应急预案</w:t>
                  </w:r>
                  <w:r>
                    <w:rPr>
                      <w:rFonts w:hint="eastAsia" w:ascii="Times New Roman"/>
                      <w:color w:val="auto"/>
                      <w:sz w:val="21"/>
                      <w:szCs w:val="21"/>
                      <w:highlight w:val="none"/>
                    </w:rPr>
                    <w:t>，配备足够的风险应急物资并定期组织应急演练。</w:t>
                  </w:r>
                </w:p>
                <w:p w14:paraId="3D0D5B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b w:val="0"/>
                      <w:bCs/>
                      <w:color w:val="auto"/>
                      <w:spacing w:val="-10"/>
                      <w:sz w:val="21"/>
                      <w:szCs w:val="21"/>
                      <w:highlight w:val="none"/>
                    </w:rPr>
                  </w:pPr>
                  <w:r>
                    <w:rPr>
                      <w:rFonts w:hint="eastAsia" w:cs="Times New Roman"/>
                      <w:b w:val="0"/>
                      <w:bCs/>
                      <w:color w:val="auto"/>
                      <w:spacing w:val="-10"/>
                      <w:sz w:val="21"/>
                      <w:szCs w:val="21"/>
                      <w:highlight w:val="none"/>
                      <w:lang w:val="en-US" w:eastAsia="zh-CN"/>
                    </w:rPr>
                    <w:t>4.</w:t>
                  </w:r>
                  <w:r>
                    <w:rPr>
                      <w:rFonts w:hint="default" w:ascii="Times New Roman" w:hAnsi="Times New Roman" w:eastAsia="宋体" w:cs="Times New Roman"/>
                      <w:b w:val="0"/>
                      <w:bCs/>
                      <w:color w:val="auto"/>
                      <w:spacing w:val="-10"/>
                      <w:sz w:val="21"/>
                      <w:szCs w:val="21"/>
                      <w:highlight w:val="none"/>
                    </w:rPr>
                    <w:t>工艺、设备风险防范措施设计采用防爆仪表，爆炸危险场所选用相应等级的隔爆型电气设备；系统内所有法兰、阀门、仪表接头、泵密封等以及设备本体的设计，均按规范要求进行，消除跑冒滴漏。</w:t>
                  </w:r>
                </w:p>
                <w:p w14:paraId="1B50B2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eastAsia="宋体" w:cs="Times New Roman"/>
                      <w:b w:val="0"/>
                      <w:bCs/>
                      <w:color w:val="auto"/>
                      <w:spacing w:val="-10"/>
                      <w:sz w:val="21"/>
                      <w:szCs w:val="21"/>
                      <w:highlight w:val="none"/>
                    </w:rPr>
                  </w:pPr>
                  <w:r>
                    <w:rPr>
                      <w:rFonts w:hint="eastAsia" w:cs="Times New Roman"/>
                      <w:b w:val="0"/>
                      <w:bCs/>
                      <w:color w:val="auto"/>
                      <w:spacing w:val="-10"/>
                      <w:sz w:val="21"/>
                      <w:szCs w:val="21"/>
                      <w:highlight w:val="none"/>
                      <w:lang w:val="en-US" w:eastAsia="zh-CN"/>
                    </w:rPr>
                    <w:t>5.</w:t>
                  </w:r>
                  <w:r>
                    <w:rPr>
                      <w:rFonts w:hint="default" w:ascii="Times New Roman" w:hAnsi="Times New Roman" w:eastAsia="宋体" w:cs="Times New Roman"/>
                      <w:b w:val="0"/>
                      <w:bCs/>
                      <w:color w:val="auto"/>
                      <w:spacing w:val="-10"/>
                      <w:sz w:val="21"/>
                      <w:szCs w:val="21"/>
                      <w:highlight w:val="none"/>
                    </w:rPr>
                    <w:t>消防系统：车间内设置多个手提式灭火器。本项目建设单位应严格按照消防、安全等相关规范及部门要求设置消防系统，办理相关手续取得相关证书等。</w:t>
                  </w:r>
                </w:p>
              </w:tc>
            </w:tr>
          </w:tbl>
          <w:p w14:paraId="2868D4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2" w:firstLineChars="200"/>
              <w:jc w:val="left"/>
              <w:textAlignment w:val="auto"/>
              <w:rPr>
                <w:rFonts w:hint="eastAsia" w:ascii="Times New Roman" w:hAnsi="Times New Roman" w:cs="宋体"/>
                <w:b/>
                <w:color w:val="auto"/>
                <w:spacing w:val="-10"/>
                <w:sz w:val="24"/>
                <w:highlight w:val="none"/>
                <w:lang w:val="en-US" w:eastAsia="zh-CN"/>
              </w:rPr>
            </w:pPr>
          </w:p>
          <w:p w14:paraId="5B0AB5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2" w:firstLineChars="200"/>
              <w:jc w:val="left"/>
              <w:textAlignment w:val="auto"/>
              <w:rPr>
                <w:rFonts w:hint="default" w:ascii="宋体" w:hAnsi="宋体" w:cs="宋体"/>
                <w:b/>
                <w:color w:val="auto"/>
                <w:spacing w:val="-10"/>
                <w:sz w:val="24"/>
                <w:highlight w:val="none"/>
              </w:rPr>
            </w:pPr>
            <w:r>
              <w:rPr>
                <w:rFonts w:hint="eastAsia" w:cs="宋体"/>
                <w:b/>
                <w:color w:val="auto"/>
                <w:spacing w:val="-10"/>
                <w:sz w:val="24"/>
                <w:highlight w:val="none"/>
                <w:lang w:val="en-US" w:eastAsia="zh-CN"/>
              </w:rPr>
              <w:t>6.</w:t>
            </w:r>
            <w:r>
              <w:rPr>
                <w:rFonts w:hint="eastAsia" w:ascii="宋体" w:hAnsi="宋体" w:cs="宋体"/>
                <w:b/>
                <w:color w:val="auto"/>
                <w:spacing w:val="-10"/>
                <w:sz w:val="24"/>
                <w:highlight w:val="none"/>
              </w:rPr>
              <w:t>环保管理</w:t>
            </w:r>
          </w:p>
          <w:p w14:paraId="6771D2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jc w:val="both"/>
              <w:textAlignment w:val="auto"/>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1）认真贯彻执行《中华人民共和国生态环境法典》，实行清洁生产，把环保工作落到实处；</w:t>
            </w:r>
          </w:p>
          <w:p w14:paraId="181975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jc w:val="both"/>
              <w:textAlignment w:val="auto"/>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2）谁主管，谁负责，负责到人，分级管理；</w:t>
            </w:r>
          </w:p>
          <w:p w14:paraId="5EFDD5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jc w:val="both"/>
              <w:textAlignment w:val="auto"/>
              <w:rPr>
                <w:rFonts w:hint="default" w:ascii="Times New Roman" w:hAnsi="Times New Roman" w:cs="Times New Roman"/>
                <w:bCs/>
                <w:color w:val="auto"/>
                <w:spacing w:val="-10"/>
                <w:sz w:val="24"/>
                <w:highlight w:val="none"/>
              </w:rPr>
            </w:pPr>
            <w:r>
              <w:rPr>
                <w:rFonts w:hint="eastAsia" w:cs="Times New Roman"/>
                <w:bCs/>
                <w:color w:val="auto"/>
                <w:spacing w:val="-10"/>
                <w:sz w:val="24"/>
                <w:highlight w:val="none"/>
                <w:lang w:eastAsia="zh-CN"/>
              </w:rPr>
              <w:t>3）</w:t>
            </w:r>
            <w:r>
              <w:rPr>
                <w:rFonts w:hint="default" w:ascii="Times New Roman" w:hAnsi="Times New Roman" w:cs="Times New Roman"/>
                <w:bCs/>
                <w:color w:val="auto"/>
                <w:spacing w:val="-10"/>
                <w:sz w:val="24"/>
                <w:highlight w:val="none"/>
              </w:rPr>
              <w:t>对环保设备定期保养，发现问题立即处理；</w:t>
            </w:r>
          </w:p>
          <w:p w14:paraId="40BF2E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jc w:val="both"/>
              <w:textAlignment w:val="auto"/>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4）严格执行环保设施的操作规程，确保环保设施的正常运行；</w:t>
            </w:r>
          </w:p>
          <w:p w14:paraId="5101B3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40" w:firstLineChars="200"/>
              <w:jc w:val="both"/>
              <w:textAlignment w:val="auto"/>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5）建立环保设施台账，</w:t>
            </w:r>
            <w:r>
              <w:rPr>
                <w:rFonts w:hint="eastAsia" w:ascii="Times New Roman" w:hAnsi="Times New Roman" w:cs="Times New Roman"/>
                <w:bCs/>
                <w:color w:val="auto"/>
                <w:spacing w:val="-10"/>
                <w:sz w:val="24"/>
                <w:highlight w:val="none"/>
                <w:lang w:val="en-US" w:eastAsia="zh-CN"/>
              </w:rPr>
              <w:t>认真</w:t>
            </w:r>
            <w:r>
              <w:rPr>
                <w:rFonts w:hint="eastAsia" w:cs="Times New Roman"/>
                <w:bCs/>
                <w:color w:val="auto"/>
                <w:spacing w:val="-10"/>
                <w:sz w:val="24"/>
                <w:highlight w:val="none"/>
                <w:lang w:val="en-US" w:eastAsia="zh-CN"/>
              </w:rPr>
              <w:t>做好</w:t>
            </w:r>
            <w:r>
              <w:rPr>
                <w:rFonts w:hint="default" w:ascii="Times New Roman" w:hAnsi="Times New Roman" w:cs="Times New Roman"/>
                <w:bCs/>
                <w:color w:val="auto"/>
                <w:spacing w:val="-10"/>
                <w:sz w:val="24"/>
                <w:highlight w:val="none"/>
              </w:rPr>
              <w:t>运行记录；</w:t>
            </w:r>
          </w:p>
          <w:p w14:paraId="79A2C3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textAlignment w:val="auto"/>
              <w:rPr>
                <w:rFonts w:hint="eastAsia" w:ascii="Times New Roman" w:hAnsi="Times New Roman" w:cs="Times New Roman"/>
                <w:color w:val="auto"/>
                <w:sz w:val="24"/>
                <w:szCs w:val="24"/>
                <w:highlight w:val="none"/>
              </w:rPr>
            </w:pPr>
            <w:r>
              <w:rPr>
                <w:rFonts w:hint="eastAsia" w:ascii="Times New Roman" w:hAnsi="Times New Roman" w:cs="Times New Roman"/>
                <w:bCs/>
                <w:color w:val="auto"/>
                <w:spacing w:val="-10"/>
                <w:sz w:val="24"/>
                <w:highlight w:val="none"/>
                <w:lang w:val="en-US" w:eastAsia="zh-CN"/>
              </w:rPr>
              <w:t>6</w:t>
            </w:r>
            <w:r>
              <w:rPr>
                <w:rFonts w:hint="default" w:ascii="Times New Roman" w:hAnsi="Times New Roman" w:cs="Times New Roman"/>
                <w:bCs/>
                <w:color w:val="auto"/>
                <w:spacing w:val="-10"/>
                <w:sz w:val="24"/>
                <w:highlight w:val="none"/>
              </w:rPr>
              <w:t>）废气净化装置</w:t>
            </w:r>
            <w:r>
              <w:rPr>
                <w:rFonts w:hint="eastAsia" w:cs="Times New Roman"/>
                <w:bCs/>
                <w:color w:val="auto"/>
                <w:spacing w:val="-10"/>
                <w:sz w:val="24"/>
                <w:highlight w:val="none"/>
                <w:lang w:eastAsia="zh-CN"/>
              </w:rPr>
              <w:t>如</w:t>
            </w:r>
            <w:r>
              <w:rPr>
                <w:rFonts w:hint="default" w:ascii="Times New Roman" w:hAnsi="Times New Roman" w:cs="Times New Roman"/>
                <w:bCs/>
                <w:color w:val="auto"/>
                <w:spacing w:val="-10"/>
                <w:sz w:val="24"/>
                <w:highlight w:val="none"/>
              </w:rPr>
              <w:t>发生突发事故，要及时抢修，使废气净化设施及时正常运行，确保污染降到最低程度。</w:t>
            </w:r>
          </w:p>
        </w:tc>
      </w:tr>
    </w:tbl>
    <w:p w14:paraId="24AACD85">
      <w:pPr>
        <w:adjustRightInd w:val="0"/>
        <w:snapToGrid w:val="0"/>
        <w:spacing w:line="360" w:lineRule="auto"/>
        <w:rPr>
          <w:rFonts w:hint="eastAsia" w:ascii="宋体" w:cs="宋体"/>
          <w:b/>
          <w:color w:val="auto"/>
          <w:kern w:val="0"/>
          <w:sz w:val="28"/>
          <w:szCs w:val="28"/>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4E6E8C0">
      <w:pPr>
        <w:pStyle w:val="20"/>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五、</w:t>
      </w:r>
      <w:bookmarkStart w:id="3" w:name="_Hlk54167917"/>
      <w:r>
        <w:rPr>
          <w:rFonts w:hint="eastAsia" w:ascii="黑体" w:hAnsi="黑体" w:eastAsia="黑体"/>
          <w:snapToGrid w:val="0"/>
          <w:color w:val="auto"/>
          <w:sz w:val="30"/>
          <w:szCs w:val="30"/>
          <w:highlight w:val="none"/>
        </w:rPr>
        <w:t>环境保护措施监督检查清单</w:t>
      </w:r>
      <w:bookmarkEnd w:id="3"/>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1781"/>
        <w:gridCol w:w="958"/>
        <w:gridCol w:w="2538"/>
        <w:gridCol w:w="2043"/>
      </w:tblGrid>
      <w:tr w14:paraId="77AA91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99" w:type="dxa"/>
            <w:tcBorders>
              <w:tl2br w:val="single" w:color="auto" w:sz="4" w:space="0"/>
            </w:tcBorders>
            <w:noWrap w:val="0"/>
            <w:vAlign w:val="top"/>
          </w:tcPr>
          <w:p w14:paraId="06534D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20" w:firstLineChars="200"/>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lang w:val="en-US" w:eastAsia="zh-CN"/>
              </w:rPr>
              <w:t>内容</w:t>
            </w:r>
          </w:p>
          <w:p w14:paraId="4B6185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要素</w:t>
            </w:r>
          </w:p>
        </w:tc>
        <w:tc>
          <w:tcPr>
            <w:tcW w:w="1781" w:type="dxa"/>
            <w:noWrap w:val="0"/>
            <w:vAlign w:val="center"/>
          </w:tcPr>
          <w:p w14:paraId="328C41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排放口</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编号、</w:t>
            </w:r>
          </w:p>
          <w:p w14:paraId="4A22C7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名称</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/污染源</w:t>
            </w:r>
          </w:p>
        </w:tc>
        <w:tc>
          <w:tcPr>
            <w:tcW w:w="958" w:type="dxa"/>
            <w:noWrap w:val="0"/>
            <w:vAlign w:val="center"/>
          </w:tcPr>
          <w:p w14:paraId="4C30DB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污染物项目</w:t>
            </w:r>
          </w:p>
        </w:tc>
        <w:tc>
          <w:tcPr>
            <w:tcW w:w="2538" w:type="dxa"/>
            <w:noWrap w:val="0"/>
            <w:vAlign w:val="center"/>
          </w:tcPr>
          <w:p w14:paraId="7EAEFB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环境保护措施</w:t>
            </w:r>
          </w:p>
        </w:tc>
        <w:tc>
          <w:tcPr>
            <w:tcW w:w="2043" w:type="dxa"/>
            <w:noWrap w:val="0"/>
            <w:vAlign w:val="center"/>
          </w:tcPr>
          <w:p w14:paraId="163692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执行标准</w:t>
            </w:r>
          </w:p>
        </w:tc>
      </w:tr>
      <w:tr w14:paraId="31F958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99" w:type="dxa"/>
            <w:vMerge w:val="restart"/>
            <w:noWrap w:val="0"/>
            <w:vAlign w:val="center"/>
          </w:tcPr>
          <w:p w14:paraId="09BF4B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大气环境</w:t>
            </w:r>
          </w:p>
        </w:tc>
        <w:tc>
          <w:tcPr>
            <w:tcW w:w="1781" w:type="dxa"/>
            <w:noWrap w:val="0"/>
            <w:vAlign w:val="center"/>
          </w:tcPr>
          <w:p w14:paraId="0ACC49A2">
            <w:pPr>
              <w:keepNext w:val="0"/>
              <w:keepLines w:val="0"/>
              <w:suppressLineNumbers w:val="0"/>
              <w:adjustRightInd w:val="0"/>
              <w:snapToGrid w:val="0"/>
              <w:spacing w:before="0" w:beforeAutospacing="0" w:after="0" w:afterAutospacing="0" w:line="400" w:lineRule="exact"/>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玻璃微珠烧制炉排气筒（DA001）</w:t>
            </w:r>
          </w:p>
        </w:tc>
        <w:tc>
          <w:tcPr>
            <w:tcW w:w="958" w:type="dxa"/>
            <w:noWrap w:val="0"/>
            <w:vAlign w:val="center"/>
          </w:tcPr>
          <w:p w14:paraId="4039A5F4">
            <w:pPr>
              <w:keepNext w:val="0"/>
              <w:keepLines w:val="0"/>
              <w:suppressLineNumbers w:val="0"/>
              <w:adjustRightInd w:val="0"/>
              <w:snapToGrid w:val="0"/>
              <w:spacing w:before="0" w:beforeAutospacing="0" w:after="0" w:afterAutospacing="0" w:line="400" w:lineRule="exact"/>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color w:val="auto"/>
                <w:szCs w:val="21"/>
                <w:highlight w:val="none"/>
                <w:lang w:eastAsia="zh-CN"/>
              </w:rPr>
              <w:t>颗粒物、氮氧化物、</w:t>
            </w:r>
            <w:r>
              <w:rPr>
                <w:rFonts w:hint="eastAsia" w:cs="Times New Roman"/>
                <w:color w:val="auto"/>
                <w:szCs w:val="21"/>
                <w:highlight w:val="none"/>
                <w:lang w:val="en-US" w:eastAsia="zh-CN"/>
              </w:rPr>
              <w:t>氨</w:t>
            </w:r>
          </w:p>
        </w:tc>
        <w:tc>
          <w:tcPr>
            <w:tcW w:w="2538" w:type="dxa"/>
            <w:noWrap w:val="0"/>
            <w:vAlign w:val="center"/>
          </w:tcPr>
          <w:p w14:paraId="695EFF01">
            <w:pPr>
              <w:keepNext w:val="0"/>
              <w:keepLines w:val="0"/>
              <w:suppressLineNumbers w:val="0"/>
              <w:adjustRightInd w:val="0"/>
              <w:snapToGrid w:val="0"/>
              <w:spacing w:before="0" w:beforeAutospacing="0" w:after="0" w:afterAutospacing="0" w:line="400" w:lineRule="exact"/>
              <w:ind w:left="0" w:right="0"/>
              <w:jc w:val="center"/>
              <w:rPr>
                <w:rFonts w:hint="default" w:ascii="Times New Roman" w:hAnsi="Times New Roman" w:cs="Times New Roman"/>
                <w:bCs/>
                <w:color w:val="auto"/>
                <w:kern w:val="2"/>
                <w:sz w:val="21"/>
                <w:szCs w:val="21"/>
                <w:highlight w:val="none"/>
                <w:lang w:val="en-US" w:eastAsia="zh-CN" w:bidi="ar-SA"/>
              </w:rPr>
            </w:pPr>
            <w:r>
              <w:rPr>
                <w:rFonts w:hint="eastAsia"/>
                <w:color w:val="auto"/>
                <w:szCs w:val="21"/>
                <w:lang w:val="en-US" w:eastAsia="zh-CN"/>
              </w:rPr>
              <w:t>玻璃烧制炉</w:t>
            </w:r>
            <w:r>
              <w:rPr>
                <w:rFonts w:hint="eastAsia" w:ascii="Times New Roman" w:hAnsi="Times New Roman" w:eastAsia="宋体" w:cs="Times New Roman"/>
                <w:color w:val="auto"/>
                <w:sz w:val="21"/>
                <w:szCs w:val="21"/>
              </w:rPr>
              <w:t>配置低氮多</w:t>
            </w:r>
            <w:r>
              <w:rPr>
                <w:rFonts w:hint="eastAsia" w:cs="Times New Roman"/>
                <w:color w:val="auto"/>
                <w:sz w:val="21"/>
                <w:szCs w:val="21"/>
                <w:lang w:val="en-US" w:eastAsia="zh-CN"/>
              </w:rPr>
              <w:t>孔</w:t>
            </w:r>
            <w:r>
              <w:rPr>
                <w:rFonts w:hint="eastAsia" w:ascii="Times New Roman" w:hAnsi="Times New Roman" w:eastAsia="宋体" w:cs="Times New Roman"/>
                <w:color w:val="auto"/>
                <w:sz w:val="21"/>
                <w:szCs w:val="21"/>
              </w:rPr>
              <w:t>介质燃烧器</w:t>
            </w:r>
            <w:r>
              <w:rPr>
                <w:rFonts w:hint="eastAsia"/>
                <w:color w:val="auto"/>
                <w:szCs w:val="21"/>
                <w:lang w:val="en-US" w:eastAsia="zh-CN"/>
              </w:rPr>
              <w:t>（</w:t>
            </w:r>
            <w:r>
              <w:rPr>
                <w:rFonts w:hint="eastAsia" w:ascii="Times New Roman" w:hAnsi="Times New Roman" w:eastAsia="宋体" w:cs="Times New Roman"/>
                <w:color w:val="auto"/>
                <w:sz w:val="21"/>
                <w:szCs w:val="21"/>
              </w:rPr>
              <w:t>燃气与空气形成预混气流后进入多孔介质基体，于基体孔隙空间内完成燃烧反应，该燃烧方式属于低氮高效燃烧技术</w:t>
            </w:r>
            <w:r>
              <w:rPr>
                <w:rFonts w:hint="eastAsia"/>
                <w:color w:val="auto"/>
                <w:szCs w:val="21"/>
                <w:lang w:val="en-US" w:eastAsia="zh-CN"/>
              </w:rPr>
              <w:t>），</w:t>
            </w:r>
            <w:r>
              <w:rPr>
                <w:rFonts w:hint="eastAsia" w:ascii="Times New Roman" w:hAnsi="Times New Roman" w:eastAsia="宋体" w:cs="Times New Roman"/>
                <w:color w:val="auto"/>
                <w:kern w:val="2"/>
                <w:sz w:val="21"/>
                <w:szCs w:val="21"/>
                <w:highlight w:val="none"/>
                <w:lang w:val="en-US" w:eastAsia="zh-CN" w:bidi="ar-SA"/>
              </w:rPr>
              <w:t>烧制炉废气</w:t>
            </w:r>
            <w:r>
              <w:rPr>
                <w:rFonts w:hint="eastAsia" w:cs="Times New Roman"/>
                <w:color w:val="auto"/>
                <w:kern w:val="2"/>
                <w:sz w:val="21"/>
                <w:szCs w:val="21"/>
                <w:highlight w:val="none"/>
                <w:lang w:val="en-US" w:eastAsia="zh-CN" w:bidi="ar-SA"/>
              </w:rPr>
              <w:t>经SCR脱硝+</w:t>
            </w:r>
            <w:r>
              <w:rPr>
                <w:rFonts w:hint="eastAsia" w:ascii="Times New Roman" w:hAnsi="Times New Roman" w:eastAsia="宋体" w:cs="Times New Roman"/>
                <w:color w:val="auto"/>
                <w:kern w:val="2"/>
                <w:sz w:val="21"/>
                <w:szCs w:val="21"/>
                <w:highlight w:val="none"/>
                <w:lang w:val="en-US" w:eastAsia="zh-CN" w:bidi="ar-SA"/>
              </w:rPr>
              <w:t>布袋除尘器进行处理，处理后经15m高的排气筒（DA001）排放</w:t>
            </w:r>
          </w:p>
        </w:tc>
        <w:tc>
          <w:tcPr>
            <w:tcW w:w="2043" w:type="dxa"/>
            <w:vMerge w:val="restart"/>
            <w:noWrap w:val="0"/>
            <w:vAlign w:val="center"/>
          </w:tcPr>
          <w:p w14:paraId="0A446354">
            <w:pPr>
              <w:keepNext w:val="0"/>
              <w:keepLines w:val="0"/>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color w:val="auto"/>
                <w:szCs w:val="21"/>
                <w:highlight w:val="none"/>
                <w:lang w:eastAsia="zh-CN"/>
              </w:rPr>
            </w:pPr>
            <w:r>
              <w:rPr>
                <w:rFonts w:hint="eastAsia"/>
                <w:color w:val="auto"/>
                <w:highlight w:val="none"/>
              </w:rPr>
              <w:t>《山西省工业炉窑大气污染综合治理实施方案》（晋环大气〔2019〕164号）</w:t>
            </w:r>
            <w:r>
              <w:rPr>
                <w:rFonts w:hint="eastAsia" w:cs="Times New Roman"/>
                <w:color w:val="auto"/>
                <w:szCs w:val="21"/>
                <w:highlight w:val="none"/>
                <w:lang w:eastAsia="zh-CN"/>
              </w:rPr>
              <w:t>、</w:t>
            </w:r>
            <w:r>
              <w:rPr>
                <w:rFonts w:hint="eastAsia" w:ascii="Times New Roman" w:hAnsi="Times New Roman" w:eastAsia="宋体" w:cs="Times New Roman"/>
                <w:bCs/>
                <w:color w:val="auto"/>
                <w:sz w:val="21"/>
                <w:highlight w:val="none"/>
                <w:lang w:eastAsia="zh-CN"/>
              </w:rPr>
              <w:t>《玻璃工业大气污染物排放标准》（</w:t>
            </w:r>
            <w:r>
              <w:rPr>
                <w:rFonts w:hint="eastAsia" w:ascii="Times New Roman" w:hAnsi="Times New Roman" w:eastAsia="宋体" w:cs="Times New Roman"/>
                <w:bCs/>
                <w:color w:val="auto"/>
                <w:sz w:val="21"/>
                <w:highlight w:val="none"/>
                <w:lang w:val="en-US" w:eastAsia="zh-CN"/>
              </w:rPr>
              <w:t>GB26453-2022</w:t>
            </w:r>
            <w:r>
              <w:rPr>
                <w:rFonts w:hint="eastAsia" w:ascii="Times New Roman" w:hAnsi="Times New Roman" w:eastAsia="宋体" w:cs="Times New Roman"/>
                <w:bCs/>
                <w:color w:val="auto"/>
                <w:sz w:val="21"/>
                <w:highlight w:val="none"/>
                <w:lang w:eastAsia="zh-CN"/>
              </w:rPr>
              <w:t>）</w:t>
            </w:r>
          </w:p>
        </w:tc>
      </w:tr>
      <w:tr w14:paraId="3BD7E5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99" w:type="dxa"/>
            <w:vMerge w:val="continue"/>
            <w:noWrap w:val="0"/>
            <w:vAlign w:val="center"/>
          </w:tcPr>
          <w:p w14:paraId="018F40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p>
        </w:tc>
        <w:tc>
          <w:tcPr>
            <w:tcW w:w="1781" w:type="dxa"/>
            <w:noWrap w:val="0"/>
            <w:vAlign w:val="center"/>
          </w:tcPr>
          <w:p w14:paraId="561B8F94">
            <w:pPr>
              <w:keepNext w:val="0"/>
              <w:keepLines w:val="0"/>
              <w:suppressLineNumbers w:val="0"/>
              <w:adjustRightInd w:val="0"/>
              <w:snapToGrid w:val="0"/>
              <w:spacing w:before="0" w:beforeAutospacing="0" w:after="0" w:afterAutospacing="0" w:line="400" w:lineRule="exact"/>
              <w:ind w:left="0" w:right="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进料、筛分排气筒</w:t>
            </w:r>
          </w:p>
        </w:tc>
        <w:tc>
          <w:tcPr>
            <w:tcW w:w="958" w:type="dxa"/>
            <w:noWrap w:val="0"/>
            <w:vAlign w:val="center"/>
          </w:tcPr>
          <w:p w14:paraId="4340C4CD">
            <w:pPr>
              <w:keepNext w:val="0"/>
              <w:keepLines w:val="0"/>
              <w:suppressLineNumbers w:val="0"/>
              <w:adjustRightInd w:val="0"/>
              <w:snapToGrid w:val="0"/>
              <w:spacing w:before="0" w:beforeAutospacing="0" w:after="0" w:afterAutospacing="0" w:line="400" w:lineRule="exact"/>
              <w:ind w:left="0" w:right="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颗粒物</w:t>
            </w:r>
          </w:p>
        </w:tc>
        <w:tc>
          <w:tcPr>
            <w:tcW w:w="2538" w:type="dxa"/>
            <w:noWrap w:val="0"/>
            <w:vAlign w:val="center"/>
          </w:tcPr>
          <w:p w14:paraId="088A11F2">
            <w:pPr>
              <w:keepNext w:val="0"/>
              <w:keepLines w:val="0"/>
              <w:suppressLineNumbers w:val="0"/>
              <w:adjustRightInd w:val="0"/>
              <w:snapToGrid w:val="0"/>
              <w:spacing w:before="0" w:beforeAutospacing="0" w:after="0" w:afterAutospacing="0" w:line="400" w:lineRule="exact"/>
              <w:ind w:left="0" w:right="0"/>
              <w:jc w:val="center"/>
              <w:rPr>
                <w:rFonts w:hint="default" w:ascii="Times New Roman" w:hAnsi="Times New Roman" w:cs="Times New Roman"/>
                <w:b w:val="0"/>
                <w:bCs/>
                <w:color w:val="auto"/>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玻璃微珠生产线受料仓设置集气罩（</w:t>
            </w:r>
            <w:r>
              <w:rPr>
                <w:rFonts w:hint="eastAsia" w:ascii="Times New Roman" w:hAnsi="Times New Roman" w:eastAsia="宋体" w:cs="Times New Roman"/>
                <w:color w:val="auto"/>
                <w:highlight w:val="none"/>
              </w:rPr>
              <w:t>进料口三侧封闭、顶部集气，进料一侧设置软帘</w:t>
            </w:r>
            <w:r>
              <w:rPr>
                <w:rFonts w:hint="eastAsia" w:ascii="Times New Roman" w:hAnsi="Times New Roman" w:eastAsia="宋体" w:cs="Times New Roman"/>
                <w:color w:val="auto"/>
                <w:kern w:val="2"/>
                <w:sz w:val="21"/>
                <w:szCs w:val="21"/>
                <w:highlight w:val="none"/>
                <w:lang w:val="en-US" w:eastAsia="zh-CN" w:bidi="ar-SA"/>
              </w:rPr>
              <w:t>），筛分机设置密闭集气罩，经收集后进入1套布袋除尘器，经处理后经15m高的排气筒（DA002）排放</w:t>
            </w:r>
          </w:p>
        </w:tc>
        <w:tc>
          <w:tcPr>
            <w:tcW w:w="2043" w:type="dxa"/>
            <w:vMerge w:val="continue"/>
            <w:noWrap w:val="0"/>
            <w:vAlign w:val="center"/>
          </w:tcPr>
          <w:p w14:paraId="6B3560BE">
            <w:pPr>
              <w:keepNext w:val="0"/>
              <w:keepLines w:val="0"/>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color w:val="auto"/>
                <w:szCs w:val="21"/>
                <w:highlight w:val="none"/>
                <w:lang w:eastAsia="zh-CN"/>
              </w:rPr>
            </w:pPr>
          </w:p>
        </w:tc>
      </w:tr>
      <w:tr w14:paraId="72D52E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99" w:type="dxa"/>
            <w:vMerge w:val="continue"/>
            <w:noWrap w:val="0"/>
            <w:vAlign w:val="center"/>
          </w:tcPr>
          <w:p w14:paraId="6509AF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p>
        </w:tc>
        <w:tc>
          <w:tcPr>
            <w:tcW w:w="1781" w:type="dxa"/>
            <w:noWrap w:val="0"/>
            <w:vAlign w:val="center"/>
          </w:tcPr>
          <w:p w14:paraId="45073E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厂界无组织</w:t>
            </w:r>
          </w:p>
        </w:tc>
        <w:tc>
          <w:tcPr>
            <w:tcW w:w="958" w:type="dxa"/>
            <w:noWrap w:val="0"/>
            <w:vAlign w:val="center"/>
          </w:tcPr>
          <w:p w14:paraId="7F1003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颗粒物</w:t>
            </w:r>
          </w:p>
        </w:tc>
        <w:tc>
          <w:tcPr>
            <w:tcW w:w="2538" w:type="dxa"/>
            <w:noWrap w:val="0"/>
            <w:vAlign w:val="center"/>
          </w:tcPr>
          <w:p w14:paraId="61BD33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建设全封闭原料库</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成品库</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生产工序置于全封闭车间内</w:t>
            </w:r>
          </w:p>
        </w:tc>
        <w:tc>
          <w:tcPr>
            <w:tcW w:w="2043" w:type="dxa"/>
            <w:vMerge w:val="continue"/>
            <w:noWrap w:val="0"/>
            <w:vAlign w:val="center"/>
          </w:tcPr>
          <w:p w14:paraId="05FF88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p>
        </w:tc>
      </w:tr>
      <w:tr w14:paraId="2CC9B3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99" w:type="dxa"/>
            <w:vMerge w:val="restart"/>
            <w:noWrap w:val="0"/>
            <w:vAlign w:val="center"/>
          </w:tcPr>
          <w:p w14:paraId="66AE5A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地表水环境</w:t>
            </w:r>
          </w:p>
        </w:tc>
        <w:tc>
          <w:tcPr>
            <w:tcW w:w="1781" w:type="dxa"/>
            <w:noWrap w:val="0"/>
            <w:vAlign w:val="center"/>
          </w:tcPr>
          <w:p w14:paraId="7A0DB5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循环冷却水</w:t>
            </w:r>
          </w:p>
        </w:tc>
        <w:tc>
          <w:tcPr>
            <w:tcW w:w="958" w:type="dxa"/>
            <w:noWrap w:val="0"/>
            <w:vAlign w:val="center"/>
          </w:tcPr>
          <w:p w14:paraId="186AE4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宋体"/>
                <w:color w:val="auto"/>
                <w:kern w:val="2"/>
                <w:sz w:val="21"/>
                <w:szCs w:val="21"/>
                <w:highlight w:val="none"/>
                <w:lang w:val="en-US" w:eastAsia="zh-CN" w:bidi="ar-SA"/>
              </w:rPr>
            </w:pPr>
            <w:r>
              <w:rPr>
                <w:rFonts w:hint="default" w:ascii="Times New Roman" w:hAnsi="Times New Roman" w:eastAsia="TimesNewRomanPSMT" w:cs="Times New Roman"/>
                <w:color w:val="auto"/>
                <w:kern w:val="0"/>
                <w:szCs w:val="21"/>
                <w:highlight w:val="none"/>
                <w:lang w:bidi="ar"/>
              </w:rPr>
              <w:t>COD</w:t>
            </w:r>
            <w:r>
              <w:rPr>
                <w:rFonts w:hint="default" w:ascii="Times New Roman" w:hAnsi="Times New Roman" w:eastAsia="TimesNewRomanPSMT" w:cs="Times New Roman"/>
                <w:color w:val="auto"/>
                <w:kern w:val="0"/>
                <w:szCs w:val="21"/>
                <w:highlight w:val="none"/>
                <w:vertAlign w:val="subscript"/>
                <w:lang w:bidi="ar"/>
              </w:rPr>
              <w:t>Cr</w:t>
            </w:r>
            <w:r>
              <w:rPr>
                <w:rFonts w:hint="default" w:ascii="Times New Roman" w:hAnsi="Times New Roman" w:eastAsia="TimesNewRomanPSMT" w:cs="Times New Roman"/>
                <w:color w:val="auto"/>
                <w:kern w:val="0"/>
                <w:szCs w:val="21"/>
                <w:highlight w:val="none"/>
                <w:lang w:bidi="ar"/>
              </w:rPr>
              <w:t>、NH</w:t>
            </w:r>
            <w:r>
              <w:rPr>
                <w:rFonts w:hint="default" w:ascii="Times New Roman" w:hAnsi="Times New Roman" w:eastAsia="TimesNewRomanPSMT" w:cs="Times New Roman"/>
                <w:color w:val="auto"/>
                <w:kern w:val="0"/>
                <w:szCs w:val="21"/>
                <w:highlight w:val="none"/>
                <w:vertAlign w:val="subscript"/>
                <w:lang w:bidi="ar"/>
              </w:rPr>
              <w:t>3</w:t>
            </w:r>
            <w:r>
              <w:rPr>
                <w:rFonts w:hint="default" w:ascii="Times New Roman" w:hAnsi="Times New Roman" w:eastAsia="TimesNewRomanPSMT" w:cs="Times New Roman"/>
                <w:color w:val="auto"/>
                <w:kern w:val="0"/>
                <w:szCs w:val="21"/>
                <w:highlight w:val="none"/>
                <w:lang w:bidi="ar"/>
              </w:rPr>
              <w:t>-N、SS</w:t>
            </w:r>
          </w:p>
        </w:tc>
        <w:tc>
          <w:tcPr>
            <w:tcW w:w="2538" w:type="dxa"/>
            <w:noWrap w:val="0"/>
            <w:vAlign w:val="center"/>
          </w:tcPr>
          <w:p w14:paraId="589F4C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Cs w:val="21"/>
                <w:highlight w:val="none"/>
                <w:lang w:eastAsia="zh-CN"/>
              </w:rPr>
              <w:t>循环使用</w:t>
            </w:r>
          </w:p>
        </w:tc>
        <w:tc>
          <w:tcPr>
            <w:tcW w:w="2043" w:type="dxa"/>
            <w:noWrap w:val="0"/>
            <w:vAlign w:val="center"/>
          </w:tcPr>
          <w:p w14:paraId="62098D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7EA8A1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99" w:type="dxa"/>
            <w:vMerge w:val="continue"/>
            <w:noWrap w:val="0"/>
            <w:vAlign w:val="center"/>
          </w:tcPr>
          <w:p w14:paraId="0B9BD6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p>
        </w:tc>
        <w:tc>
          <w:tcPr>
            <w:tcW w:w="1781" w:type="dxa"/>
            <w:noWrap w:val="0"/>
            <w:vAlign w:val="center"/>
          </w:tcPr>
          <w:p w14:paraId="38B647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rPr>
              <w:t>生活污水</w:t>
            </w:r>
          </w:p>
        </w:tc>
        <w:tc>
          <w:tcPr>
            <w:tcW w:w="958" w:type="dxa"/>
            <w:noWrap w:val="0"/>
            <w:vAlign w:val="center"/>
          </w:tcPr>
          <w:p w14:paraId="604F30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2"/>
                <w:sz w:val="21"/>
                <w:szCs w:val="21"/>
                <w:highlight w:val="none"/>
                <w:lang w:val="en-US" w:eastAsia="zh-CN" w:bidi="ar-SA"/>
              </w:rPr>
            </w:pPr>
            <w:r>
              <w:rPr>
                <w:rFonts w:hint="eastAsia" w:ascii="Times New Roman" w:hAnsi="Times New Roman" w:cs="宋体"/>
                <w:color w:val="auto"/>
                <w:sz w:val="21"/>
                <w:szCs w:val="21"/>
                <w:highlight w:val="none"/>
                <w:lang w:val="en-US" w:eastAsia="zh-CN"/>
              </w:rPr>
              <w:t>SS、COD等</w:t>
            </w:r>
          </w:p>
        </w:tc>
        <w:tc>
          <w:tcPr>
            <w:tcW w:w="2538" w:type="dxa"/>
            <w:noWrap w:val="0"/>
            <w:vAlign w:val="center"/>
          </w:tcPr>
          <w:p w14:paraId="619C83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sz w:val="21"/>
                <w:szCs w:val="21"/>
                <w:highlight w:val="none"/>
                <w:lang w:val="en-US" w:eastAsia="zh-CN"/>
              </w:rPr>
              <w:t>用于厂区增湿抑尘，不外排</w:t>
            </w:r>
          </w:p>
        </w:tc>
        <w:tc>
          <w:tcPr>
            <w:tcW w:w="2043" w:type="dxa"/>
            <w:noWrap w:val="0"/>
            <w:vAlign w:val="center"/>
          </w:tcPr>
          <w:p w14:paraId="426000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r>
      <w:tr w14:paraId="700A1F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99" w:type="dxa"/>
            <w:vMerge w:val="continue"/>
            <w:noWrap w:val="0"/>
            <w:vAlign w:val="center"/>
          </w:tcPr>
          <w:p w14:paraId="7DFC25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p>
        </w:tc>
        <w:tc>
          <w:tcPr>
            <w:tcW w:w="1781" w:type="dxa"/>
            <w:noWrap w:val="0"/>
            <w:vAlign w:val="center"/>
          </w:tcPr>
          <w:p w14:paraId="73DB1A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初期雨水</w:t>
            </w:r>
          </w:p>
        </w:tc>
        <w:tc>
          <w:tcPr>
            <w:tcW w:w="958" w:type="dxa"/>
            <w:noWrap w:val="0"/>
            <w:vAlign w:val="center"/>
          </w:tcPr>
          <w:p w14:paraId="67991B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sz w:val="21"/>
                <w:szCs w:val="21"/>
                <w:highlight w:val="none"/>
                <w:lang w:val="en-US" w:eastAsia="zh-CN"/>
              </w:rPr>
              <w:t>SS</w:t>
            </w:r>
          </w:p>
        </w:tc>
        <w:tc>
          <w:tcPr>
            <w:tcW w:w="2538" w:type="dxa"/>
            <w:noWrap w:val="0"/>
            <w:vAlign w:val="center"/>
          </w:tcPr>
          <w:p w14:paraId="004DE9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位于厂区地势最低处容积为</w:t>
            </w:r>
            <w:r>
              <w:rPr>
                <w:rFonts w:hint="eastAsia" w:ascii="Times New Roman" w:hAnsi="Times New Roman" w:eastAsia="宋体"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vertAlign w:val="baseline"/>
                <w:lang w:val="en-US" w:eastAsia="zh-CN"/>
              </w:rPr>
              <w:t>的初期雨水收集池，沉淀后均用于厂区洒水抑尘，不外排</w:t>
            </w:r>
          </w:p>
        </w:tc>
        <w:tc>
          <w:tcPr>
            <w:tcW w:w="2043" w:type="dxa"/>
            <w:noWrap w:val="0"/>
            <w:vAlign w:val="center"/>
          </w:tcPr>
          <w:p w14:paraId="52A437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r>
      <w:tr w14:paraId="1CDAD9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199" w:type="dxa"/>
            <w:noWrap w:val="0"/>
            <w:vAlign w:val="center"/>
          </w:tcPr>
          <w:p w14:paraId="0BCCDD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声环境</w:t>
            </w:r>
          </w:p>
        </w:tc>
        <w:tc>
          <w:tcPr>
            <w:tcW w:w="1781" w:type="dxa"/>
            <w:noWrap w:val="0"/>
            <w:vAlign w:val="center"/>
          </w:tcPr>
          <w:p w14:paraId="45CD67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生产设备</w:t>
            </w:r>
          </w:p>
        </w:tc>
        <w:tc>
          <w:tcPr>
            <w:tcW w:w="958" w:type="dxa"/>
            <w:noWrap w:val="0"/>
            <w:vAlign w:val="center"/>
          </w:tcPr>
          <w:p w14:paraId="20BAE9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噪声</w:t>
            </w:r>
          </w:p>
        </w:tc>
        <w:tc>
          <w:tcPr>
            <w:tcW w:w="2538" w:type="dxa"/>
            <w:noWrap w:val="0"/>
            <w:vAlign w:val="center"/>
          </w:tcPr>
          <w:p w14:paraId="24D05C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选用低噪声设备，并置于封闭生产车间内，采用基础减振处理等方式进行减振降噪</w:t>
            </w:r>
          </w:p>
        </w:tc>
        <w:tc>
          <w:tcPr>
            <w:tcW w:w="2043" w:type="dxa"/>
            <w:noWrap w:val="0"/>
            <w:vAlign w:val="center"/>
          </w:tcPr>
          <w:p w14:paraId="3ECB22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《工业企业厂界环境噪声排放标准》（GB12348-2008）</w:t>
            </w:r>
          </w:p>
          <w:p w14:paraId="086A78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类标准</w:t>
            </w:r>
          </w:p>
        </w:tc>
      </w:tr>
      <w:tr w14:paraId="1DD4BA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99" w:type="dxa"/>
            <w:noWrap w:val="0"/>
            <w:vAlign w:val="center"/>
          </w:tcPr>
          <w:p w14:paraId="6879F2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电磁辐射</w:t>
            </w:r>
          </w:p>
        </w:tc>
        <w:tc>
          <w:tcPr>
            <w:tcW w:w="7320" w:type="dxa"/>
            <w:gridSpan w:val="4"/>
            <w:noWrap w:val="0"/>
            <w:vAlign w:val="center"/>
          </w:tcPr>
          <w:p w14:paraId="452AF6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本项目不涉及电磁辐射</w:t>
            </w:r>
          </w:p>
        </w:tc>
      </w:tr>
      <w:tr w14:paraId="1864F5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7" w:hRule="atLeast"/>
          <w:jc w:val="center"/>
        </w:trPr>
        <w:tc>
          <w:tcPr>
            <w:tcW w:w="1199" w:type="dxa"/>
            <w:noWrap w:val="0"/>
            <w:vAlign w:val="center"/>
          </w:tcPr>
          <w:p w14:paraId="507AE3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固体废物</w:t>
            </w:r>
          </w:p>
        </w:tc>
        <w:tc>
          <w:tcPr>
            <w:tcW w:w="7320" w:type="dxa"/>
            <w:gridSpan w:val="4"/>
            <w:noWrap w:val="0"/>
            <w:vAlign w:val="center"/>
          </w:tcPr>
          <w:p w14:paraId="73E886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2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sz w:val="21"/>
                <w:szCs w:val="21"/>
                <w:highlight w:val="none"/>
              </w:rPr>
              <w:t>本项目运营期一般固体废物主要有布袋除尘器除尘灰</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筛分废料</w:t>
            </w:r>
            <w:r>
              <w:rPr>
                <w:rFonts w:hint="default" w:ascii="Times New Roman" w:hAnsi="Times New Roman" w:cs="Times New Roman"/>
                <w:color w:val="auto"/>
                <w:sz w:val="21"/>
                <w:szCs w:val="21"/>
                <w:highlight w:val="none"/>
              </w:rPr>
              <w:t>、办公生活垃圾</w:t>
            </w:r>
            <w:r>
              <w:rPr>
                <w:rFonts w:hint="default" w:ascii="Times New Roman" w:hAnsi="Times New Roman" w:cs="Times New Roman"/>
                <w:color w:val="auto"/>
                <w:sz w:val="21"/>
                <w:szCs w:val="21"/>
                <w:highlight w:val="none"/>
                <w:lang w:val="en-US" w:eastAsia="zh-CN"/>
              </w:rPr>
              <w:t>以及</w:t>
            </w:r>
            <w:r>
              <w:rPr>
                <w:rFonts w:hint="default" w:ascii="Times New Roman" w:hAnsi="Times New Roman" w:cs="Times New Roman"/>
                <w:color w:val="auto"/>
                <w:sz w:val="21"/>
                <w:szCs w:val="21"/>
                <w:highlight w:val="none"/>
              </w:rPr>
              <w:t>设备运行产生的废矿物油、废油桶</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废含油手套和棉纱</w:t>
            </w:r>
            <w:r>
              <w:rPr>
                <w:rFonts w:hint="eastAsia" w:cs="Times New Roman"/>
                <w:color w:val="auto"/>
                <w:sz w:val="21"/>
                <w:szCs w:val="21"/>
                <w:highlight w:val="none"/>
                <w:lang w:val="en-US" w:eastAsia="zh-CN"/>
              </w:rPr>
              <w:t>、废催化剂</w:t>
            </w:r>
            <w:r>
              <w:rPr>
                <w:rFonts w:hint="default" w:ascii="Times New Roman" w:hAnsi="Times New Roman" w:cs="Times New Roman"/>
                <w:color w:val="auto"/>
                <w:sz w:val="21"/>
                <w:szCs w:val="21"/>
                <w:highlight w:val="none"/>
              </w:rPr>
              <w:t>等。布袋除尘器除尘灰</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筛分废料</w:t>
            </w:r>
            <w:r>
              <w:rPr>
                <w:rFonts w:hint="default" w:ascii="Times New Roman" w:hAnsi="Times New Roman" w:cs="Times New Roman"/>
                <w:color w:val="auto"/>
                <w:sz w:val="21"/>
                <w:szCs w:val="21"/>
                <w:highlight w:val="none"/>
              </w:rPr>
              <w:t>经收集后</w:t>
            </w:r>
            <w:r>
              <w:rPr>
                <w:rFonts w:hint="eastAsia" w:cs="Times New Roman"/>
                <w:color w:val="auto"/>
                <w:sz w:val="21"/>
                <w:szCs w:val="21"/>
                <w:highlight w:val="none"/>
                <w:lang w:val="en-US" w:eastAsia="zh-CN"/>
              </w:rPr>
              <w:t>回用于生产</w:t>
            </w:r>
            <w:r>
              <w:rPr>
                <w:rFonts w:hint="default" w:ascii="Times New Roman" w:hAnsi="Times New Roman" w:cs="Times New Roman"/>
                <w:color w:val="auto"/>
                <w:sz w:val="21"/>
                <w:szCs w:val="21"/>
                <w:highlight w:val="none"/>
              </w:rPr>
              <w:t>；厂区内及办公室设置生活垃圾箱，收集后运至环卫部门指定地点</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危险废物废矿物油</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废油桶、废含油手套和棉纱</w:t>
            </w:r>
            <w:r>
              <w:rPr>
                <w:rFonts w:hint="eastAsia" w:cs="Times New Roman"/>
                <w:color w:val="auto"/>
                <w:sz w:val="21"/>
                <w:szCs w:val="21"/>
                <w:highlight w:val="none"/>
                <w:lang w:val="en-US" w:eastAsia="zh-CN"/>
              </w:rPr>
              <w:t>、废催化剂</w:t>
            </w:r>
            <w:r>
              <w:rPr>
                <w:rFonts w:hint="default" w:ascii="Times New Roman" w:hAnsi="Times New Roman" w:cs="Times New Roman"/>
                <w:color w:val="auto"/>
                <w:sz w:val="21"/>
                <w:szCs w:val="21"/>
                <w:highlight w:val="none"/>
              </w:rPr>
              <w:t>等危废经收集后暂存于</w:t>
            </w:r>
            <w:r>
              <w:rPr>
                <w:rFonts w:hint="default" w:ascii="Times New Roman" w:hAnsi="Times New Roman" w:cs="Times New Roman"/>
                <w:color w:val="auto"/>
                <w:sz w:val="21"/>
                <w:szCs w:val="21"/>
                <w:highlight w:val="none"/>
                <w:lang w:eastAsia="zh-CN"/>
              </w:rPr>
              <w:t>危废贮存点（</w:t>
            </w:r>
            <w:r>
              <w:rPr>
                <w:rFonts w:hint="eastAsia" w:ascii="Times New Roman" w:hAnsi="Times New Roman" w:cs="Times New Roman"/>
                <w:color w:val="auto"/>
                <w:sz w:val="21"/>
                <w:szCs w:val="21"/>
                <w:highlight w:val="none"/>
                <w:lang w:val="en-US" w:eastAsia="zh-CN"/>
              </w:rPr>
              <w:t>10</w:t>
            </w:r>
            <w:r>
              <w:rPr>
                <w:rFonts w:hint="default" w:ascii="Times New Roman" w:hAnsi="Times New Roman" w:cs="Times New Roman"/>
                <w:color w:val="auto"/>
                <w:sz w:val="21"/>
                <w:szCs w:val="21"/>
                <w:highlight w:val="none"/>
                <w:lang w:val="en-US" w:eastAsia="zh-CN"/>
              </w:rPr>
              <w:t>m</w:t>
            </w:r>
            <w:r>
              <w:rPr>
                <w:rFonts w:hint="default" w:ascii="Times New Roman" w:hAnsi="Times New Roman" w:cs="Times New Roman"/>
                <w:color w:val="auto"/>
                <w:sz w:val="21"/>
                <w:szCs w:val="21"/>
                <w:highlight w:val="none"/>
                <w:vertAlign w:val="superscript"/>
                <w:lang w:val="en-US" w:eastAsia="zh-CN"/>
              </w:rPr>
              <w:t>2</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定期</w:t>
            </w:r>
            <w:r>
              <w:rPr>
                <w:rFonts w:hint="default" w:ascii="Times New Roman" w:hAnsi="Times New Roman" w:cs="Times New Roman"/>
                <w:color w:val="auto"/>
                <w:sz w:val="21"/>
                <w:szCs w:val="21"/>
                <w:highlight w:val="none"/>
              </w:rPr>
              <w:t>交由有资质单位处置。</w:t>
            </w:r>
          </w:p>
        </w:tc>
      </w:tr>
      <w:tr w14:paraId="02AB69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3" w:hRule="atLeast"/>
          <w:jc w:val="center"/>
        </w:trPr>
        <w:tc>
          <w:tcPr>
            <w:tcW w:w="1199" w:type="dxa"/>
            <w:noWrap w:val="0"/>
            <w:vAlign w:val="center"/>
          </w:tcPr>
          <w:p w14:paraId="0B5282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土壤及地下水污染防治措施</w:t>
            </w:r>
          </w:p>
        </w:tc>
        <w:tc>
          <w:tcPr>
            <w:tcW w:w="7320" w:type="dxa"/>
            <w:gridSpan w:val="4"/>
            <w:noWrap w:val="0"/>
            <w:vAlign w:val="center"/>
          </w:tcPr>
          <w:p w14:paraId="4E4494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20" w:firstLineChars="200"/>
              <w:jc w:val="both"/>
              <w:textAlignment w:val="auto"/>
              <w:rPr>
                <w:rFonts w:hint="default" w:ascii="Times New Roman" w:hAnsi="Times New Roman" w:cs="Times New Roman"/>
                <w:color w:val="auto"/>
                <w:highlight w:val="none"/>
              </w:rPr>
            </w:pPr>
            <w:r>
              <w:rPr>
                <w:rFonts w:hint="eastAsia" w:ascii="宋体" w:hAnsi="宋体" w:cs="宋体"/>
                <w:color w:val="auto"/>
                <w:sz w:val="21"/>
                <w:szCs w:val="21"/>
                <w:highlight w:val="none"/>
              </w:rPr>
              <w:t>厂区进行分区防渗，同时加强车间地面维护工作，防止地面出现裂缝等，降低污染物入渗对土壤和地下水环境的影响。</w:t>
            </w:r>
          </w:p>
        </w:tc>
      </w:tr>
      <w:tr w14:paraId="4504CA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9" w:type="dxa"/>
            <w:noWrap w:val="0"/>
            <w:vAlign w:val="center"/>
          </w:tcPr>
          <w:p w14:paraId="65639C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生态保护措施</w:t>
            </w:r>
          </w:p>
        </w:tc>
        <w:tc>
          <w:tcPr>
            <w:tcW w:w="7320" w:type="dxa"/>
            <w:gridSpan w:val="4"/>
            <w:noWrap w:val="0"/>
            <w:vAlign w:val="center"/>
          </w:tcPr>
          <w:p w14:paraId="2685A5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20" w:firstLineChars="200"/>
              <w:jc w:val="both"/>
              <w:textAlignment w:val="auto"/>
              <w:rPr>
                <w:rFonts w:hint="default" w:ascii="宋体" w:hAnsi="宋体" w:eastAsia="宋体" w:cs="宋体"/>
                <w:color w:val="auto"/>
                <w:sz w:val="21"/>
                <w:szCs w:val="21"/>
                <w:highlight w:val="none"/>
                <w:lang w:val="en-US" w:eastAsia="zh-CN"/>
              </w:rPr>
            </w:pPr>
            <w:r>
              <w:rPr>
                <w:rFonts w:hint="eastAsia" w:cs="Times New Roman"/>
                <w:bCs/>
                <w:color w:val="auto"/>
                <w:sz w:val="21"/>
                <w:szCs w:val="21"/>
                <w:highlight w:val="none"/>
                <w:lang w:val="en-US" w:eastAsia="zh-CN"/>
              </w:rPr>
              <w:t>绿化面积50m</w:t>
            </w:r>
            <w:r>
              <w:rPr>
                <w:rFonts w:hint="eastAsia" w:cs="Times New Roman"/>
                <w:bCs/>
                <w:color w:val="auto"/>
                <w:sz w:val="21"/>
                <w:szCs w:val="21"/>
                <w:highlight w:val="none"/>
                <w:vertAlign w:val="superscript"/>
                <w:lang w:val="en-US" w:eastAsia="zh-CN"/>
              </w:rPr>
              <w:t>2</w:t>
            </w:r>
          </w:p>
        </w:tc>
      </w:tr>
      <w:tr w14:paraId="112BD0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81" w:hRule="atLeast"/>
          <w:jc w:val="center"/>
        </w:trPr>
        <w:tc>
          <w:tcPr>
            <w:tcW w:w="1199" w:type="dxa"/>
            <w:noWrap w:val="0"/>
            <w:vAlign w:val="center"/>
          </w:tcPr>
          <w:p w14:paraId="61851F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pacing w:val="-8"/>
                <w:sz w:val="21"/>
                <w:szCs w:val="21"/>
                <w:highlight w:val="none"/>
              </w:rPr>
            </w:pPr>
            <w:r>
              <w:rPr>
                <w:rFonts w:hint="eastAsia" w:ascii="宋体" w:hAnsi="宋体" w:cs="宋体"/>
                <w:color w:val="auto"/>
                <w:spacing w:val="-8"/>
                <w:sz w:val="21"/>
                <w:szCs w:val="21"/>
                <w:highlight w:val="none"/>
              </w:rPr>
              <w:t>环境风险</w:t>
            </w:r>
          </w:p>
          <w:p w14:paraId="1857BE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pacing w:val="-8"/>
                <w:sz w:val="21"/>
                <w:szCs w:val="21"/>
                <w:highlight w:val="none"/>
              </w:rPr>
            </w:pPr>
            <w:r>
              <w:rPr>
                <w:rFonts w:hint="eastAsia" w:ascii="宋体" w:hAnsi="宋体" w:cs="宋体"/>
                <w:color w:val="auto"/>
                <w:spacing w:val="-8"/>
                <w:sz w:val="21"/>
                <w:szCs w:val="21"/>
                <w:highlight w:val="none"/>
              </w:rPr>
              <w:t>防范措施</w:t>
            </w:r>
          </w:p>
        </w:tc>
        <w:tc>
          <w:tcPr>
            <w:tcW w:w="7320" w:type="dxa"/>
            <w:gridSpan w:val="4"/>
            <w:noWrap w:val="0"/>
            <w:vAlign w:val="center"/>
          </w:tcPr>
          <w:p w14:paraId="7A5EA46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pacing w:val="0"/>
                <w:kern w:val="2"/>
                <w:sz w:val="21"/>
                <w:szCs w:val="21"/>
                <w:highlight w:val="none"/>
                <w:lang w:val="en-US" w:eastAsia="zh-CN" w:bidi="ar-SA"/>
              </w:rPr>
              <w:t>本项目风险物质为</w:t>
            </w:r>
            <w:r>
              <w:rPr>
                <w:rFonts w:hint="eastAsia" w:ascii="Times New Roman" w:hAnsi="Times New Roman" w:eastAsia="宋体" w:cs="Times New Roman"/>
                <w:color w:val="auto"/>
                <w:spacing w:val="0"/>
                <w:kern w:val="2"/>
                <w:sz w:val="21"/>
                <w:szCs w:val="21"/>
                <w:highlight w:val="none"/>
                <w:lang w:val="en-US" w:eastAsia="zh-CN" w:bidi="ar-SA"/>
              </w:rPr>
              <w:t>矿物油、</w:t>
            </w:r>
            <w:r>
              <w:rPr>
                <w:rFonts w:hint="eastAsia" w:ascii="Times New Roman" w:hAnsi="Times New Roman" w:cs="Times New Roman"/>
                <w:color w:val="auto"/>
                <w:spacing w:val="0"/>
                <w:kern w:val="2"/>
                <w:sz w:val="21"/>
                <w:szCs w:val="21"/>
                <w:highlight w:val="none"/>
                <w:lang w:val="en-US" w:eastAsia="zh-CN" w:bidi="ar-SA"/>
              </w:rPr>
              <w:t>废矿物油</w:t>
            </w:r>
            <w:r>
              <w:rPr>
                <w:rFonts w:hint="default" w:ascii="Times New Roman" w:hAnsi="Times New Roman" w:eastAsia="宋体" w:cs="Times New Roman"/>
                <w:color w:val="auto"/>
                <w:spacing w:val="0"/>
                <w:kern w:val="2"/>
                <w:sz w:val="21"/>
                <w:szCs w:val="21"/>
                <w:highlight w:val="none"/>
                <w:lang w:val="en-US" w:eastAsia="zh-CN" w:bidi="ar-SA"/>
              </w:rPr>
              <w:t>，储量较小，且桶装</w:t>
            </w:r>
            <w:r>
              <w:rPr>
                <w:rFonts w:hint="eastAsia" w:ascii="Times New Roman" w:hAnsi="Times New Roman" w:eastAsia="宋体" w:cs="Times New Roman"/>
                <w:color w:val="auto"/>
                <w:spacing w:val="0"/>
                <w:kern w:val="2"/>
                <w:sz w:val="21"/>
                <w:szCs w:val="21"/>
                <w:highlight w:val="none"/>
                <w:lang w:val="en-US" w:eastAsia="zh-CN" w:bidi="ar-SA"/>
              </w:rPr>
              <w:t>，矿物油</w:t>
            </w:r>
            <w:r>
              <w:rPr>
                <w:rFonts w:hint="default" w:ascii="Times New Roman" w:hAnsi="Times New Roman" w:eastAsia="宋体" w:cs="Times New Roman"/>
                <w:color w:val="auto"/>
                <w:spacing w:val="0"/>
                <w:kern w:val="2"/>
                <w:sz w:val="21"/>
                <w:szCs w:val="21"/>
                <w:highlight w:val="none"/>
                <w:lang w:val="en-US" w:eastAsia="zh-CN" w:bidi="ar-SA"/>
              </w:rPr>
              <w:t>储存于</w:t>
            </w:r>
            <w:r>
              <w:rPr>
                <w:rFonts w:hint="eastAsia" w:ascii="Times New Roman" w:hAnsi="Times New Roman" w:eastAsia="宋体" w:cs="Times New Roman"/>
                <w:color w:val="auto"/>
                <w:spacing w:val="0"/>
                <w:kern w:val="2"/>
                <w:sz w:val="21"/>
                <w:szCs w:val="21"/>
                <w:highlight w:val="none"/>
                <w:lang w:val="en-US" w:eastAsia="zh-CN" w:bidi="ar-SA"/>
              </w:rPr>
              <w:t>库房、废矿物油储存于</w:t>
            </w:r>
            <w:r>
              <w:rPr>
                <w:rFonts w:hint="eastAsia" w:ascii="Times New Roman" w:hAnsi="Times New Roman" w:cs="Times New Roman"/>
                <w:color w:val="auto"/>
                <w:spacing w:val="0"/>
                <w:kern w:val="2"/>
                <w:sz w:val="21"/>
                <w:szCs w:val="21"/>
                <w:highlight w:val="none"/>
                <w:lang w:val="en-US" w:eastAsia="zh-CN" w:bidi="ar-SA"/>
              </w:rPr>
              <w:t>危废贮存点</w:t>
            </w:r>
            <w:r>
              <w:rPr>
                <w:rFonts w:hint="default" w:ascii="Times New Roman" w:hAnsi="Times New Roman" w:eastAsia="宋体" w:cs="Times New Roman"/>
                <w:color w:val="auto"/>
                <w:spacing w:val="0"/>
                <w:kern w:val="2"/>
                <w:sz w:val="21"/>
                <w:szCs w:val="21"/>
                <w:highlight w:val="none"/>
                <w:lang w:val="en-US" w:eastAsia="zh-CN" w:bidi="ar-SA"/>
              </w:rPr>
              <w:t>内，严格按照</w:t>
            </w:r>
            <w:r>
              <w:rPr>
                <w:rFonts w:hint="default" w:ascii="Times New Roman" w:hAnsi="Times New Roman" w:eastAsia="宋体" w:cs="Times New Roman"/>
                <w:color w:val="auto"/>
                <w:sz w:val="21"/>
                <w:szCs w:val="21"/>
                <w:highlight w:val="none"/>
              </w:rPr>
              <w:t>《危险废物贮存污染控制标准》（GB18597-20</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pacing w:val="0"/>
                <w:kern w:val="2"/>
                <w:sz w:val="21"/>
                <w:szCs w:val="21"/>
                <w:highlight w:val="none"/>
                <w:lang w:val="en-US" w:eastAsia="zh-CN" w:bidi="ar-SA"/>
              </w:rPr>
              <w:t>及《</w:t>
            </w:r>
            <w:r>
              <w:rPr>
                <w:rFonts w:hint="default" w:ascii="Times New Roman" w:hAnsi="Times New Roman" w:eastAsia="宋体" w:cs="Times New Roman"/>
                <w:b w:val="0"/>
                <w:bCs/>
                <w:i w:val="0"/>
                <w:iCs w:val="0"/>
                <w:caps w:val="0"/>
                <w:color w:val="auto"/>
                <w:spacing w:val="0"/>
                <w:sz w:val="21"/>
                <w:szCs w:val="21"/>
                <w:highlight w:val="none"/>
                <w:shd w:val="clear" w:color="auto" w:fill="auto"/>
              </w:rPr>
              <w:t>危险废物转移管理办法</w:t>
            </w:r>
            <w:r>
              <w:rPr>
                <w:rFonts w:hint="default" w:ascii="Times New Roman" w:hAnsi="Times New Roman" w:eastAsia="宋体" w:cs="Times New Roman"/>
                <w:color w:val="auto"/>
                <w:spacing w:val="0"/>
                <w:kern w:val="2"/>
                <w:sz w:val="21"/>
                <w:szCs w:val="21"/>
                <w:highlight w:val="none"/>
                <w:lang w:val="en-US" w:eastAsia="zh-CN" w:bidi="ar-SA"/>
              </w:rPr>
              <w:t>》</w:t>
            </w:r>
            <w:r>
              <w:rPr>
                <w:rFonts w:hint="eastAsia" w:ascii="Times New Roman" w:hAnsi="Times New Roman" w:eastAsia="宋体" w:cs="Times New Roman"/>
                <w:color w:val="auto"/>
                <w:spacing w:val="0"/>
                <w:kern w:val="2"/>
                <w:sz w:val="21"/>
                <w:szCs w:val="21"/>
                <w:highlight w:val="none"/>
                <w:lang w:val="en-US" w:eastAsia="zh-CN" w:bidi="ar-SA"/>
              </w:rPr>
              <w:t>（</w:t>
            </w:r>
            <w:r>
              <w:rPr>
                <w:rFonts w:hint="default" w:ascii="Times New Roman" w:hAnsi="Times New Roman" w:eastAsia="宋体" w:cs="Times New Roman"/>
                <w:b w:val="0"/>
                <w:bCs/>
                <w:i w:val="0"/>
                <w:iCs w:val="0"/>
                <w:caps w:val="0"/>
                <w:color w:val="auto"/>
                <w:spacing w:val="0"/>
                <w:sz w:val="21"/>
                <w:szCs w:val="21"/>
                <w:highlight w:val="none"/>
                <w:shd w:val="clear" w:color="auto" w:fill="auto"/>
              </w:rPr>
              <w:t>生态环境部、公安部、交通运输部令第23号</w:t>
            </w:r>
            <w:r>
              <w:rPr>
                <w:rFonts w:hint="default" w:ascii="Times New Roman" w:hAnsi="Times New Roman" w:eastAsia="宋体" w:cs="Times New Roman"/>
                <w:color w:val="auto"/>
                <w:spacing w:val="0"/>
                <w:kern w:val="2"/>
                <w:sz w:val="21"/>
                <w:szCs w:val="21"/>
                <w:highlight w:val="none"/>
                <w:lang w:val="en-US" w:eastAsia="zh-CN" w:bidi="ar-SA"/>
              </w:rPr>
              <w:t>）的相关要求，对项目产生的废矿物油进行贮存、管理和转运，对周围环境的风险影响较小。</w:t>
            </w:r>
          </w:p>
        </w:tc>
      </w:tr>
      <w:tr w14:paraId="6B5D85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9" w:hRule="atLeast"/>
          <w:jc w:val="center"/>
        </w:trPr>
        <w:tc>
          <w:tcPr>
            <w:tcW w:w="1199" w:type="dxa"/>
            <w:noWrap w:val="0"/>
            <w:vAlign w:val="center"/>
          </w:tcPr>
          <w:p w14:paraId="1257D9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pacing w:val="-8"/>
                <w:sz w:val="21"/>
                <w:szCs w:val="21"/>
                <w:highlight w:val="none"/>
              </w:rPr>
            </w:pPr>
            <w:r>
              <w:rPr>
                <w:rFonts w:hint="eastAsia" w:ascii="宋体" w:hAnsi="宋体" w:cs="宋体"/>
                <w:color w:val="auto"/>
                <w:spacing w:val="-8"/>
                <w:sz w:val="21"/>
                <w:szCs w:val="21"/>
                <w:highlight w:val="none"/>
              </w:rPr>
              <w:t>其他环境</w:t>
            </w:r>
          </w:p>
          <w:p w14:paraId="2BC242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宋体" w:hAnsi="宋体" w:cs="宋体"/>
                <w:color w:val="auto"/>
                <w:spacing w:val="-8"/>
                <w:sz w:val="21"/>
                <w:szCs w:val="21"/>
                <w:highlight w:val="none"/>
              </w:rPr>
            </w:pPr>
            <w:r>
              <w:rPr>
                <w:rFonts w:hint="eastAsia" w:ascii="宋体" w:hAnsi="宋体" w:cs="宋体"/>
                <w:color w:val="auto"/>
                <w:spacing w:val="-8"/>
                <w:sz w:val="21"/>
                <w:szCs w:val="21"/>
                <w:highlight w:val="none"/>
              </w:rPr>
              <w:t>管理要求</w:t>
            </w:r>
          </w:p>
        </w:tc>
        <w:tc>
          <w:tcPr>
            <w:tcW w:w="7320" w:type="dxa"/>
            <w:gridSpan w:val="4"/>
            <w:noWrap w:val="0"/>
            <w:vAlign w:val="center"/>
          </w:tcPr>
          <w:p w14:paraId="209527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20" w:firstLineChars="200"/>
              <w:textAlignment w:val="auto"/>
              <w:rPr>
                <w:rFonts w:hint="default" w:ascii="Times New Roman" w:hAnsi="Times New Roman" w:cs="Times New Roman"/>
                <w:color w:val="auto"/>
                <w:highlight w:val="none"/>
              </w:rPr>
            </w:pPr>
            <w:r>
              <w:rPr>
                <w:rFonts w:hint="eastAsia" w:ascii="宋体" w:hAnsi="宋体" w:cs="宋体"/>
                <w:color w:val="auto"/>
                <w:sz w:val="21"/>
                <w:szCs w:val="21"/>
                <w:highlight w:val="none"/>
              </w:rPr>
              <w:t>按照环境监测技术规范及</w:t>
            </w:r>
            <w:r>
              <w:rPr>
                <w:rFonts w:hint="eastAsia" w:ascii="宋体" w:hAnsi="宋体" w:cs="宋体"/>
                <w:color w:val="auto"/>
                <w:sz w:val="21"/>
                <w:szCs w:val="21"/>
                <w:highlight w:val="none"/>
                <w:lang w:eastAsia="zh-CN"/>
              </w:rPr>
              <w:t>生态环境部</w:t>
            </w:r>
            <w:r>
              <w:rPr>
                <w:rFonts w:hint="eastAsia" w:ascii="宋体" w:hAnsi="宋体" w:cs="宋体"/>
                <w:color w:val="auto"/>
                <w:sz w:val="21"/>
                <w:szCs w:val="21"/>
                <w:highlight w:val="none"/>
              </w:rPr>
              <w:t>颁布的监测标准、方法进行环境监测。另外企业设置环保管理专员，</w:t>
            </w:r>
            <w:r>
              <w:rPr>
                <w:rFonts w:hint="eastAsia" w:ascii="宋体" w:hAnsi="宋体" w:cs="宋体"/>
                <w:color w:val="auto"/>
                <w:sz w:val="21"/>
                <w:szCs w:val="21"/>
                <w:highlight w:val="none"/>
                <w:lang w:eastAsia="zh-CN"/>
              </w:rPr>
              <w:t>增强</w:t>
            </w:r>
            <w:r>
              <w:rPr>
                <w:rFonts w:hint="eastAsia" w:ascii="宋体" w:hAnsi="宋体" w:cs="宋体"/>
                <w:color w:val="auto"/>
                <w:sz w:val="21"/>
                <w:szCs w:val="21"/>
                <w:highlight w:val="none"/>
              </w:rPr>
              <w:t>员工环保意识，加强企业环保管理，</w:t>
            </w:r>
            <w:r>
              <w:rPr>
                <w:rFonts w:hint="eastAsia" w:ascii="宋体" w:hAnsi="宋体" w:cs="宋体"/>
                <w:color w:val="auto"/>
                <w:sz w:val="21"/>
                <w:szCs w:val="21"/>
                <w:highlight w:val="none"/>
                <w:lang w:val="en-US" w:eastAsia="zh-CN"/>
              </w:rPr>
              <w:t>认真</w:t>
            </w:r>
            <w:r>
              <w:rPr>
                <w:rFonts w:hint="eastAsia" w:ascii="宋体" w:hAnsi="宋体" w:cs="宋体"/>
                <w:color w:val="auto"/>
                <w:sz w:val="21"/>
                <w:szCs w:val="21"/>
                <w:highlight w:val="none"/>
              </w:rPr>
              <w:t>贯彻相关环保法律法规，进行清洁生产。</w:t>
            </w:r>
          </w:p>
        </w:tc>
      </w:tr>
    </w:tbl>
    <w:p w14:paraId="11618A24">
      <w:pPr>
        <w:pStyle w:val="20"/>
        <w:jc w:val="center"/>
        <w:outlineLvl w:val="0"/>
        <w:rPr>
          <w:rFonts w:ascii="黑体" w:hAnsi="黑体" w:eastAsia="黑体"/>
          <w:snapToGrid w:val="0"/>
          <w:color w:val="auto"/>
          <w:sz w:val="30"/>
          <w:szCs w:val="30"/>
          <w:highlight w:val="none"/>
        </w:rPr>
      </w:pPr>
      <w:r>
        <w:rPr>
          <w:snapToGrid w:val="0"/>
          <w:color w:val="auto"/>
          <w:highlight w:val="none"/>
        </w:rPr>
        <w:br w:type="page"/>
      </w:r>
      <w:r>
        <w:rPr>
          <w:rFonts w:hint="eastAsia" w:ascii="黑体" w:hAnsi="黑体" w:eastAsia="黑体"/>
          <w:snapToGrid w:val="0"/>
          <w:color w:val="auto"/>
          <w:sz w:val="30"/>
          <w:szCs w:val="30"/>
          <w:highlight w:val="none"/>
        </w:rPr>
        <w:t>六、结论</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62FA31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1739BAC4">
            <w:pPr>
              <w:keepNext w:val="0"/>
              <w:keepLines w:val="0"/>
              <w:suppressLineNumbers w:val="0"/>
              <w:spacing w:before="0" w:beforeAutospacing="0" w:after="0" w:afterAutospacing="0" w:line="360" w:lineRule="auto"/>
              <w:ind w:left="0" w:right="0" w:firstLine="480" w:firstLineChars="200"/>
              <w:rPr>
                <w:rFonts w:hint="default" w:ascii="宋体" w:hAnsi="Times New Roman" w:cs="宋体"/>
                <w:color w:val="auto"/>
                <w:sz w:val="24"/>
                <w:highlight w:val="none"/>
              </w:rPr>
            </w:pPr>
            <w:r>
              <w:rPr>
                <w:rFonts w:hint="default" w:ascii="Times New Roman" w:hAnsi="Times New Roman" w:eastAsia="宋体" w:cs="Times New Roman"/>
                <w:color w:val="auto"/>
                <w:sz w:val="24"/>
                <w:szCs w:val="24"/>
                <w:highlight w:val="none"/>
                <w:lang w:val="en-US" w:eastAsia="zh-CN"/>
              </w:rPr>
              <w:t>从环境保护的角度看，</w:t>
            </w:r>
            <w:r>
              <w:rPr>
                <w:rFonts w:hint="eastAsia" w:ascii="Times New Roman" w:hAnsi="Times New Roman" w:eastAsia="宋体" w:cs="Times New Roman"/>
                <w:color w:val="auto"/>
                <w:sz w:val="24"/>
                <w:szCs w:val="24"/>
                <w:highlight w:val="none"/>
              </w:rPr>
              <w:t>阳泉玻化微珠科技有限公司低浓度瓦斯玻璃微珠项目</w:t>
            </w:r>
            <w:r>
              <w:rPr>
                <w:rFonts w:hint="default" w:ascii="Times New Roman" w:hAnsi="Times New Roman" w:eastAsia="宋体" w:cs="Times New Roman"/>
                <w:color w:val="auto"/>
                <w:sz w:val="24"/>
                <w:szCs w:val="24"/>
                <w:highlight w:val="none"/>
                <w:lang w:val="en-US" w:eastAsia="zh-CN"/>
              </w:rPr>
              <w:t>是可行的。</w:t>
            </w:r>
          </w:p>
        </w:tc>
      </w:tr>
    </w:tbl>
    <w:p w14:paraId="4DB22851">
      <w:pPr>
        <w:rPr>
          <w:rFonts w:ascii="宋体"/>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9378DB8">
      <w:pPr>
        <w:pStyle w:val="20"/>
        <w:adjustRightInd w:val="0"/>
        <w:snapToGrid w:val="0"/>
        <w:spacing w:before="0" w:beforeAutospacing="0" w:after="0" w:afterAutospacing="0" w:line="648" w:lineRule="auto"/>
        <w:outlineLvl w:val="0"/>
        <w:rPr>
          <w:rFonts w:ascii="黑体" w:hAnsi="黑体" w:eastAsia="黑体"/>
          <w:snapToGrid w:val="0"/>
          <w:color w:val="auto"/>
          <w:sz w:val="32"/>
          <w:szCs w:val="32"/>
          <w:highlight w:val="none"/>
        </w:rPr>
      </w:pPr>
      <w:r>
        <w:rPr>
          <w:rFonts w:hint="eastAsia" w:ascii="黑体" w:hAnsi="黑体" w:eastAsia="黑体"/>
          <w:snapToGrid w:val="0"/>
          <w:color w:val="auto"/>
          <w:sz w:val="32"/>
          <w:szCs w:val="32"/>
          <w:highlight w:val="none"/>
        </w:rPr>
        <w:t>附表</w:t>
      </w:r>
    </w:p>
    <w:p w14:paraId="0E7AA42A">
      <w:pPr>
        <w:pStyle w:val="20"/>
        <w:adjustRightInd w:val="0"/>
        <w:snapToGrid w:val="0"/>
        <w:spacing w:before="0" w:beforeAutospacing="0" w:after="0" w:afterAutospacing="0" w:line="552" w:lineRule="auto"/>
        <w:jc w:val="center"/>
        <w:outlineLvl w:val="0"/>
        <w:rPr>
          <w:rFonts w:hint="eastAsia" w:ascii="方正小标宋_GBK" w:hAnsi="黑体" w:eastAsia="方正小标宋_GBK"/>
          <w:snapToGrid w:val="0"/>
          <w:color w:val="auto"/>
          <w:sz w:val="38"/>
          <w:szCs w:val="38"/>
          <w:highlight w:val="none"/>
        </w:rPr>
      </w:pPr>
      <w:r>
        <w:rPr>
          <w:rFonts w:hint="eastAsia" w:ascii="方正小标宋_GBK" w:hAnsi="黑体" w:eastAsia="方正小标宋_GBK"/>
          <w:snapToGrid w:val="0"/>
          <w:color w:val="auto"/>
          <w:sz w:val="38"/>
          <w:szCs w:val="38"/>
          <w:highlight w:val="none"/>
        </w:rPr>
        <w:t>建设项目污染物排放量汇总表</w:t>
      </w:r>
    </w:p>
    <w:tbl>
      <w:tblPr>
        <w:tblStyle w:val="23"/>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959"/>
        <w:gridCol w:w="826"/>
      </w:tblGrid>
      <w:tr w14:paraId="3CFFFC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4A2D1FEB">
            <w:pPr>
              <w:pStyle w:val="47"/>
              <w:keepNext w:val="0"/>
              <w:keepLines w:val="0"/>
              <w:suppressLineNumbers w:val="0"/>
              <w:spacing w:before="0" w:beforeLines="0" w:beforeAutospacing="0" w:after="0" w:afterLines="0" w:afterAutospacing="0" w:line="240" w:lineRule="auto"/>
              <w:ind w:left="0" w:right="0"/>
              <w:jc w:val="righ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450899E5">
            <w:pPr>
              <w:pStyle w:val="47"/>
              <w:keepNext w:val="0"/>
              <w:keepLines w:val="0"/>
              <w:suppressLineNumbers w:val="0"/>
              <w:spacing w:before="0" w:beforeLines="0" w:beforeAutospacing="0" w:after="0" w:afterLines="0" w:afterAutospacing="0" w:line="240" w:lineRule="auto"/>
              <w:ind w:left="0" w:right="0"/>
              <w:jc w:val="lef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1417" w:type="dxa"/>
            <w:noWrap w:val="0"/>
            <w:tcMar>
              <w:left w:w="28" w:type="dxa"/>
              <w:right w:w="28" w:type="dxa"/>
            </w:tcMar>
            <w:vAlign w:val="center"/>
          </w:tcPr>
          <w:p w14:paraId="6A72ACA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701" w:type="dxa"/>
            <w:noWrap w:val="0"/>
            <w:tcMar>
              <w:left w:w="28" w:type="dxa"/>
              <w:right w:w="28" w:type="dxa"/>
            </w:tcMar>
            <w:vAlign w:val="center"/>
          </w:tcPr>
          <w:p w14:paraId="5CD9391B">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221ADB3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1276" w:type="dxa"/>
            <w:noWrap w:val="0"/>
            <w:tcMar>
              <w:left w:w="28" w:type="dxa"/>
              <w:right w:w="28" w:type="dxa"/>
            </w:tcMar>
            <w:vAlign w:val="center"/>
          </w:tcPr>
          <w:p w14:paraId="54391941">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3FEFF1F1">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08EBBFD6">
            <w:pPr>
              <w:pStyle w:val="47"/>
              <w:keepNext w:val="0"/>
              <w:keepLines w:val="0"/>
              <w:suppressLineNumbers w:val="0"/>
              <w:spacing w:before="0" w:beforeLines="0" w:beforeAutospacing="0" w:after="0" w:afterLines="0" w:afterAutospacing="0"/>
              <w:ind w:left="0" w:right="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tc>
        <w:tc>
          <w:tcPr>
            <w:tcW w:w="1701" w:type="dxa"/>
            <w:noWrap w:val="0"/>
            <w:tcMar>
              <w:left w:w="28" w:type="dxa"/>
              <w:right w:w="28" w:type="dxa"/>
            </w:tcMar>
            <w:vAlign w:val="center"/>
          </w:tcPr>
          <w:p w14:paraId="0E4287C6">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0E7A03AA">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559" w:type="dxa"/>
            <w:noWrap w:val="0"/>
            <w:tcMar>
              <w:left w:w="28" w:type="dxa"/>
              <w:right w:w="28" w:type="dxa"/>
            </w:tcMar>
            <w:vAlign w:val="center"/>
          </w:tcPr>
          <w:p w14:paraId="6D707FC3">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本项目</w:t>
            </w:r>
          </w:p>
          <w:p w14:paraId="57DE4B00">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761" w:type="dxa"/>
            <w:noWrap w:val="0"/>
            <w:tcMar>
              <w:left w:w="28" w:type="dxa"/>
              <w:right w:w="28" w:type="dxa"/>
            </w:tcMar>
            <w:vAlign w:val="center"/>
          </w:tcPr>
          <w:p w14:paraId="0D144933">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6C9597A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959" w:type="dxa"/>
            <w:noWrap w:val="0"/>
            <w:tcMar>
              <w:left w:w="28" w:type="dxa"/>
              <w:right w:w="28" w:type="dxa"/>
            </w:tcMar>
            <w:vAlign w:val="center"/>
          </w:tcPr>
          <w:p w14:paraId="64C189D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7CC2CD9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826" w:type="dxa"/>
            <w:noWrap w:val="0"/>
            <w:tcMar>
              <w:left w:w="28" w:type="dxa"/>
              <w:right w:w="28" w:type="dxa"/>
            </w:tcMar>
            <w:vAlign w:val="center"/>
          </w:tcPr>
          <w:p w14:paraId="2D94BC12">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4D6F4E6A">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3B3AFE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5EF9BA3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废气</w:t>
            </w:r>
          </w:p>
        </w:tc>
        <w:tc>
          <w:tcPr>
            <w:tcW w:w="1417" w:type="dxa"/>
            <w:noWrap w:val="0"/>
            <w:vAlign w:val="center"/>
          </w:tcPr>
          <w:p w14:paraId="3D7439E8">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颗粒物</w:t>
            </w:r>
          </w:p>
        </w:tc>
        <w:tc>
          <w:tcPr>
            <w:tcW w:w="1701" w:type="dxa"/>
            <w:noWrap w:val="0"/>
            <w:vAlign w:val="center"/>
          </w:tcPr>
          <w:p w14:paraId="4C9D4028">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6780F648">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701" w:type="dxa"/>
            <w:noWrap w:val="0"/>
            <w:vAlign w:val="center"/>
          </w:tcPr>
          <w:p w14:paraId="2CE62B1B">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559" w:type="dxa"/>
            <w:noWrap w:val="0"/>
            <w:vAlign w:val="center"/>
          </w:tcPr>
          <w:p w14:paraId="0B928A0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1.895</w:t>
            </w:r>
          </w:p>
        </w:tc>
        <w:tc>
          <w:tcPr>
            <w:tcW w:w="1761" w:type="dxa"/>
            <w:noWrap w:val="0"/>
            <w:vAlign w:val="center"/>
          </w:tcPr>
          <w:p w14:paraId="79445BB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959" w:type="dxa"/>
            <w:noWrap w:val="0"/>
            <w:vAlign w:val="center"/>
          </w:tcPr>
          <w:p w14:paraId="7AB29F13">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1.895</w:t>
            </w:r>
          </w:p>
        </w:tc>
        <w:tc>
          <w:tcPr>
            <w:tcW w:w="826" w:type="dxa"/>
            <w:noWrap w:val="0"/>
            <w:vAlign w:val="center"/>
          </w:tcPr>
          <w:p w14:paraId="61C07812">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r>
      <w:tr w14:paraId="47F75B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588" w:type="dxa"/>
            <w:vMerge w:val="continue"/>
            <w:noWrap w:val="0"/>
            <w:vAlign w:val="center"/>
          </w:tcPr>
          <w:p w14:paraId="4EE1949A">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417" w:type="dxa"/>
            <w:noWrap w:val="0"/>
            <w:vAlign w:val="center"/>
          </w:tcPr>
          <w:p w14:paraId="11C5C03E">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氨</w:t>
            </w:r>
          </w:p>
        </w:tc>
        <w:tc>
          <w:tcPr>
            <w:tcW w:w="1701" w:type="dxa"/>
            <w:noWrap w:val="0"/>
            <w:vAlign w:val="center"/>
          </w:tcPr>
          <w:p w14:paraId="50414FE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017A2BE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701" w:type="dxa"/>
            <w:noWrap w:val="0"/>
            <w:vAlign w:val="center"/>
          </w:tcPr>
          <w:p w14:paraId="7C6DA4F2">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559" w:type="dxa"/>
            <w:noWrap w:val="0"/>
            <w:vAlign w:val="center"/>
          </w:tcPr>
          <w:p w14:paraId="5EDB82B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0.292</w:t>
            </w:r>
          </w:p>
        </w:tc>
        <w:tc>
          <w:tcPr>
            <w:tcW w:w="1761" w:type="dxa"/>
            <w:noWrap w:val="0"/>
            <w:vAlign w:val="center"/>
          </w:tcPr>
          <w:p w14:paraId="17569358">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959" w:type="dxa"/>
            <w:noWrap w:val="0"/>
            <w:vAlign w:val="center"/>
          </w:tcPr>
          <w:p w14:paraId="57C0CDE5">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0.292</w:t>
            </w:r>
          </w:p>
        </w:tc>
        <w:tc>
          <w:tcPr>
            <w:tcW w:w="826" w:type="dxa"/>
            <w:noWrap w:val="0"/>
            <w:vAlign w:val="center"/>
          </w:tcPr>
          <w:p w14:paraId="1B177AA9">
            <w:pPr>
              <w:pStyle w:val="47"/>
              <w:keepNext w:val="0"/>
              <w:keepLines w:val="0"/>
              <w:suppressLineNumbers w:val="0"/>
              <w:spacing w:before="0" w:beforeLines="0" w:beforeAutospacing="0" w:after="0" w:afterLines="0" w:afterAutospacing="0" w:line="240" w:lineRule="auto"/>
              <w:ind w:left="0" w:right="0"/>
              <w:rPr>
                <w:rFonts w:hint="eastAsia" w:ascii="Times New Roman" w:hAnsi="Times New Roman" w:cs="Times New Roman"/>
                <w:snapToGrid w:val="0"/>
                <w:color w:val="auto"/>
                <w:kern w:val="21"/>
                <w:szCs w:val="21"/>
                <w:highlight w:val="none"/>
                <w:lang w:val="en-US" w:eastAsia="zh-CN"/>
              </w:rPr>
            </w:pPr>
          </w:p>
        </w:tc>
      </w:tr>
      <w:tr w14:paraId="7DBD6C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88" w:type="dxa"/>
            <w:vMerge w:val="continue"/>
            <w:noWrap w:val="0"/>
            <w:vAlign w:val="center"/>
          </w:tcPr>
          <w:p w14:paraId="51BD8C0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417" w:type="dxa"/>
            <w:noWrap w:val="0"/>
            <w:vAlign w:val="center"/>
          </w:tcPr>
          <w:p w14:paraId="0BF2A4B5">
            <w:pPr>
              <w:pStyle w:val="47"/>
              <w:keepNext w:val="0"/>
              <w:keepLines w:val="0"/>
              <w:suppressLineNumbers w:val="0"/>
              <w:spacing w:before="0" w:beforeLines="0" w:beforeAutospacing="0" w:after="0" w:afterLines="0" w:afterAutospacing="0" w:line="240" w:lineRule="auto"/>
              <w:ind w:left="0" w:right="0"/>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二氧化硫</w:t>
            </w:r>
          </w:p>
        </w:tc>
        <w:tc>
          <w:tcPr>
            <w:tcW w:w="1701" w:type="dxa"/>
            <w:noWrap w:val="0"/>
            <w:vAlign w:val="center"/>
          </w:tcPr>
          <w:p w14:paraId="1C0ABFE3">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43D5CC6B">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701" w:type="dxa"/>
            <w:noWrap w:val="0"/>
            <w:vAlign w:val="center"/>
          </w:tcPr>
          <w:p w14:paraId="3BDE0D32">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559" w:type="dxa"/>
            <w:noWrap w:val="0"/>
            <w:vAlign w:val="center"/>
          </w:tcPr>
          <w:p w14:paraId="067FCC74">
            <w:pPr>
              <w:pStyle w:val="47"/>
              <w:keepNext w:val="0"/>
              <w:keepLines w:val="0"/>
              <w:suppressLineNumbers w:val="0"/>
              <w:spacing w:before="0" w:beforeLines="0" w:beforeAutospacing="0" w:after="0" w:afterLines="0" w:afterAutospacing="0" w:line="240" w:lineRule="auto"/>
              <w:ind w:left="0" w:right="0"/>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0.057</w:t>
            </w:r>
          </w:p>
        </w:tc>
        <w:tc>
          <w:tcPr>
            <w:tcW w:w="1761" w:type="dxa"/>
            <w:noWrap w:val="0"/>
            <w:vAlign w:val="center"/>
          </w:tcPr>
          <w:p w14:paraId="40720F4E">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959" w:type="dxa"/>
            <w:noWrap w:val="0"/>
            <w:vAlign w:val="center"/>
          </w:tcPr>
          <w:p w14:paraId="028E8806">
            <w:pPr>
              <w:pStyle w:val="47"/>
              <w:keepNext w:val="0"/>
              <w:keepLines w:val="0"/>
              <w:suppressLineNumbers w:val="0"/>
              <w:spacing w:before="0" w:beforeLines="0" w:beforeAutospacing="0" w:after="0" w:afterLines="0" w:afterAutospacing="0" w:line="240" w:lineRule="auto"/>
              <w:ind w:left="0" w:right="0"/>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0.057</w:t>
            </w:r>
          </w:p>
        </w:tc>
        <w:tc>
          <w:tcPr>
            <w:tcW w:w="826" w:type="dxa"/>
            <w:noWrap w:val="0"/>
            <w:vAlign w:val="center"/>
          </w:tcPr>
          <w:p w14:paraId="47A9E757">
            <w:pPr>
              <w:pStyle w:val="47"/>
              <w:keepNext w:val="0"/>
              <w:keepLines w:val="0"/>
              <w:suppressLineNumbers w:val="0"/>
              <w:spacing w:before="0" w:beforeLines="0" w:beforeAutospacing="0" w:after="0" w:afterLines="0" w:afterAutospacing="0" w:line="240" w:lineRule="auto"/>
              <w:ind w:left="0" w:right="0"/>
              <w:rPr>
                <w:rFonts w:hint="eastAsia" w:ascii="Times New Roman" w:hAnsi="Times New Roman" w:cs="Times New Roman"/>
                <w:snapToGrid w:val="0"/>
                <w:color w:val="auto"/>
                <w:kern w:val="21"/>
                <w:szCs w:val="21"/>
                <w:highlight w:val="none"/>
                <w:lang w:val="en-US" w:eastAsia="zh-CN"/>
              </w:rPr>
            </w:pPr>
          </w:p>
        </w:tc>
      </w:tr>
      <w:tr w14:paraId="544EA7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1588" w:type="dxa"/>
            <w:vMerge w:val="continue"/>
            <w:noWrap w:val="0"/>
            <w:vAlign w:val="center"/>
          </w:tcPr>
          <w:p w14:paraId="582F473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417" w:type="dxa"/>
            <w:noWrap w:val="0"/>
            <w:vAlign w:val="center"/>
          </w:tcPr>
          <w:p w14:paraId="29738D4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氮氧化物</w:t>
            </w:r>
          </w:p>
        </w:tc>
        <w:tc>
          <w:tcPr>
            <w:tcW w:w="1701" w:type="dxa"/>
            <w:noWrap w:val="0"/>
            <w:vAlign w:val="center"/>
          </w:tcPr>
          <w:p w14:paraId="6895601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276" w:type="dxa"/>
            <w:noWrap w:val="0"/>
            <w:vAlign w:val="center"/>
          </w:tcPr>
          <w:p w14:paraId="288BB8BB">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701" w:type="dxa"/>
            <w:noWrap w:val="0"/>
            <w:vAlign w:val="center"/>
          </w:tcPr>
          <w:p w14:paraId="0151E51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559" w:type="dxa"/>
            <w:noWrap w:val="0"/>
            <w:vAlign w:val="center"/>
          </w:tcPr>
          <w:p w14:paraId="3133728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2.65</w:t>
            </w:r>
          </w:p>
        </w:tc>
        <w:tc>
          <w:tcPr>
            <w:tcW w:w="1761" w:type="dxa"/>
            <w:noWrap w:val="0"/>
            <w:vAlign w:val="center"/>
          </w:tcPr>
          <w:p w14:paraId="4F28448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959" w:type="dxa"/>
            <w:noWrap w:val="0"/>
            <w:vAlign w:val="center"/>
          </w:tcPr>
          <w:p w14:paraId="53E2F73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lang w:val="en-US"/>
              </w:rPr>
            </w:pPr>
            <w:r>
              <w:rPr>
                <w:rFonts w:hint="eastAsia" w:ascii="Times New Roman" w:cs="Times New Roman"/>
                <w:snapToGrid w:val="0"/>
                <w:color w:val="auto"/>
                <w:kern w:val="21"/>
                <w:szCs w:val="21"/>
                <w:highlight w:val="none"/>
                <w:lang w:val="en-US" w:eastAsia="zh-CN"/>
              </w:rPr>
              <w:t>2.65</w:t>
            </w:r>
          </w:p>
        </w:tc>
        <w:tc>
          <w:tcPr>
            <w:tcW w:w="826" w:type="dxa"/>
            <w:noWrap w:val="0"/>
            <w:vAlign w:val="center"/>
          </w:tcPr>
          <w:p w14:paraId="2446FE8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r>
      <w:tr w14:paraId="757A90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588" w:type="dxa"/>
            <w:vMerge w:val="restart"/>
            <w:noWrap w:val="0"/>
            <w:vAlign w:val="center"/>
          </w:tcPr>
          <w:p w14:paraId="09A9A2EA">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废水</w:t>
            </w:r>
          </w:p>
        </w:tc>
        <w:tc>
          <w:tcPr>
            <w:tcW w:w="1417" w:type="dxa"/>
            <w:noWrap w:val="0"/>
            <w:vAlign w:val="center"/>
          </w:tcPr>
          <w:p w14:paraId="27E86CF4">
            <w:pPr>
              <w:pStyle w:val="47"/>
              <w:keepNext w:val="0"/>
              <w:keepLines w:val="0"/>
              <w:suppressLineNumbers w:val="0"/>
              <w:spacing w:before="0" w:beforeLines="0" w:beforeAutospacing="0" w:after="0" w:afterLines="0" w:afterAutospacing="0" w:line="240" w:lineRule="auto"/>
              <w:ind w:left="0" w:right="0"/>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生活污水</w:t>
            </w:r>
          </w:p>
        </w:tc>
        <w:tc>
          <w:tcPr>
            <w:tcW w:w="1701" w:type="dxa"/>
            <w:noWrap w:val="0"/>
            <w:vAlign w:val="center"/>
          </w:tcPr>
          <w:p w14:paraId="20E7B4B3">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276" w:type="dxa"/>
            <w:noWrap w:val="0"/>
            <w:vAlign w:val="center"/>
          </w:tcPr>
          <w:p w14:paraId="0283CA6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701" w:type="dxa"/>
            <w:noWrap w:val="0"/>
            <w:vAlign w:val="center"/>
          </w:tcPr>
          <w:p w14:paraId="6405914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559" w:type="dxa"/>
            <w:noWrap w:val="0"/>
            <w:vAlign w:val="center"/>
          </w:tcPr>
          <w:p w14:paraId="08AAF513">
            <w:pPr>
              <w:pStyle w:val="47"/>
              <w:keepNext w:val="0"/>
              <w:keepLines w:val="0"/>
              <w:suppressLineNumbers w:val="0"/>
              <w:spacing w:before="0" w:beforeLines="0" w:beforeAutospacing="0" w:after="0" w:afterLines="0" w:afterAutospacing="0" w:line="240" w:lineRule="auto"/>
              <w:ind w:left="0" w:right="0"/>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61" w:type="dxa"/>
            <w:noWrap w:val="0"/>
            <w:vAlign w:val="center"/>
          </w:tcPr>
          <w:p w14:paraId="4FB9250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959" w:type="dxa"/>
            <w:noWrap w:val="0"/>
            <w:vAlign w:val="center"/>
          </w:tcPr>
          <w:p w14:paraId="53D5948D">
            <w:pPr>
              <w:pStyle w:val="47"/>
              <w:keepNext w:val="0"/>
              <w:keepLines w:val="0"/>
              <w:suppressLineNumbers w:val="0"/>
              <w:spacing w:before="0" w:beforeLines="0" w:beforeAutospacing="0" w:after="0" w:afterLines="0" w:afterAutospacing="0" w:line="240" w:lineRule="auto"/>
              <w:ind w:left="0" w:right="0"/>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826" w:type="dxa"/>
            <w:noWrap w:val="0"/>
            <w:vAlign w:val="center"/>
          </w:tcPr>
          <w:p w14:paraId="4E4DF3FF">
            <w:pPr>
              <w:pStyle w:val="47"/>
              <w:keepNext w:val="0"/>
              <w:keepLines w:val="0"/>
              <w:suppressLineNumbers w:val="0"/>
              <w:spacing w:before="0" w:beforeLines="0" w:beforeAutospacing="0" w:after="0" w:afterLines="0" w:afterAutospacing="0" w:line="240" w:lineRule="auto"/>
              <w:ind w:left="0" w:right="0"/>
              <w:rPr>
                <w:rFonts w:hint="eastAsia" w:ascii="Times New Roman" w:hAnsi="Times New Roman" w:eastAsia="宋体" w:cs="Times New Roman"/>
                <w:snapToGrid w:val="0"/>
                <w:color w:val="auto"/>
                <w:kern w:val="21"/>
                <w:szCs w:val="21"/>
                <w:highlight w:val="none"/>
                <w:lang w:val="en-US" w:eastAsia="zh-CN"/>
              </w:rPr>
            </w:pPr>
          </w:p>
        </w:tc>
      </w:tr>
      <w:tr w14:paraId="68294E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1588" w:type="dxa"/>
            <w:vMerge w:val="continue"/>
            <w:noWrap w:val="0"/>
            <w:vAlign w:val="center"/>
          </w:tcPr>
          <w:p w14:paraId="335913B5">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417" w:type="dxa"/>
            <w:noWrap w:val="0"/>
            <w:vAlign w:val="center"/>
          </w:tcPr>
          <w:p w14:paraId="65F9A355">
            <w:pPr>
              <w:pStyle w:val="47"/>
              <w:keepNext w:val="0"/>
              <w:keepLines w:val="0"/>
              <w:suppressLineNumbers w:val="0"/>
              <w:spacing w:before="0" w:beforeLines="0" w:beforeAutospacing="0" w:after="0" w:afterLines="0" w:afterAutospacing="0" w:line="240" w:lineRule="auto"/>
              <w:ind w:left="0" w:right="0"/>
              <w:rPr>
                <w:rFonts w:hint="eastAsia" w:ascii="Times New Roman" w:hAnsi="Times New Roman" w:eastAsia="宋体" w:cs="Times New Roman"/>
                <w:snapToGrid w:val="0"/>
                <w:color w:val="auto"/>
                <w:kern w:val="21"/>
                <w:szCs w:val="21"/>
                <w:highlight w:val="none"/>
                <w:lang w:val="en-US" w:eastAsia="zh-CN"/>
              </w:rPr>
            </w:pPr>
          </w:p>
        </w:tc>
        <w:tc>
          <w:tcPr>
            <w:tcW w:w="1701" w:type="dxa"/>
            <w:noWrap w:val="0"/>
            <w:vAlign w:val="center"/>
          </w:tcPr>
          <w:p w14:paraId="58C3C0E2">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276" w:type="dxa"/>
            <w:noWrap w:val="0"/>
            <w:vAlign w:val="center"/>
          </w:tcPr>
          <w:p w14:paraId="4B7E530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701" w:type="dxa"/>
            <w:noWrap w:val="0"/>
            <w:vAlign w:val="center"/>
          </w:tcPr>
          <w:p w14:paraId="39BC58E5">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559" w:type="dxa"/>
            <w:noWrap w:val="0"/>
            <w:vAlign w:val="center"/>
          </w:tcPr>
          <w:p w14:paraId="14294042">
            <w:pPr>
              <w:pStyle w:val="47"/>
              <w:keepNext w:val="0"/>
              <w:keepLines w:val="0"/>
              <w:suppressLineNumbers w:val="0"/>
              <w:spacing w:before="0" w:beforeLines="0" w:beforeAutospacing="0" w:after="0" w:afterLines="0" w:afterAutospacing="0" w:line="240" w:lineRule="auto"/>
              <w:ind w:left="0" w:right="0"/>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61" w:type="dxa"/>
            <w:noWrap w:val="0"/>
            <w:vAlign w:val="center"/>
          </w:tcPr>
          <w:p w14:paraId="35A34AE5">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959" w:type="dxa"/>
            <w:noWrap w:val="0"/>
            <w:vAlign w:val="center"/>
          </w:tcPr>
          <w:p w14:paraId="5131F22E">
            <w:pPr>
              <w:pStyle w:val="47"/>
              <w:keepNext w:val="0"/>
              <w:keepLines w:val="0"/>
              <w:suppressLineNumbers w:val="0"/>
              <w:spacing w:before="0" w:beforeLines="0" w:beforeAutospacing="0" w:after="0" w:afterLines="0" w:afterAutospacing="0" w:line="240" w:lineRule="auto"/>
              <w:ind w:left="0" w:right="0"/>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826" w:type="dxa"/>
            <w:noWrap w:val="0"/>
            <w:vAlign w:val="center"/>
          </w:tcPr>
          <w:p w14:paraId="4DBF378F">
            <w:pPr>
              <w:pStyle w:val="47"/>
              <w:keepNext w:val="0"/>
              <w:keepLines w:val="0"/>
              <w:suppressLineNumbers w:val="0"/>
              <w:spacing w:before="0" w:beforeLines="0" w:beforeAutospacing="0" w:after="0" w:afterLines="0" w:afterAutospacing="0" w:line="240" w:lineRule="auto"/>
              <w:ind w:left="0" w:right="0"/>
              <w:rPr>
                <w:rFonts w:hint="eastAsia" w:ascii="Times New Roman" w:hAnsi="Times New Roman" w:eastAsia="宋体" w:cs="Times New Roman"/>
                <w:snapToGrid w:val="0"/>
                <w:color w:val="auto"/>
                <w:kern w:val="21"/>
                <w:szCs w:val="21"/>
                <w:highlight w:val="none"/>
                <w:lang w:val="en-US" w:eastAsia="zh-CN"/>
              </w:rPr>
            </w:pPr>
          </w:p>
        </w:tc>
      </w:tr>
      <w:tr w14:paraId="025E68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588" w:type="dxa"/>
            <w:vMerge w:val="restart"/>
            <w:noWrap w:val="0"/>
            <w:vAlign w:val="center"/>
          </w:tcPr>
          <w:p w14:paraId="4FEFF05B">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一般工业</w:t>
            </w:r>
          </w:p>
          <w:p w14:paraId="4E2248A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固体废物</w:t>
            </w:r>
          </w:p>
        </w:tc>
        <w:tc>
          <w:tcPr>
            <w:tcW w:w="1417" w:type="dxa"/>
            <w:noWrap w:val="0"/>
            <w:vAlign w:val="center"/>
          </w:tcPr>
          <w:p w14:paraId="51DBF57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除尘灰</w:t>
            </w:r>
          </w:p>
        </w:tc>
        <w:tc>
          <w:tcPr>
            <w:tcW w:w="1701" w:type="dxa"/>
            <w:noWrap w:val="0"/>
            <w:vAlign w:val="center"/>
          </w:tcPr>
          <w:p w14:paraId="6317ADE2">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737A992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701" w:type="dxa"/>
            <w:noWrap w:val="0"/>
            <w:vAlign w:val="center"/>
          </w:tcPr>
          <w:p w14:paraId="15BD10E1">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559" w:type="dxa"/>
            <w:noWrap w:val="0"/>
            <w:vAlign w:val="center"/>
          </w:tcPr>
          <w:p w14:paraId="44FB7277">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bidi="ar"/>
              </w:rPr>
            </w:pPr>
            <w:r>
              <w:rPr>
                <w:rFonts w:hint="eastAsia" w:ascii="Times New Roman" w:cs="Times New Roman"/>
                <w:snapToGrid w:val="0"/>
                <w:color w:val="auto"/>
                <w:kern w:val="21"/>
                <w:szCs w:val="21"/>
                <w:highlight w:val="none"/>
                <w:lang w:val="en-US" w:eastAsia="zh-CN"/>
              </w:rPr>
              <w:t>191.359</w:t>
            </w:r>
          </w:p>
        </w:tc>
        <w:tc>
          <w:tcPr>
            <w:tcW w:w="1761" w:type="dxa"/>
            <w:noWrap w:val="0"/>
            <w:vAlign w:val="center"/>
          </w:tcPr>
          <w:p w14:paraId="5B16728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959" w:type="dxa"/>
            <w:noWrap w:val="0"/>
            <w:vAlign w:val="center"/>
          </w:tcPr>
          <w:p w14:paraId="55DB0F3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 w:val="21"/>
                <w:szCs w:val="21"/>
                <w:highlight w:val="none"/>
                <w:lang w:val="en-US" w:eastAsia="zh-CN" w:bidi="ar"/>
              </w:rPr>
            </w:pPr>
            <w:r>
              <w:rPr>
                <w:rFonts w:hint="eastAsia" w:ascii="Times New Roman" w:cs="Times New Roman"/>
                <w:snapToGrid w:val="0"/>
                <w:color w:val="auto"/>
                <w:kern w:val="21"/>
                <w:szCs w:val="21"/>
                <w:highlight w:val="none"/>
                <w:lang w:val="en-US" w:eastAsia="zh-CN"/>
              </w:rPr>
              <w:t>191.359</w:t>
            </w:r>
          </w:p>
        </w:tc>
        <w:tc>
          <w:tcPr>
            <w:tcW w:w="826" w:type="dxa"/>
            <w:noWrap w:val="0"/>
            <w:vAlign w:val="center"/>
          </w:tcPr>
          <w:p w14:paraId="6EC50A8B">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r>
      <w:tr w14:paraId="0DCAD5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588" w:type="dxa"/>
            <w:vMerge w:val="continue"/>
            <w:noWrap w:val="0"/>
            <w:vAlign w:val="center"/>
          </w:tcPr>
          <w:p w14:paraId="2E99A508">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417" w:type="dxa"/>
            <w:noWrap w:val="0"/>
            <w:vAlign w:val="center"/>
          </w:tcPr>
          <w:p w14:paraId="0A4408B0">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筛分废料</w:t>
            </w:r>
          </w:p>
        </w:tc>
        <w:tc>
          <w:tcPr>
            <w:tcW w:w="1701" w:type="dxa"/>
            <w:noWrap w:val="0"/>
            <w:vAlign w:val="center"/>
          </w:tcPr>
          <w:p w14:paraId="4454A1C8">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715FBEA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701" w:type="dxa"/>
            <w:noWrap w:val="0"/>
            <w:vAlign w:val="center"/>
          </w:tcPr>
          <w:p w14:paraId="6FE7F2B0">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559" w:type="dxa"/>
            <w:noWrap w:val="0"/>
            <w:vAlign w:val="center"/>
          </w:tcPr>
          <w:p w14:paraId="265EF418">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270</w:t>
            </w:r>
          </w:p>
        </w:tc>
        <w:tc>
          <w:tcPr>
            <w:tcW w:w="1761" w:type="dxa"/>
            <w:noWrap w:val="0"/>
            <w:vAlign w:val="center"/>
          </w:tcPr>
          <w:p w14:paraId="669140B6">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959" w:type="dxa"/>
            <w:noWrap w:val="0"/>
            <w:vAlign w:val="center"/>
          </w:tcPr>
          <w:p w14:paraId="4F89495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270</w:t>
            </w:r>
          </w:p>
        </w:tc>
        <w:tc>
          <w:tcPr>
            <w:tcW w:w="826" w:type="dxa"/>
            <w:noWrap w:val="0"/>
            <w:vAlign w:val="center"/>
          </w:tcPr>
          <w:p w14:paraId="0F2FA000">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r>
      <w:tr w14:paraId="3EC645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588" w:type="dxa"/>
            <w:vMerge w:val="restart"/>
            <w:noWrap w:val="0"/>
            <w:vAlign w:val="center"/>
          </w:tcPr>
          <w:p w14:paraId="3655FA0B">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危险废物</w:t>
            </w:r>
          </w:p>
        </w:tc>
        <w:tc>
          <w:tcPr>
            <w:tcW w:w="1417" w:type="dxa"/>
            <w:noWrap w:val="0"/>
            <w:vAlign w:val="center"/>
          </w:tcPr>
          <w:p w14:paraId="5DE968BA">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废矿物油</w:t>
            </w:r>
          </w:p>
        </w:tc>
        <w:tc>
          <w:tcPr>
            <w:tcW w:w="1701" w:type="dxa"/>
            <w:noWrap w:val="0"/>
            <w:vAlign w:val="center"/>
          </w:tcPr>
          <w:p w14:paraId="065CAA7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6FA4371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701" w:type="dxa"/>
            <w:noWrap w:val="0"/>
            <w:vAlign w:val="center"/>
          </w:tcPr>
          <w:p w14:paraId="00B5D02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559" w:type="dxa"/>
            <w:noWrap w:val="0"/>
            <w:vAlign w:val="center"/>
          </w:tcPr>
          <w:p w14:paraId="15C8ED83">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w:t>
            </w:r>
            <w:r>
              <w:rPr>
                <w:rFonts w:hint="eastAsia" w:ascii="Times New Roman" w:hAnsi="Times New Roman" w:cs="Times New Roman"/>
                <w:snapToGrid w:val="0"/>
                <w:color w:val="auto"/>
                <w:kern w:val="21"/>
                <w:szCs w:val="21"/>
                <w:highlight w:val="none"/>
                <w:lang w:val="en-US" w:eastAsia="zh-CN"/>
              </w:rPr>
              <w:t>4</w:t>
            </w:r>
          </w:p>
        </w:tc>
        <w:tc>
          <w:tcPr>
            <w:tcW w:w="1761" w:type="dxa"/>
            <w:noWrap w:val="0"/>
            <w:vAlign w:val="center"/>
          </w:tcPr>
          <w:p w14:paraId="072F95C6">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959" w:type="dxa"/>
            <w:noWrap w:val="0"/>
            <w:vAlign w:val="center"/>
          </w:tcPr>
          <w:p w14:paraId="52A53565">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Cs/>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0.</w:t>
            </w:r>
            <w:r>
              <w:rPr>
                <w:rFonts w:hint="eastAsia" w:ascii="Times New Roman" w:hAnsi="Times New Roman" w:cs="Times New Roman"/>
                <w:snapToGrid w:val="0"/>
                <w:color w:val="auto"/>
                <w:kern w:val="21"/>
                <w:szCs w:val="21"/>
                <w:highlight w:val="none"/>
                <w:lang w:val="en-US" w:eastAsia="zh-CN"/>
              </w:rPr>
              <w:t>4</w:t>
            </w:r>
          </w:p>
        </w:tc>
        <w:tc>
          <w:tcPr>
            <w:tcW w:w="826" w:type="dxa"/>
            <w:noWrap w:val="0"/>
            <w:vAlign w:val="center"/>
          </w:tcPr>
          <w:p w14:paraId="57CFE00B">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r>
      <w:tr w14:paraId="29B1AE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588" w:type="dxa"/>
            <w:vMerge w:val="continue"/>
            <w:noWrap w:val="0"/>
            <w:vAlign w:val="center"/>
          </w:tcPr>
          <w:p w14:paraId="048C12BB">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417" w:type="dxa"/>
            <w:noWrap w:val="0"/>
            <w:vAlign w:val="center"/>
          </w:tcPr>
          <w:p w14:paraId="5048890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废棉纱手套</w:t>
            </w:r>
          </w:p>
        </w:tc>
        <w:tc>
          <w:tcPr>
            <w:tcW w:w="1701" w:type="dxa"/>
            <w:noWrap w:val="0"/>
            <w:vAlign w:val="center"/>
          </w:tcPr>
          <w:p w14:paraId="3F6BF23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4D875AF6">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701" w:type="dxa"/>
            <w:noWrap w:val="0"/>
            <w:vAlign w:val="center"/>
          </w:tcPr>
          <w:p w14:paraId="4501433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559" w:type="dxa"/>
            <w:noWrap w:val="0"/>
            <w:vAlign w:val="center"/>
          </w:tcPr>
          <w:p w14:paraId="324ABB7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0.1</w:t>
            </w:r>
          </w:p>
        </w:tc>
        <w:tc>
          <w:tcPr>
            <w:tcW w:w="1761" w:type="dxa"/>
            <w:noWrap w:val="0"/>
            <w:vAlign w:val="center"/>
          </w:tcPr>
          <w:p w14:paraId="57A70F0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959" w:type="dxa"/>
            <w:noWrap w:val="0"/>
            <w:vAlign w:val="center"/>
          </w:tcPr>
          <w:p w14:paraId="6E45C700">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Cs/>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0.1</w:t>
            </w:r>
          </w:p>
        </w:tc>
        <w:tc>
          <w:tcPr>
            <w:tcW w:w="826" w:type="dxa"/>
            <w:noWrap w:val="0"/>
            <w:vAlign w:val="center"/>
          </w:tcPr>
          <w:p w14:paraId="129386A8">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r>
      <w:tr w14:paraId="37B976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1588" w:type="dxa"/>
            <w:vMerge w:val="continue"/>
            <w:noWrap w:val="0"/>
            <w:vAlign w:val="center"/>
          </w:tcPr>
          <w:p w14:paraId="694F7C9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417" w:type="dxa"/>
            <w:noWrap w:val="0"/>
            <w:vAlign w:val="center"/>
          </w:tcPr>
          <w:p w14:paraId="011271B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废油桶</w:t>
            </w:r>
          </w:p>
        </w:tc>
        <w:tc>
          <w:tcPr>
            <w:tcW w:w="1701" w:type="dxa"/>
            <w:noWrap w:val="0"/>
            <w:vAlign w:val="center"/>
          </w:tcPr>
          <w:p w14:paraId="3B702B7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20ACC68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701" w:type="dxa"/>
            <w:noWrap w:val="0"/>
            <w:vAlign w:val="center"/>
          </w:tcPr>
          <w:p w14:paraId="60E4E9C8">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559" w:type="dxa"/>
            <w:noWrap w:val="0"/>
            <w:vAlign w:val="center"/>
          </w:tcPr>
          <w:p w14:paraId="70411AC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0.076</w:t>
            </w:r>
          </w:p>
        </w:tc>
        <w:tc>
          <w:tcPr>
            <w:tcW w:w="1761" w:type="dxa"/>
            <w:noWrap w:val="0"/>
            <w:vAlign w:val="center"/>
          </w:tcPr>
          <w:p w14:paraId="2FA31075">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959" w:type="dxa"/>
            <w:noWrap w:val="0"/>
            <w:vAlign w:val="center"/>
          </w:tcPr>
          <w:p w14:paraId="042FBC6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Cs/>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0.076</w:t>
            </w:r>
          </w:p>
        </w:tc>
        <w:tc>
          <w:tcPr>
            <w:tcW w:w="826" w:type="dxa"/>
            <w:noWrap w:val="0"/>
            <w:vAlign w:val="center"/>
          </w:tcPr>
          <w:p w14:paraId="294B701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r>
      <w:tr w14:paraId="0EFF53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77DB5171">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417" w:type="dxa"/>
            <w:noWrap w:val="0"/>
            <w:vAlign w:val="center"/>
          </w:tcPr>
          <w:p w14:paraId="5C0A018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废催化剂</w:t>
            </w:r>
          </w:p>
        </w:tc>
        <w:tc>
          <w:tcPr>
            <w:tcW w:w="1701" w:type="dxa"/>
            <w:noWrap w:val="0"/>
            <w:vAlign w:val="center"/>
          </w:tcPr>
          <w:p w14:paraId="68438F91">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31705131">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701" w:type="dxa"/>
            <w:noWrap w:val="0"/>
            <w:vAlign w:val="center"/>
          </w:tcPr>
          <w:p w14:paraId="792DAF4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559" w:type="dxa"/>
            <w:noWrap w:val="0"/>
            <w:vAlign w:val="center"/>
          </w:tcPr>
          <w:p w14:paraId="202847E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0.067</w:t>
            </w:r>
          </w:p>
        </w:tc>
        <w:tc>
          <w:tcPr>
            <w:tcW w:w="1761" w:type="dxa"/>
            <w:noWrap w:val="0"/>
            <w:vAlign w:val="center"/>
          </w:tcPr>
          <w:p w14:paraId="6A871D48">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rPr>
            </w:pPr>
          </w:p>
        </w:tc>
        <w:tc>
          <w:tcPr>
            <w:tcW w:w="1959" w:type="dxa"/>
            <w:noWrap w:val="0"/>
            <w:vAlign w:val="center"/>
          </w:tcPr>
          <w:p w14:paraId="651F9907">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0.067</w:t>
            </w:r>
          </w:p>
        </w:tc>
        <w:tc>
          <w:tcPr>
            <w:tcW w:w="826" w:type="dxa"/>
            <w:noWrap w:val="0"/>
            <w:vAlign w:val="center"/>
          </w:tcPr>
          <w:p w14:paraId="03D0466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auto"/>
                <w:kern w:val="21"/>
                <w:szCs w:val="21"/>
                <w:highlight w:val="none"/>
                <w:lang w:val="en-US" w:eastAsia="zh-CN"/>
              </w:rPr>
            </w:pPr>
          </w:p>
        </w:tc>
      </w:tr>
    </w:tbl>
    <w:p w14:paraId="3F262833">
      <w:pPr>
        <w:rPr>
          <w:rFonts w:ascii="宋体" w:hAnsi="宋体" w:eastAsia="黑体"/>
          <w:color w:val="auto"/>
          <w:highlight w:val="none"/>
        </w:rPr>
      </w:pPr>
      <w:r>
        <w:rPr>
          <w:rFonts w:hAnsi="宋体"/>
          <w:snapToGrid w:val="0"/>
          <w:color w:val="auto"/>
          <w:kern w:val="21"/>
          <w:szCs w:val="21"/>
          <w:highlight w:val="none"/>
        </w:rPr>
        <w:t>注：</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6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⑥</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1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①</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3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③</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4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④</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5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⑤</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7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⑦</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6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⑥</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1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①</w:t>
      </w:r>
      <w:r>
        <w:rPr>
          <w:rFonts w:hAnsi="宋体"/>
          <w:snapToGrid w:val="0"/>
          <w:color w:val="auto"/>
          <w:spacing w:val="-6"/>
          <w:kern w:val="21"/>
          <w:szCs w:val="21"/>
          <w:highlight w:val="none"/>
        </w:rPr>
        <w:fldChar w:fldCharType="end"/>
      </w:r>
    </w:p>
    <w:sectPr>
      <w:footerReference r:id="rId6"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decorative"/>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altName w:val="微软雅黑"/>
    <w:panose1 w:val="02010609060101010101"/>
    <w:charset w:val="86"/>
    <w:family w:val="modern"/>
    <w:pitch w:val="default"/>
    <w:sig w:usb0="00000000" w:usb1="00000000" w:usb2="00000016" w:usb3="00000000" w:csb0="00040001" w:csb1="00000000"/>
  </w:font>
  <w:font w:name="仿宋_GB2312">
    <w:altName w:val="微软雅黑"/>
    <w:panose1 w:val="02010609030101010101"/>
    <w:charset w:val="86"/>
    <w:family w:val="modern"/>
    <w:pitch w:val="default"/>
    <w:sig w:usb0="00000000" w:usb1="00000000" w:usb2="00000000" w:usb3="00000000" w:csb0="00040000" w:csb1="00000000"/>
  </w:font>
  <w:font w:name="楷体_GB2312">
    <w:altName w:val="微软雅黑"/>
    <w:panose1 w:val="02010609030101010101"/>
    <w:charset w:val="86"/>
    <w:family w:val="modern"/>
    <w:pitch w:val="default"/>
    <w:sig w:usb0="00000000" w:usb1="00000000" w:usb2="00000000" w:usb3="00000000" w:csb0="00040000" w:csb1="00000000"/>
  </w:font>
  <w:font w:name="楷体">
    <w:altName w:val="宋体"/>
    <w:panose1 w:val="02010609060101010101"/>
    <w:charset w:val="86"/>
    <w:family w:val="auto"/>
    <w:pitch w:val="default"/>
    <w:sig w:usb0="00000000" w:usb1="00000000"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Cambria Math">
    <w:panose1 w:val="02040503050406030204"/>
    <w:charset w:val="00"/>
    <w:family w:val="auto"/>
    <w:pitch w:val="default"/>
    <w:sig w:usb0="E00002FF" w:usb1="420024FF" w:usb2="00000000" w:usb3="00000000" w:csb0="2000019F" w:csb1="00000000"/>
  </w:font>
  <w:font w:name="Segoe UI">
    <w:panose1 w:val="020B0502040204020203"/>
    <w:charset w:val="00"/>
    <w:family w:val="auto"/>
    <w:pitch w:val="default"/>
    <w:sig w:usb0="E4002EFF" w:usb1="C000E47F"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sNewRomanPSMT">
    <w:altName w:val="Times New Roman"/>
    <w:panose1 w:val="00000000000000000000"/>
    <w:charset w:val="86"/>
    <w:family w:val="auto"/>
    <w:pitch w:val="default"/>
    <w:sig w:usb0="00000000" w:usb1="00000000" w:usb2="00000010" w:usb3="00000000" w:csb0="00060000" w:csb1="00000000"/>
  </w:font>
  <w:font w:name="方正小标宋_GBK">
    <w:altName w:val="微软雅黑"/>
    <w:panose1 w:val="02000000000000000000"/>
    <w:charset w:val="86"/>
    <w:family w:val="script"/>
    <w:pitch w:val="default"/>
    <w:sig w:usb0="00000000" w:usb1="00000000" w:usb2="00082016"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3F8E1">
    <w:pPr>
      <w:pStyle w:val="16"/>
      <w:framePr w:wrap="around" w:vAnchor="text" w:hAnchor="margin" w:xAlign="outside" w:y="1"/>
      <w:rPr>
        <w:rStyle w:val="27"/>
        <w:rFonts w:ascii="宋体" w:hAnsi="宋体"/>
        <w:sz w:val="28"/>
        <w:szCs w:val="28"/>
      </w:rPr>
    </w:pPr>
  </w:p>
  <w:p w14:paraId="1B5A9593">
    <w:pPr>
      <w:pStyle w:val="16"/>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7D8FE">
    <w:pPr>
      <w:pStyle w:val="16"/>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1F6D47">
                          <w:pPr>
                            <w:pStyle w:val="16"/>
                          </w:pPr>
                          <w:r>
                            <w:fldChar w:fldCharType="begin"/>
                          </w:r>
                          <w:r>
                            <w:instrText xml:space="preserve"> PAGE  \* MERGEFORMAT </w:instrText>
                          </w:r>
                          <w:r>
                            <w:fldChar w:fldCharType="separate"/>
                          </w:r>
                          <w:r>
                            <w:t>4</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gQErMoBAACdAwAADgAAAAAAAAABACAAAAAeAQAAZHJzL2Uyb0Rv&#10;Yy54bWxQSwUGAAAAAAYABgBZAQAAWgUAAAAA&#10;">
              <v:fill on="f" focussize="0,0"/>
              <v:stroke on="f"/>
              <v:imagedata o:title=""/>
              <o:lock v:ext="edit" aspectratio="f"/>
              <v:textbox inset="0mm,0mm,0mm,0mm" style="mso-fit-shape-to-text:t;">
                <w:txbxContent>
                  <w:p w14:paraId="561F6D47">
                    <w:pPr>
                      <w:pStyle w:val="16"/>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B5D3A">
    <w:pPr>
      <w:pStyle w:val="16"/>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A9D42F">
                          <w:pPr>
                            <w:pStyle w:val="16"/>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DM2UmLgAQAAwgMAAA4AAAAA&#10;AAAAAQAgAAAAHgEAAGRycy9lMm9Eb2MueG1sUEsFBgAAAAAGAAYAWQEAAHAFAAAAAA==&#10;">
              <v:fill on="f" focussize="0,0"/>
              <v:stroke on="f"/>
              <v:imagedata o:title=""/>
              <o:lock v:ext="edit" aspectratio="f"/>
              <v:textbox inset="0mm,0mm,0mm,0mm" style="mso-fit-shape-to-text:t;">
                <w:txbxContent>
                  <w:p w14:paraId="22A9D42F">
                    <w:pPr>
                      <w:pStyle w:val="16"/>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C8D4F">
    <w:pPr>
      <w:pStyle w:val="16"/>
      <w:ind w:right="360"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8C66C1">
                          <w:pPr>
                            <w:pStyle w:val="16"/>
                            <w:rPr>
                              <w:rStyle w:val="27"/>
                              <w:rFonts w:ascii="宋体" w:hAnsi="宋体"/>
                              <w:sz w:val="28"/>
                              <w:szCs w:val="28"/>
                            </w:rPr>
                          </w:pPr>
                          <w:r>
                            <w:rPr>
                              <w:rStyle w:val="27"/>
                              <w:rFonts w:hint="eastAsia" w:ascii="宋体" w:hAnsi="宋体"/>
                              <w:sz w:val="28"/>
                              <w:szCs w:val="28"/>
                            </w:rPr>
                            <w:t>—</w:t>
                          </w:r>
                          <w:r>
                            <w:rPr>
                              <w:rStyle w:val="27"/>
                              <w:rFonts w:ascii="宋体" w:hAnsi="宋体"/>
                              <w:sz w:val="26"/>
                              <w:szCs w:val="26"/>
                            </w:rPr>
                            <w:fldChar w:fldCharType="begin"/>
                          </w:r>
                          <w:r>
                            <w:rPr>
                              <w:rStyle w:val="27"/>
                              <w:rFonts w:ascii="宋体" w:hAnsi="宋体"/>
                              <w:sz w:val="26"/>
                              <w:szCs w:val="26"/>
                            </w:rPr>
                            <w:instrText xml:space="preserve">PAGE  </w:instrText>
                          </w:r>
                          <w:r>
                            <w:rPr>
                              <w:rStyle w:val="27"/>
                              <w:rFonts w:ascii="宋体" w:hAnsi="宋体"/>
                              <w:sz w:val="26"/>
                              <w:szCs w:val="26"/>
                            </w:rPr>
                            <w:fldChar w:fldCharType="separate"/>
                          </w:r>
                          <w:r>
                            <w:rPr>
                              <w:rStyle w:val="27"/>
                              <w:rFonts w:ascii="宋体" w:hAnsi="宋体"/>
                              <w:sz w:val="26"/>
                              <w:szCs w:val="26"/>
                            </w:rPr>
                            <w:t>11</w:t>
                          </w:r>
                          <w:r>
                            <w:rPr>
                              <w:rStyle w:val="27"/>
                              <w:rFonts w:ascii="宋体" w:hAnsi="宋体"/>
                              <w:sz w:val="26"/>
                              <w:szCs w:val="26"/>
                            </w:rPr>
                            <w:fldChar w:fldCharType="end"/>
                          </w:r>
                          <w:r>
                            <w:rPr>
                              <w:rStyle w:val="27"/>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5RLguEBAADCAwAADgAAAGRycy9lMm9Eb2MueG1srVPNjtMwEL4j8Q6W&#10;7zRpk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a9qEl5w5YWni518/z7//nv/8&#10;YPNy8T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flEuC4QEAAMIDAAAOAAAA&#10;AAAAAAEAIAAAAB4BAABkcnMvZTJvRG9jLnhtbFBLBQYAAAAABgAGAFkBAABxBQAAAAA=&#10;">
              <v:fill on="f" focussize="0,0"/>
              <v:stroke on="f"/>
              <v:imagedata o:title=""/>
              <o:lock v:ext="edit" aspectratio="f"/>
              <v:textbox inset="0mm,0mm,0mm,0mm" style="mso-fit-shape-to-text:t;">
                <w:txbxContent>
                  <w:p w14:paraId="188C66C1">
                    <w:pPr>
                      <w:pStyle w:val="16"/>
                      <w:rPr>
                        <w:rStyle w:val="27"/>
                        <w:rFonts w:ascii="宋体" w:hAnsi="宋体"/>
                        <w:sz w:val="28"/>
                        <w:szCs w:val="28"/>
                      </w:rPr>
                    </w:pPr>
                    <w:r>
                      <w:rPr>
                        <w:rStyle w:val="27"/>
                        <w:rFonts w:hint="eastAsia" w:ascii="宋体" w:hAnsi="宋体"/>
                        <w:sz w:val="28"/>
                        <w:szCs w:val="28"/>
                      </w:rPr>
                      <w:t>—</w:t>
                    </w:r>
                    <w:r>
                      <w:rPr>
                        <w:rStyle w:val="27"/>
                        <w:rFonts w:ascii="宋体" w:hAnsi="宋体"/>
                        <w:sz w:val="26"/>
                        <w:szCs w:val="26"/>
                      </w:rPr>
                      <w:fldChar w:fldCharType="begin"/>
                    </w:r>
                    <w:r>
                      <w:rPr>
                        <w:rStyle w:val="27"/>
                        <w:rFonts w:ascii="宋体" w:hAnsi="宋体"/>
                        <w:sz w:val="26"/>
                        <w:szCs w:val="26"/>
                      </w:rPr>
                      <w:instrText xml:space="preserve">PAGE  </w:instrText>
                    </w:r>
                    <w:r>
                      <w:rPr>
                        <w:rStyle w:val="27"/>
                        <w:rFonts w:ascii="宋体" w:hAnsi="宋体"/>
                        <w:sz w:val="26"/>
                        <w:szCs w:val="26"/>
                      </w:rPr>
                      <w:fldChar w:fldCharType="separate"/>
                    </w:r>
                    <w:r>
                      <w:rPr>
                        <w:rStyle w:val="27"/>
                        <w:rFonts w:ascii="宋体" w:hAnsi="宋体"/>
                        <w:sz w:val="26"/>
                        <w:szCs w:val="26"/>
                      </w:rPr>
                      <w:t>11</w:t>
                    </w:r>
                    <w:r>
                      <w:rPr>
                        <w:rStyle w:val="27"/>
                        <w:rFonts w:ascii="宋体" w:hAnsi="宋体"/>
                        <w:sz w:val="26"/>
                        <w:szCs w:val="26"/>
                      </w:rPr>
                      <w:fldChar w:fldCharType="end"/>
                    </w:r>
                    <w:r>
                      <w:rPr>
                        <w:rStyle w:val="27"/>
                        <w:rFonts w:hint="eastAsia" w:ascii="宋体" w:hAnsi="宋体"/>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28266F"/>
    <w:multiLevelType w:val="singleLevel"/>
    <w:tmpl w:val="8228266F"/>
    <w:lvl w:ilvl="0" w:tentative="0">
      <w:start w:val="1"/>
      <w:numFmt w:val="decimal"/>
      <w:suff w:val="nothing"/>
      <w:lvlText w:val="%1、"/>
      <w:lvlJc w:val="left"/>
    </w:lvl>
  </w:abstractNum>
  <w:abstractNum w:abstractNumId="1">
    <w:nsid w:val="A905CE10"/>
    <w:multiLevelType w:val="singleLevel"/>
    <w:tmpl w:val="A905CE10"/>
    <w:lvl w:ilvl="0" w:tentative="0">
      <w:start w:val="1"/>
      <w:numFmt w:val="upperLetter"/>
      <w:suff w:val="nothing"/>
      <w:lvlText w:val="%1、"/>
      <w:lvlJc w:val="left"/>
    </w:lvl>
  </w:abstractNum>
  <w:abstractNum w:abstractNumId="2">
    <w:nsid w:val="B888ACE7"/>
    <w:multiLevelType w:val="singleLevel"/>
    <w:tmpl w:val="B888ACE7"/>
    <w:lvl w:ilvl="0" w:tentative="0">
      <w:start w:val="1"/>
      <w:numFmt w:val="decimal"/>
      <w:lvlText w:val="%1."/>
      <w:lvlJc w:val="left"/>
      <w:pPr>
        <w:tabs>
          <w:tab w:val="left" w:pos="312"/>
        </w:tabs>
      </w:pPr>
    </w:lvl>
  </w:abstractNum>
  <w:abstractNum w:abstractNumId="3">
    <w:nsid w:val="BA46DBD5"/>
    <w:multiLevelType w:val="singleLevel"/>
    <w:tmpl w:val="BA46DBD5"/>
    <w:lvl w:ilvl="0" w:tentative="0">
      <w:start w:val="2"/>
      <w:numFmt w:val="chineseCounting"/>
      <w:suff w:val="nothing"/>
      <w:lvlText w:val="%1、"/>
      <w:lvlJc w:val="left"/>
      <w:rPr>
        <w:rFonts w:hint="eastAsia"/>
      </w:rPr>
    </w:lvl>
  </w:abstractNum>
  <w:abstractNum w:abstractNumId="4">
    <w:nsid w:val="11DC01A0"/>
    <w:multiLevelType w:val="singleLevel"/>
    <w:tmpl w:val="11DC01A0"/>
    <w:lvl w:ilvl="0" w:tentative="0">
      <w:start w:val="4"/>
      <w:numFmt w:val="decimal"/>
      <w:suff w:val="nothing"/>
      <w:lvlText w:val="（%1）"/>
      <w:lvlJc w:val="left"/>
    </w:lvl>
  </w:abstractNum>
  <w:abstractNum w:abstractNumId="5">
    <w:nsid w:val="22187E94"/>
    <w:multiLevelType w:val="singleLevel"/>
    <w:tmpl w:val="22187E94"/>
    <w:lvl w:ilvl="0" w:tentative="0">
      <w:start w:val="1"/>
      <w:numFmt w:val="decimal"/>
      <w:suff w:val="nothing"/>
      <w:lvlText w:val="%1、"/>
      <w:lvlJc w:val="left"/>
    </w:lvl>
  </w:abstractNum>
  <w:abstractNum w:abstractNumId="6">
    <w:nsid w:val="36DBE5C0"/>
    <w:multiLevelType w:val="singleLevel"/>
    <w:tmpl w:val="36DBE5C0"/>
    <w:lvl w:ilvl="0" w:tentative="0">
      <w:start w:val="3"/>
      <w:numFmt w:val="decimal"/>
      <w:suff w:val="nothing"/>
      <w:lvlText w:val="（%1）"/>
      <w:lvlJc w:val="left"/>
    </w:lvl>
  </w:abstractNum>
  <w:abstractNum w:abstractNumId="7">
    <w:nsid w:val="382B1156"/>
    <w:multiLevelType w:val="multilevel"/>
    <w:tmpl w:val="382B1156"/>
    <w:lvl w:ilvl="0" w:tentative="0">
      <w:start w:val="1"/>
      <w:numFmt w:val="none"/>
      <w:suff w:val="nothing"/>
      <w:lvlText w:val="第一章"/>
      <w:lvlJc w:val="left"/>
      <w:pPr>
        <w:ind w:left="28" w:firstLine="397"/>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4"/>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7"/>
  </w:num>
  <w:num w:numId="2">
    <w:abstractNumId w:val="2"/>
  </w:num>
  <w:num w:numId="3">
    <w:abstractNumId w:val="3"/>
  </w:num>
  <w:num w:numId="4">
    <w:abstractNumId w:val="4"/>
  </w:num>
  <w:num w:numId="5">
    <w:abstractNumId w:val="1"/>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hMTMzMmJlNjMwZTcyYjQwNzE2NGFmODU1MDg2N2I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80B"/>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5D1E09"/>
    <w:rsid w:val="025135D1"/>
    <w:rsid w:val="02697903"/>
    <w:rsid w:val="02A12CBA"/>
    <w:rsid w:val="02CC4CA2"/>
    <w:rsid w:val="02DF23B3"/>
    <w:rsid w:val="02F96569"/>
    <w:rsid w:val="037C120E"/>
    <w:rsid w:val="03EA7B21"/>
    <w:rsid w:val="055238BE"/>
    <w:rsid w:val="05B10F06"/>
    <w:rsid w:val="05BB308E"/>
    <w:rsid w:val="05F83EAE"/>
    <w:rsid w:val="060828C8"/>
    <w:rsid w:val="063E7D85"/>
    <w:rsid w:val="06C05711"/>
    <w:rsid w:val="06FA0DFD"/>
    <w:rsid w:val="0719419D"/>
    <w:rsid w:val="07293586"/>
    <w:rsid w:val="07295285"/>
    <w:rsid w:val="074B4FA5"/>
    <w:rsid w:val="07636392"/>
    <w:rsid w:val="07770C56"/>
    <w:rsid w:val="07D84D5D"/>
    <w:rsid w:val="092217DD"/>
    <w:rsid w:val="093A7294"/>
    <w:rsid w:val="0A263993"/>
    <w:rsid w:val="0A2D3AC2"/>
    <w:rsid w:val="0A7A47D2"/>
    <w:rsid w:val="0AA755DF"/>
    <w:rsid w:val="0B120D44"/>
    <w:rsid w:val="0BD27BF6"/>
    <w:rsid w:val="0C3B3C7D"/>
    <w:rsid w:val="0CAB2EAE"/>
    <w:rsid w:val="0CE02843"/>
    <w:rsid w:val="0D2039E0"/>
    <w:rsid w:val="0D4A6A42"/>
    <w:rsid w:val="0D621C7D"/>
    <w:rsid w:val="0D6B5D72"/>
    <w:rsid w:val="0D825D10"/>
    <w:rsid w:val="0E73034D"/>
    <w:rsid w:val="0EBA2262"/>
    <w:rsid w:val="0EF20737"/>
    <w:rsid w:val="0F13775A"/>
    <w:rsid w:val="0F173021"/>
    <w:rsid w:val="0F5F45FE"/>
    <w:rsid w:val="0F9A112B"/>
    <w:rsid w:val="106D2F64"/>
    <w:rsid w:val="10B63710"/>
    <w:rsid w:val="10F10820"/>
    <w:rsid w:val="111C2F7A"/>
    <w:rsid w:val="11665CA1"/>
    <w:rsid w:val="11DA3BD4"/>
    <w:rsid w:val="133E74CD"/>
    <w:rsid w:val="13951726"/>
    <w:rsid w:val="14396509"/>
    <w:rsid w:val="149E7B9A"/>
    <w:rsid w:val="14AA4119"/>
    <w:rsid w:val="14DD2C3C"/>
    <w:rsid w:val="15D72147"/>
    <w:rsid w:val="16087E1D"/>
    <w:rsid w:val="165F4077"/>
    <w:rsid w:val="1690524F"/>
    <w:rsid w:val="17430C3D"/>
    <w:rsid w:val="17701D14"/>
    <w:rsid w:val="17735226"/>
    <w:rsid w:val="17E1240A"/>
    <w:rsid w:val="189F624C"/>
    <w:rsid w:val="18AF5A35"/>
    <w:rsid w:val="193B50D8"/>
    <w:rsid w:val="1A1C66C0"/>
    <w:rsid w:val="1A42393B"/>
    <w:rsid w:val="1A9D6D29"/>
    <w:rsid w:val="1AAD45DE"/>
    <w:rsid w:val="1B046F80"/>
    <w:rsid w:val="1B1F3913"/>
    <w:rsid w:val="1B3267B5"/>
    <w:rsid w:val="1B40161D"/>
    <w:rsid w:val="1B441859"/>
    <w:rsid w:val="1B6606B1"/>
    <w:rsid w:val="1BA5138A"/>
    <w:rsid w:val="1BCB6629"/>
    <w:rsid w:val="1C1125B1"/>
    <w:rsid w:val="1C5E7925"/>
    <w:rsid w:val="1C68641A"/>
    <w:rsid w:val="1CFD070F"/>
    <w:rsid w:val="1D0F5C3A"/>
    <w:rsid w:val="1D3701DE"/>
    <w:rsid w:val="1D4E7FFE"/>
    <w:rsid w:val="1D5F6196"/>
    <w:rsid w:val="1D6132A5"/>
    <w:rsid w:val="1D8E56D5"/>
    <w:rsid w:val="1E025B9D"/>
    <w:rsid w:val="1E335B1B"/>
    <w:rsid w:val="1E6352EF"/>
    <w:rsid w:val="1E7A43DA"/>
    <w:rsid w:val="1FE7539E"/>
    <w:rsid w:val="20671BE0"/>
    <w:rsid w:val="20963CB8"/>
    <w:rsid w:val="20A81A1B"/>
    <w:rsid w:val="20B07FB6"/>
    <w:rsid w:val="20B646FB"/>
    <w:rsid w:val="20C57DD0"/>
    <w:rsid w:val="213B74B1"/>
    <w:rsid w:val="214F3F23"/>
    <w:rsid w:val="215A2310"/>
    <w:rsid w:val="21DE318A"/>
    <w:rsid w:val="21EF5B80"/>
    <w:rsid w:val="22576990"/>
    <w:rsid w:val="229C77A9"/>
    <w:rsid w:val="22B0441B"/>
    <w:rsid w:val="22F47480"/>
    <w:rsid w:val="23DE1C48"/>
    <w:rsid w:val="240210CD"/>
    <w:rsid w:val="24BF09F7"/>
    <w:rsid w:val="252D53FE"/>
    <w:rsid w:val="259C767C"/>
    <w:rsid w:val="25DF22AB"/>
    <w:rsid w:val="25EC2D81"/>
    <w:rsid w:val="27694463"/>
    <w:rsid w:val="277057A2"/>
    <w:rsid w:val="29206EB8"/>
    <w:rsid w:val="29383570"/>
    <w:rsid w:val="29595666"/>
    <w:rsid w:val="29874881"/>
    <w:rsid w:val="29A00A0E"/>
    <w:rsid w:val="29E325E0"/>
    <w:rsid w:val="2A413436"/>
    <w:rsid w:val="2A452503"/>
    <w:rsid w:val="2A6C4E48"/>
    <w:rsid w:val="2AFD748B"/>
    <w:rsid w:val="2B7F7BE5"/>
    <w:rsid w:val="2BA936A8"/>
    <w:rsid w:val="2C1B6D5C"/>
    <w:rsid w:val="2C315A5A"/>
    <w:rsid w:val="2C4B1C25"/>
    <w:rsid w:val="2C6B4D2A"/>
    <w:rsid w:val="2D9E56F5"/>
    <w:rsid w:val="2E2C682F"/>
    <w:rsid w:val="2E667F96"/>
    <w:rsid w:val="2E8226AB"/>
    <w:rsid w:val="2F8225C3"/>
    <w:rsid w:val="2FD065E6"/>
    <w:rsid w:val="2FD96870"/>
    <w:rsid w:val="2FE80404"/>
    <w:rsid w:val="30580BC9"/>
    <w:rsid w:val="311E2ED7"/>
    <w:rsid w:val="31241813"/>
    <w:rsid w:val="313475F0"/>
    <w:rsid w:val="314450BB"/>
    <w:rsid w:val="315619EE"/>
    <w:rsid w:val="315C449C"/>
    <w:rsid w:val="316B4522"/>
    <w:rsid w:val="319E3863"/>
    <w:rsid w:val="31B82709"/>
    <w:rsid w:val="31D05482"/>
    <w:rsid w:val="32400B34"/>
    <w:rsid w:val="329E6876"/>
    <w:rsid w:val="32A83BE9"/>
    <w:rsid w:val="32B266DD"/>
    <w:rsid w:val="32D952AE"/>
    <w:rsid w:val="333015F2"/>
    <w:rsid w:val="334B6320"/>
    <w:rsid w:val="33D934D4"/>
    <w:rsid w:val="33FE2F6A"/>
    <w:rsid w:val="340E07E5"/>
    <w:rsid w:val="34235BF7"/>
    <w:rsid w:val="3432636E"/>
    <w:rsid w:val="34480834"/>
    <w:rsid w:val="358C5FA8"/>
    <w:rsid w:val="35BE55ED"/>
    <w:rsid w:val="35C15DF1"/>
    <w:rsid w:val="36074A7F"/>
    <w:rsid w:val="36923549"/>
    <w:rsid w:val="36B75FBF"/>
    <w:rsid w:val="36BD0C45"/>
    <w:rsid w:val="36E20190"/>
    <w:rsid w:val="37A45FA8"/>
    <w:rsid w:val="37E00298"/>
    <w:rsid w:val="38B302F9"/>
    <w:rsid w:val="38EC5F48"/>
    <w:rsid w:val="38F12CD3"/>
    <w:rsid w:val="38F94775"/>
    <w:rsid w:val="392373C8"/>
    <w:rsid w:val="392971ED"/>
    <w:rsid w:val="39325651"/>
    <w:rsid w:val="3A872856"/>
    <w:rsid w:val="3B3763D1"/>
    <w:rsid w:val="3B765ECA"/>
    <w:rsid w:val="3BC16C9F"/>
    <w:rsid w:val="3BD965F9"/>
    <w:rsid w:val="3C0C53A9"/>
    <w:rsid w:val="3C2F6E1E"/>
    <w:rsid w:val="3C345A09"/>
    <w:rsid w:val="3C4F64BA"/>
    <w:rsid w:val="3C88304B"/>
    <w:rsid w:val="3CAA2062"/>
    <w:rsid w:val="3CDA245A"/>
    <w:rsid w:val="3D1E06B7"/>
    <w:rsid w:val="3EDA0523"/>
    <w:rsid w:val="40265FF4"/>
    <w:rsid w:val="407A6407"/>
    <w:rsid w:val="41CE332F"/>
    <w:rsid w:val="4200449D"/>
    <w:rsid w:val="42253C2B"/>
    <w:rsid w:val="423A3BCC"/>
    <w:rsid w:val="424E57D2"/>
    <w:rsid w:val="42B26C49"/>
    <w:rsid w:val="42C9753F"/>
    <w:rsid w:val="43225F59"/>
    <w:rsid w:val="433A6FE6"/>
    <w:rsid w:val="43480868"/>
    <w:rsid w:val="4350713C"/>
    <w:rsid w:val="436653E0"/>
    <w:rsid w:val="43C4431A"/>
    <w:rsid w:val="44B951CC"/>
    <w:rsid w:val="44CD14E0"/>
    <w:rsid w:val="44F20B0B"/>
    <w:rsid w:val="452E5F4C"/>
    <w:rsid w:val="45612018"/>
    <w:rsid w:val="458946E9"/>
    <w:rsid w:val="45A47C0E"/>
    <w:rsid w:val="45C92DE9"/>
    <w:rsid w:val="46372A42"/>
    <w:rsid w:val="46577FD6"/>
    <w:rsid w:val="46D955A7"/>
    <w:rsid w:val="47133957"/>
    <w:rsid w:val="47286348"/>
    <w:rsid w:val="472E28EA"/>
    <w:rsid w:val="47A07E0C"/>
    <w:rsid w:val="4870272E"/>
    <w:rsid w:val="48F75262"/>
    <w:rsid w:val="492716D1"/>
    <w:rsid w:val="49DC7715"/>
    <w:rsid w:val="4A023139"/>
    <w:rsid w:val="4A7B576F"/>
    <w:rsid w:val="4AF561A9"/>
    <w:rsid w:val="4B020169"/>
    <w:rsid w:val="4B056F0D"/>
    <w:rsid w:val="4B8108BF"/>
    <w:rsid w:val="4BEB0573"/>
    <w:rsid w:val="4C237B09"/>
    <w:rsid w:val="4C4A0649"/>
    <w:rsid w:val="4C7E5ECA"/>
    <w:rsid w:val="4C876AA5"/>
    <w:rsid w:val="4CB6115A"/>
    <w:rsid w:val="4D0E00FB"/>
    <w:rsid w:val="4D176606"/>
    <w:rsid w:val="4D632B16"/>
    <w:rsid w:val="4D691D3C"/>
    <w:rsid w:val="4DC82AAF"/>
    <w:rsid w:val="4DEC4FB0"/>
    <w:rsid w:val="4E075D8A"/>
    <w:rsid w:val="4EC00FAD"/>
    <w:rsid w:val="4EEA45F0"/>
    <w:rsid w:val="4F9843DC"/>
    <w:rsid w:val="4FC62A8C"/>
    <w:rsid w:val="4FE20F0D"/>
    <w:rsid w:val="4FE51552"/>
    <w:rsid w:val="50504C4B"/>
    <w:rsid w:val="509C6E7C"/>
    <w:rsid w:val="5162104E"/>
    <w:rsid w:val="528D20F2"/>
    <w:rsid w:val="52EA05B0"/>
    <w:rsid w:val="52FC4828"/>
    <w:rsid w:val="53A039CC"/>
    <w:rsid w:val="53A1505A"/>
    <w:rsid w:val="54063E08"/>
    <w:rsid w:val="543437E8"/>
    <w:rsid w:val="54F73313"/>
    <w:rsid w:val="54F80955"/>
    <w:rsid w:val="55315B17"/>
    <w:rsid w:val="555170A7"/>
    <w:rsid w:val="5587536D"/>
    <w:rsid w:val="559B174B"/>
    <w:rsid w:val="559F435A"/>
    <w:rsid w:val="55CE0CF4"/>
    <w:rsid w:val="56222527"/>
    <w:rsid w:val="568D0913"/>
    <w:rsid w:val="56B22A9C"/>
    <w:rsid w:val="57B72A76"/>
    <w:rsid w:val="57C3426C"/>
    <w:rsid w:val="57CE1F93"/>
    <w:rsid w:val="58285668"/>
    <w:rsid w:val="588743D1"/>
    <w:rsid w:val="5887701A"/>
    <w:rsid w:val="59972230"/>
    <w:rsid w:val="599A6AA9"/>
    <w:rsid w:val="59C0439F"/>
    <w:rsid w:val="59D36150"/>
    <w:rsid w:val="5A921980"/>
    <w:rsid w:val="5ABE2233"/>
    <w:rsid w:val="5ADC2AE8"/>
    <w:rsid w:val="5BDE028D"/>
    <w:rsid w:val="5BDF5D95"/>
    <w:rsid w:val="5BFE7528"/>
    <w:rsid w:val="5C943B72"/>
    <w:rsid w:val="5DC47784"/>
    <w:rsid w:val="5DE15403"/>
    <w:rsid w:val="5E1F657A"/>
    <w:rsid w:val="5E2467F1"/>
    <w:rsid w:val="5EC95193"/>
    <w:rsid w:val="5F1A2B43"/>
    <w:rsid w:val="5FB837BB"/>
    <w:rsid w:val="60672EA8"/>
    <w:rsid w:val="60CC405A"/>
    <w:rsid w:val="6105477A"/>
    <w:rsid w:val="613A5ABA"/>
    <w:rsid w:val="61E215D8"/>
    <w:rsid w:val="621B3775"/>
    <w:rsid w:val="62364782"/>
    <w:rsid w:val="6394356A"/>
    <w:rsid w:val="63C61B2C"/>
    <w:rsid w:val="63D40BE9"/>
    <w:rsid w:val="64102431"/>
    <w:rsid w:val="643D48B9"/>
    <w:rsid w:val="64680A32"/>
    <w:rsid w:val="647B31FA"/>
    <w:rsid w:val="64960F0F"/>
    <w:rsid w:val="64A5243A"/>
    <w:rsid w:val="64B64A90"/>
    <w:rsid w:val="64F531DE"/>
    <w:rsid w:val="65373578"/>
    <w:rsid w:val="671F124A"/>
    <w:rsid w:val="67570F35"/>
    <w:rsid w:val="677A33C6"/>
    <w:rsid w:val="681F6961"/>
    <w:rsid w:val="68610A2F"/>
    <w:rsid w:val="68805514"/>
    <w:rsid w:val="69316E2F"/>
    <w:rsid w:val="694E2071"/>
    <w:rsid w:val="69766163"/>
    <w:rsid w:val="697A3B33"/>
    <w:rsid w:val="69CA3CCD"/>
    <w:rsid w:val="69D44760"/>
    <w:rsid w:val="69E728BF"/>
    <w:rsid w:val="6A520EC7"/>
    <w:rsid w:val="6AA46920"/>
    <w:rsid w:val="6AF87E20"/>
    <w:rsid w:val="6B31319F"/>
    <w:rsid w:val="6B322639"/>
    <w:rsid w:val="6C636C38"/>
    <w:rsid w:val="6CE3267B"/>
    <w:rsid w:val="6D4B69CD"/>
    <w:rsid w:val="6DB34098"/>
    <w:rsid w:val="6DB545B6"/>
    <w:rsid w:val="6DE02FB4"/>
    <w:rsid w:val="6E1070B7"/>
    <w:rsid w:val="6E514CED"/>
    <w:rsid w:val="6EB563D5"/>
    <w:rsid w:val="6ED92677"/>
    <w:rsid w:val="6F225983"/>
    <w:rsid w:val="6F633C29"/>
    <w:rsid w:val="6FE729EA"/>
    <w:rsid w:val="6FFC5590"/>
    <w:rsid w:val="70322D5A"/>
    <w:rsid w:val="706D1DD0"/>
    <w:rsid w:val="70856B87"/>
    <w:rsid w:val="70D527EE"/>
    <w:rsid w:val="710A2228"/>
    <w:rsid w:val="713F4C1E"/>
    <w:rsid w:val="715B5300"/>
    <w:rsid w:val="716F04CF"/>
    <w:rsid w:val="71710740"/>
    <w:rsid w:val="71B64222"/>
    <w:rsid w:val="71D27F8A"/>
    <w:rsid w:val="71EF5F99"/>
    <w:rsid w:val="72553024"/>
    <w:rsid w:val="73122968"/>
    <w:rsid w:val="731F5D5E"/>
    <w:rsid w:val="732E58EB"/>
    <w:rsid w:val="733A5527"/>
    <w:rsid w:val="73A45656"/>
    <w:rsid w:val="73C51AD5"/>
    <w:rsid w:val="741E793C"/>
    <w:rsid w:val="745E3944"/>
    <w:rsid w:val="7508058F"/>
    <w:rsid w:val="75732EE0"/>
    <w:rsid w:val="7635099D"/>
    <w:rsid w:val="767B76C3"/>
    <w:rsid w:val="770B5E03"/>
    <w:rsid w:val="77762421"/>
    <w:rsid w:val="77B56B1F"/>
    <w:rsid w:val="780F09F4"/>
    <w:rsid w:val="78147FDC"/>
    <w:rsid w:val="78A90480"/>
    <w:rsid w:val="79BF1A98"/>
    <w:rsid w:val="79C47AA3"/>
    <w:rsid w:val="79EB6D45"/>
    <w:rsid w:val="7A364017"/>
    <w:rsid w:val="7A8265E1"/>
    <w:rsid w:val="7B686D42"/>
    <w:rsid w:val="7B841746"/>
    <w:rsid w:val="7C6C5AC7"/>
    <w:rsid w:val="7CC6544B"/>
    <w:rsid w:val="7CC813D3"/>
    <w:rsid w:val="7D0239FF"/>
    <w:rsid w:val="7D5E40CD"/>
    <w:rsid w:val="7DA3103E"/>
    <w:rsid w:val="7DCD56F2"/>
    <w:rsid w:val="7E211F0F"/>
    <w:rsid w:val="7F001CE7"/>
    <w:rsid w:val="7FE47E50"/>
    <w:rsid w:val="7FF51E3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bCs/>
      <w:kern w:val="2"/>
      <w:sz w:val="21"/>
      <w:szCs w:val="21"/>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paragraph" w:styleId="4">
    <w:name w:val="heading 4"/>
    <w:basedOn w:val="1"/>
    <w:next w:val="1"/>
    <w:qFormat/>
    <w:uiPriority w:val="0"/>
    <w:pPr>
      <w:keepNext/>
      <w:keepLines/>
      <w:widowControl/>
      <w:numPr>
        <w:ilvl w:val="3"/>
        <w:numId w:val="1"/>
      </w:numPr>
      <w:spacing w:before="156" w:beforeLines="50"/>
      <w:outlineLvl w:val="3"/>
    </w:pPr>
    <w:rPr>
      <w:rFonts w:ascii="Arial" w:hAnsi="Arial"/>
      <w:b/>
      <w:szCs w:val="28"/>
    </w:rPr>
  </w:style>
  <w:style w:type="character" w:default="1" w:styleId="25">
    <w:name w:val="Default Paragraph Font"/>
    <w:semiHidden/>
    <w:qFormat/>
    <w:uiPriority w:val="0"/>
  </w:style>
  <w:style w:type="table" w:default="1" w:styleId="2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1"/>
    <w:qFormat/>
    <w:uiPriority w:val="0"/>
    <w:pPr>
      <w:spacing w:line="480" w:lineRule="exact"/>
      <w:ind w:left="480" w:right="12" w:rightChars="12" w:firstLine="192" w:firstLineChars="192"/>
    </w:pPr>
    <w:rPr>
      <w:rFonts w:ascii="Times New Roman" w:hAnsi="Times New Roman" w:eastAsia="宋体" w:cs="Times New Roman"/>
      <w:sz w:val="24"/>
      <w:szCs w:val="24"/>
    </w:rPr>
  </w:style>
  <w:style w:type="paragraph" w:styleId="6">
    <w:name w:val="caption"/>
    <w:basedOn w:val="1"/>
    <w:next w:val="1"/>
    <w:qFormat/>
    <w:uiPriority w:val="0"/>
    <w:pPr>
      <w:keepNext w:val="0"/>
      <w:keepLines w:val="0"/>
      <w:widowControl w:val="0"/>
      <w:suppressLineNumbers w:val="0"/>
      <w:spacing w:before="0" w:beforeAutospacing="0" w:after="0" w:afterAutospacing="0"/>
      <w:ind w:left="0" w:right="0" w:firstLine="0" w:firstLineChars="0"/>
      <w:jc w:val="center"/>
    </w:pPr>
    <w:rPr>
      <w:rFonts w:hint="default" w:ascii="Times New Roman" w:hAnsi="Times New Roman" w:eastAsia="黑体" w:cs="Arial"/>
      <w:kern w:val="2"/>
      <w:sz w:val="24"/>
      <w:szCs w:val="24"/>
      <w:lang w:val="en-US" w:eastAsia="zh-CN" w:bidi="ar"/>
    </w:rPr>
  </w:style>
  <w:style w:type="paragraph" w:styleId="7">
    <w:name w:val="annotation text"/>
    <w:basedOn w:val="1"/>
    <w:next w:val="1"/>
    <w:link w:val="31"/>
    <w:semiHidden/>
    <w:qFormat/>
    <w:uiPriority w:val="0"/>
    <w:pPr>
      <w:jc w:val="left"/>
    </w:pPr>
    <w:rPr>
      <w:kern w:val="0"/>
      <w:sz w:val="24"/>
      <w:szCs w:val="20"/>
    </w:rPr>
  </w:style>
  <w:style w:type="paragraph" w:styleId="8">
    <w:name w:val="Body Text"/>
    <w:basedOn w:val="1"/>
    <w:next w:val="7"/>
    <w:link w:val="32"/>
    <w:qFormat/>
    <w:uiPriority w:val="0"/>
    <w:pPr>
      <w:widowControl/>
      <w:snapToGrid w:val="0"/>
      <w:spacing w:before="60" w:after="160" w:line="259" w:lineRule="auto"/>
      <w:ind w:right="113"/>
    </w:pPr>
    <w:rPr>
      <w:kern w:val="0"/>
      <w:sz w:val="18"/>
      <w:szCs w:val="20"/>
    </w:rPr>
  </w:style>
  <w:style w:type="paragraph" w:styleId="9">
    <w:name w:val="Body Text Indent"/>
    <w:basedOn w:val="1"/>
    <w:next w:val="10"/>
    <w:link w:val="30"/>
    <w:qFormat/>
    <w:uiPriority w:val="0"/>
    <w:pPr>
      <w:spacing w:after="120"/>
      <w:ind w:left="420" w:leftChars="200"/>
    </w:pPr>
    <w:rPr>
      <w:kern w:val="0"/>
      <w:sz w:val="24"/>
      <w:szCs w:val="20"/>
    </w:rPr>
  </w:style>
  <w:style w:type="paragraph" w:styleId="10">
    <w:name w:val="Body Text First Indent 2"/>
    <w:basedOn w:val="1"/>
    <w:next w:val="1"/>
    <w:qFormat/>
    <w:uiPriority w:val="0"/>
    <w:pPr>
      <w:spacing w:line="520" w:lineRule="exact"/>
      <w:ind w:firstLine="560"/>
    </w:pPr>
    <w:rPr>
      <w:rFonts w:ascii="宋体"/>
      <w:sz w:val="28"/>
      <w:szCs w:val="24"/>
    </w:rPr>
  </w:style>
  <w:style w:type="paragraph" w:styleId="11">
    <w:name w:val="Block Text"/>
    <w:basedOn w:val="1"/>
    <w:qFormat/>
    <w:uiPriority w:val="0"/>
    <w:pPr>
      <w:snapToGrid w:val="0"/>
      <w:spacing w:line="420" w:lineRule="exact"/>
      <w:ind w:left="101" w:leftChars="48" w:right="149" w:rightChars="71" w:firstLine="426" w:firstLineChars="203"/>
    </w:pPr>
    <w:rPr>
      <w:szCs w:val="24"/>
    </w:rPr>
  </w:style>
  <w:style w:type="paragraph" w:styleId="12">
    <w:name w:val="Plain Text"/>
    <w:basedOn w:val="1"/>
    <w:qFormat/>
    <w:uiPriority w:val="0"/>
    <w:rPr>
      <w:rFonts w:ascii="宋体" w:hAnsi="Courier New"/>
    </w:rPr>
  </w:style>
  <w:style w:type="paragraph" w:styleId="13">
    <w:name w:val="Date"/>
    <w:basedOn w:val="1"/>
    <w:next w:val="1"/>
    <w:link w:val="33"/>
    <w:qFormat/>
    <w:uiPriority w:val="0"/>
    <w:pPr>
      <w:ind w:left="100" w:leftChars="2500"/>
    </w:pPr>
    <w:rPr>
      <w:kern w:val="0"/>
      <w:sz w:val="24"/>
      <w:szCs w:val="20"/>
    </w:rPr>
  </w:style>
  <w:style w:type="paragraph" w:styleId="14">
    <w:name w:val="Body Text Indent 2"/>
    <w:basedOn w:val="1"/>
    <w:qFormat/>
    <w:uiPriority w:val="0"/>
    <w:pPr>
      <w:widowControl w:val="0"/>
      <w:adjustRightInd/>
      <w:snapToGrid/>
      <w:spacing w:line="240" w:lineRule="auto"/>
      <w:ind w:firstLine="600"/>
      <w:jc w:val="left"/>
    </w:pPr>
    <w:rPr>
      <w:rFonts w:ascii="宋体" w:hAnsi="宋体"/>
      <w:kern w:val="2"/>
      <w:szCs w:val="24"/>
    </w:rPr>
  </w:style>
  <w:style w:type="paragraph" w:styleId="15">
    <w:name w:val="Balloon Text"/>
    <w:basedOn w:val="1"/>
    <w:link w:val="34"/>
    <w:semiHidden/>
    <w:qFormat/>
    <w:uiPriority w:val="0"/>
    <w:rPr>
      <w:kern w:val="0"/>
      <w:sz w:val="18"/>
      <w:szCs w:val="20"/>
    </w:rPr>
  </w:style>
  <w:style w:type="paragraph" w:styleId="16">
    <w:name w:val="footer"/>
    <w:basedOn w:val="1"/>
    <w:next w:val="1"/>
    <w:link w:val="35"/>
    <w:qFormat/>
    <w:uiPriority w:val="99"/>
    <w:pPr>
      <w:tabs>
        <w:tab w:val="center" w:pos="4153"/>
        <w:tab w:val="right" w:pos="8306"/>
      </w:tabs>
      <w:snapToGrid w:val="0"/>
      <w:jc w:val="left"/>
    </w:pPr>
    <w:rPr>
      <w:kern w:val="0"/>
      <w:sz w:val="18"/>
      <w:szCs w:val="20"/>
    </w:rPr>
  </w:style>
  <w:style w:type="paragraph" w:styleId="17">
    <w:name w:val="header"/>
    <w:basedOn w:val="1"/>
    <w:link w:val="36"/>
    <w:qFormat/>
    <w:uiPriority w:val="0"/>
    <w:pPr>
      <w:pBdr>
        <w:bottom w:val="single" w:color="auto" w:sz="6" w:space="1"/>
      </w:pBdr>
      <w:tabs>
        <w:tab w:val="center" w:pos="4153"/>
        <w:tab w:val="right" w:pos="8306"/>
      </w:tabs>
      <w:snapToGrid w:val="0"/>
      <w:jc w:val="center"/>
    </w:pPr>
    <w:rPr>
      <w:kern w:val="0"/>
      <w:sz w:val="18"/>
      <w:szCs w:val="20"/>
    </w:rPr>
  </w:style>
  <w:style w:type="paragraph" w:styleId="18">
    <w:name w:val="List"/>
    <w:basedOn w:val="1"/>
    <w:qFormat/>
    <w:uiPriority w:val="0"/>
    <w:pPr>
      <w:autoSpaceDE w:val="0"/>
      <w:autoSpaceDN w:val="0"/>
      <w:adjustRightInd w:val="0"/>
      <w:snapToGrid w:val="0"/>
      <w:spacing w:line="480" w:lineRule="exact"/>
      <w:jc w:val="center"/>
    </w:pPr>
    <w:rPr>
      <w:kern w:val="32"/>
      <w:sz w:val="24"/>
      <w:szCs w:val="20"/>
    </w:rPr>
  </w:style>
  <w:style w:type="paragraph" w:styleId="19">
    <w:name w:val="Body Text 2"/>
    <w:basedOn w:val="1"/>
    <w:qFormat/>
    <w:uiPriority w:val="0"/>
    <w:rPr>
      <w:kern w:val="0"/>
      <w:sz w:val="28"/>
    </w:rPr>
  </w:style>
  <w:style w:type="paragraph" w:styleId="20">
    <w:name w:val="Normal (Web)"/>
    <w:basedOn w:val="1"/>
    <w:next w:val="5"/>
    <w:link w:val="37"/>
    <w:qFormat/>
    <w:uiPriority w:val="0"/>
    <w:pPr>
      <w:widowControl/>
      <w:spacing w:before="100" w:beforeAutospacing="1" w:after="100" w:afterAutospacing="1"/>
      <w:jc w:val="left"/>
    </w:pPr>
    <w:rPr>
      <w:rFonts w:ascii="宋体" w:hAnsi="宋体"/>
      <w:kern w:val="0"/>
      <w:sz w:val="24"/>
      <w:szCs w:val="20"/>
    </w:rPr>
  </w:style>
  <w:style w:type="paragraph" w:styleId="21">
    <w:name w:val="annotation subject"/>
    <w:basedOn w:val="7"/>
    <w:next w:val="7"/>
    <w:link w:val="38"/>
    <w:semiHidden/>
    <w:qFormat/>
    <w:uiPriority w:val="0"/>
    <w:rPr>
      <w:b/>
      <w:sz w:val="24"/>
      <w:szCs w:val="20"/>
    </w:rPr>
  </w:style>
  <w:style w:type="paragraph" w:styleId="22">
    <w:name w:val="Body Text First Indent"/>
    <w:basedOn w:val="1"/>
    <w:qFormat/>
    <w:uiPriority w:val="0"/>
    <w:pPr>
      <w:keepNext w:val="0"/>
      <w:keepLines w:val="0"/>
      <w:widowControl/>
      <w:suppressLineNumbers w:val="0"/>
      <w:adjustRightInd w:val="0"/>
      <w:snapToGrid w:val="0"/>
      <w:spacing w:before="0" w:beforeAutospacing="0" w:after="0" w:afterAutospacing="0" w:line="360" w:lineRule="auto"/>
      <w:ind w:left="0" w:right="0" w:firstLine="200" w:firstLineChars="200"/>
      <w:jc w:val="both"/>
    </w:pPr>
    <w:rPr>
      <w:rFonts w:hint="default" w:ascii="Times New Roman" w:hAnsi="Times New Roman" w:eastAsia="宋体" w:cs="Times New Roman"/>
      <w:color w:val="000000"/>
      <w:kern w:val="2"/>
      <w:sz w:val="24"/>
      <w:szCs w:val="24"/>
      <w:lang w:val="en-US" w:eastAsia="zh-CN" w:bidi="ar"/>
    </w:rPr>
  </w:style>
  <w:style w:type="table" w:styleId="24">
    <w:name w:val="Table Grid"/>
    <w:basedOn w:val="23"/>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rPr>
  </w:style>
  <w:style w:type="character" w:styleId="27">
    <w:name w:val="page number"/>
    <w:basedOn w:val="25"/>
    <w:qFormat/>
    <w:uiPriority w:val="0"/>
  </w:style>
  <w:style w:type="character" w:styleId="28">
    <w:name w:val="Emphasis"/>
    <w:basedOn w:val="25"/>
    <w:qFormat/>
    <w:uiPriority w:val="0"/>
    <w:rPr>
      <w:i/>
    </w:rPr>
  </w:style>
  <w:style w:type="character" w:styleId="29">
    <w:name w:val="annotation reference"/>
    <w:semiHidden/>
    <w:qFormat/>
    <w:uiPriority w:val="0"/>
    <w:rPr>
      <w:sz w:val="21"/>
    </w:rPr>
  </w:style>
  <w:style w:type="character" w:customStyle="1" w:styleId="30">
    <w:name w:val="正文文本缩进 Char"/>
    <w:link w:val="9"/>
    <w:semiHidden/>
    <w:qFormat/>
    <w:uiPriority w:val="0"/>
    <w:rPr>
      <w:rFonts w:ascii="Times New Roman" w:hAnsi="Times New Roman" w:eastAsia="宋体"/>
      <w:sz w:val="24"/>
    </w:rPr>
  </w:style>
  <w:style w:type="character" w:customStyle="1" w:styleId="31">
    <w:name w:val="批注文字 Char"/>
    <w:link w:val="7"/>
    <w:qFormat/>
    <w:uiPriority w:val="0"/>
    <w:rPr>
      <w:rFonts w:ascii="Times New Roman" w:hAnsi="Times New Roman" w:eastAsia="宋体"/>
      <w:sz w:val="24"/>
    </w:rPr>
  </w:style>
  <w:style w:type="character" w:customStyle="1" w:styleId="32">
    <w:name w:val="正文文本 Char"/>
    <w:link w:val="8"/>
    <w:qFormat/>
    <w:uiPriority w:val="0"/>
    <w:rPr>
      <w:sz w:val="18"/>
    </w:rPr>
  </w:style>
  <w:style w:type="character" w:customStyle="1" w:styleId="33">
    <w:name w:val="日期 Char"/>
    <w:link w:val="13"/>
    <w:qFormat/>
    <w:uiPriority w:val="0"/>
    <w:rPr>
      <w:rFonts w:ascii="Times New Roman" w:hAnsi="Times New Roman" w:eastAsia="宋体"/>
      <w:sz w:val="24"/>
    </w:rPr>
  </w:style>
  <w:style w:type="character" w:customStyle="1" w:styleId="34">
    <w:name w:val="批注框文本 Char"/>
    <w:link w:val="15"/>
    <w:semiHidden/>
    <w:qFormat/>
    <w:uiPriority w:val="0"/>
    <w:rPr>
      <w:rFonts w:ascii="Times New Roman" w:hAnsi="Times New Roman" w:eastAsia="宋体"/>
      <w:sz w:val="18"/>
    </w:rPr>
  </w:style>
  <w:style w:type="character" w:customStyle="1" w:styleId="35">
    <w:name w:val="页脚 Char"/>
    <w:link w:val="16"/>
    <w:qFormat/>
    <w:uiPriority w:val="99"/>
    <w:rPr>
      <w:sz w:val="18"/>
    </w:rPr>
  </w:style>
  <w:style w:type="character" w:customStyle="1" w:styleId="36">
    <w:name w:val="页眉 Char"/>
    <w:link w:val="17"/>
    <w:qFormat/>
    <w:uiPriority w:val="0"/>
    <w:rPr>
      <w:sz w:val="18"/>
    </w:rPr>
  </w:style>
  <w:style w:type="character" w:customStyle="1" w:styleId="37">
    <w:name w:val="普通(网站) Char"/>
    <w:link w:val="20"/>
    <w:qFormat/>
    <w:uiPriority w:val="0"/>
    <w:rPr>
      <w:rFonts w:ascii="宋体" w:hAnsi="宋体" w:eastAsia="宋体"/>
      <w:sz w:val="24"/>
    </w:rPr>
  </w:style>
  <w:style w:type="character" w:customStyle="1" w:styleId="38">
    <w:name w:val="批注主题 Char"/>
    <w:link w:val="21"/>
    <w:semiHidden/>
    <w:qFormat/>
    <w:uiPriority w:val="0"/>
    <w:rPr>
      <w:rFonts w:ascii="Times New Roman" w:hAnsi="Times New Roman" w:eastAsia="宋体"/>
      <w:b/>
      <w:kern w:val="2"/>
      <w:sz w:val="24"/>
    </w:rPr>
  </w:style>
  <w:style w:type="paragraph" w:customStyle="1" w:styleId="39">
    <w:name w:val="xl97"/>
    <w:basedOn w:val="1"/>
    <w:next w:val="40"/>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kern w:val="0"/>
      <w:sz w:val="20"/>
      <w:szCs w:val="20"/>
      <w:lang w:val="en-US"/>
    </w:rPr>
  </w:style>
  <w:style w:type="paragraph" w:customStyle="1" w:styleId="40">
    <w:name w:val="xl127"/>
    <w:basedOn w:val="8"/>
    <w:next w:val="41"/>
    <w:qFormat/>
    <w:uiPriority w:val="0"/>
    <w:pPr>
      <w:widowControl/>
      <w:spacing w:before="100" w:beforeAutospacing="1" w:after="100" w:afterAutospacing="1" w:line="240" w:lineRule="auto"/>
      <w:ind w:firstLine="0" w:firstLineChars="0"/>
      <w:jc w:val="left"/>
      <w:textAlignment w:val="center"/>
    </w:pPr>
    <w:rPr>
      <w:kern w:val="0"/>
      <w:sz w:val="18"/>
      <w:szCs w:val="18"/>
      <w:lang w:val="en-US"/>
    </w:rPr>
  </w:style>
  <w:style w:type="paragraph" w:customStyle="1" w:styleId="41">
    <w:name w:val="1"/>
    <w:basedOn w:val="19"/>
    <w:next w:val="1"/>
    <w:qFormat/>
    <w:uiPriority w:val="0"/>
    <w:pPr>
      <w:spacing w:before="0" w:after="0" w:line="480" w:lineRule="auto"/>
      <w:jc w:val="center"/>
    </w:pPr>
  </w:style>
  <w:style w:type="paragraph" w:customStyle="1" w:styleId="42">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43">
    <w:name w:val="样式 正文文本 + 首行缩进:  2 字符"/>
    <w:qFormat/>
    <w:uiPriority w:val="99"/>
    <w:pPr>
      <w:spacing w:after="200" w:line="480" w:lineRule="exact"/>
      <w:ind w:firstLine="480" w:firstLineChars="200"/>
    </w:pPr>
    <w:rPr>
      <w:rFonts w:ascii="Times New Roman" w:hAnsi="Times New Roman" w:eastAsia="微软雅黑" w:cs="Times New Roman"/>
      <w:sz w:val="24"/>
      <w:szCs w:val="22"/>
      <w:lang w:val="en-US" w:eastAsia="zh-CN" w:bidi="ar-SA"/>
    </w:rPr>
  </w:style>
  <w:style w:type="character" w:customStyle="1" w:styleId="44">
    <w:name w:val="页脚 字符"/>
    <w:basedOn w:val="25"/>
    <w:qFormat/>
    <w:uiPriority w:val="99"/>
  </w:style>
  <w:style w:type="character" w:customStyle="1" w:styleId="45">
    <w:name w:val="正文文本 字符1"/>
    <w:semiHidden/>
    <w:qFormat/>
    <w:uiPriority w:val="0"/>
    <w:rPr>
      <w:rFonts w:ascii="Times New Roman" w:hAnsi="Times New Roman" w:eastAsia="宋体"/>
      <w:sz w:val="24"/>
    </w:rPr>
  </w:style>
  <w:style w:type="character" w:customStyle="1" w:styleId="46">
    <w:name w:val="表格 Char"/>
    <w:link w:val="47"/>
    <w:qFormat/>
    <w:uiPriority w:val="0"/>
    <w:rPr>
      <w:rFonts w:ascii="宋体"/>
      <w:sz w:val="21"/>
    </w:rPr>
  </w:style>
  <w:style w:type="paragraph" w:customStyle="1" w:styleId="47">
    <w:name w:val="表格"/>
    <w:basedOn w:val="1"/>
    <w:link w:val="46"/>
    <w:qFormat/>
    <w:uiPriority w:val="0"/>
    <w:pPr>
      <w:adjustRightInd w:val="0"/>
      <w:snapToGrid w:val="0"/>
      <w:spacing w:beforeLines="10" w:afterLines="10" w:line="259" w:lineRule="auto"/>
      <w:jc w:val="center"/>
    </w:pPr>
    <w:rPr>
      <w:rFonts w:ascii="宋体"/>
      <w:kern w:val="0"/>
      <w:szCs w:val="20"/>
    </w:rPr>
  </w:style>
  <w:style w:type="character" w:customStyle="1" w:styleId="48">
    <w:name w:val="日期 字符"/>
    <w:semiHidden/>
    <w:qFormat/>
    <w:uiPriority w:val="0"/>
    <w:rPr>
      <w:rFonts w:ascii="Times New Roman" w:hAnsi="Times New Roman" w:eastAsia="宋体"/>
      <w:sz w:val="24"/>
    </w:rPr>
  </w:style>
  <w:style w:type="character" w:customStyle="1" w:styleId="49">
    <w:name w:val="批注文字 字符1"/>
    <w:semiHidden/>
    <w:qFormat/>
    <w:uiPriority w:val="0"/>
    <w:rPr>
      <w:rFonts w:ascii="Times New Roman" w:hAnsi="Times New Roman" w:eastAsia="宋体"/>
      <w:sz w:val="24"/>
    </w:rPr>
  </w:style>
  <w:style w:type="paragraph" w:customStyle="1" w:styleId="50">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1">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2">
    <w:name w:val="表头"/>
    <w:basedOn w:val="18"/>
    <w:next w:val="1"/>
    <w:qFormat/>
    <w:uiPriority w:val="0"/>
    <w:pPr>
      <w:autoSpaceDE w:val="0"/>
      <w:autoSpaceDN w:val="0"/>
      <w:adjustRightInd w:val="0"/>
      <w:snapToGrid w:val="0"/>
      <w:spacing w:before="80" w:after="80" w:line="480" w:lineRule="exact"/>
      <w:jc w:val="center"/>
    </w:pPr>
    <w:rPr>
      <w:rFonts w:ascii="Times New Roman" w:hAnsi="Times New Roman" w:eastAsia="宋体" w:cs="Times New Roman"/>
      <w:b/>
      <w:color w:val="000000"/>
      <w:kern w:val="32"/>
      <w:szCs w:val="20"/>
    </w:rPr>
  </w:style>
  <w:style w:type="paragraph" w:customStyle="1" w:styleId="53">
    <w:name w:val="表格文字"/>
    <w:basedOn w:val="5"/>
    <w:next w:val="1"/>
    <w:qFormat/>
    <w:uiPriority w:val="0"/>
    <w:pPr>
      <w:adjustRightInd w:val="0"/>
      <w:snapToGrid w:val="0"/>
      <w:spacing w:line="400" w:lineRule="exact"/>
      <w:jc w:val="center"/>
    </w:pPr>
    <w:rPr>
      <w:color w:val="000000"/>
      <w:kern w:val="32"/>
      <w:szCs w:val="20"/>
    </w:rPr>
  </w:style>
  <w:style w:type="paragraph" w:customStyle="1" w:styleId="54">
    <w:name w:val="表中文字"/>
    <w:basedOn w:val="1"/>
    <w:qFormat/>
    <w:uiPriority w:val="0"/>
    <w:pPr>
      <w:adjustRightInd w:val="0"/>
      <w:snapToGrid w:val="0"/>
      <w:spacing w:line="240" w:lineRule="auto"/>
      <w:ind w:firstLine="0" w:firstLineChars="0"/>
      <w:jc w:val="center"/>
    </w:pPr>
    <w:rPr>
      <w:rFonts w:ascii="Times New Roman" w:hAnsi="Times New Roman"/>
      <w:sz w:val="21"/>
    </w:rPr>
  </w:style>
  <w:style w:type="paragraph" w:customStyle="1" w:styleId="55">
    <w:name w:val="样式 正文文本 + 首行缩进: 2 字符"/>
    <w:basedOn w:val="1"/>
    <w:qFormat/>
    <w:uiPriority w:val="0"/>
    <w:pPr>
      <w:widowControl/>
      <w:spacing w:after="200" w:afterAutospacing="0" w:line="480" w:lineRule="exact"/>
      <w:ind w:firstLine="480" w:firstLineChars="200"/>
      <w:jc w:val="left"/>
    </w:pPr>
    <w:rPr>
      <w:rFonts w:hint="default" w:ascii="Times New Roman" w:hAnsi="Times New Roman" w:eastAsia="微软雅黑" w:cs="Times New Roman"/>
      <w:kern w:val="0"/>
      <w:sz w:val="24"/>
      <w:szCs w:val="24"/>
      <w:lang w:val="en-US" w:eastAsia="zh-CN" w:bidi="ar"/>
    </w:rPr>
  </w:style>
  <w:style w:type="paragraph" w:customStyle="1" w:styleId="56">
    <w:name w:val="Normal"/>
    <w:qFormat/>
    <w:uiPriority w:val="0"/>
    <w:pPr>
      <w:jc w:val="both"/>
    </w:pPr>
    <w:rPr>
      <w:rFonts w:ascii="宋体" w:hAnsi="宋体" w:eastAsia="宋体" w:cs="宋体"/>
      <w:kern w:val="2"/>
      <w:sz w:val="21"/>
      <w:szCs w:val="21"/>
      <w:lang w:val="en-US" w:eastAsia="zh-CN" w:bidi="ar-SA"/>
    </w:rPr>
  </w:style>
  <w:style w:type="paragraph" w:customStyle="1" w:styleId="57">
    <w:name w:val="环评 表格"/>
    <w:basedOn w:val="58"/>
    <w:qFormat/>
    <w:uiPriority w:val="0"/>
    <w:pPr>
      <w:pBdr>
        <w:top w:val="none" w:color="auto" w:sz="0" w:space="1"/>
        <w:left w:val="dashed" w:color="FFFFFF" w:sz="4" w:space="4"/>
        <w:bottom w:val="none" w:color="auto" w:sz="0" w:space="1"/>
        <w:right w:val="dashed" w:color="FFFFFF" w:sz="4" w:space="4"/>
      </w:pBdr>
      <w:ind w:firstLine="0" w:firstLineChars="0"/>
      <w:jc w:val="center"/>
    </w:pPr>
    <w:rPr>
      <w:sz w:val="21"/>
      <w:szCs w:val="21"/>
      <w:lang w:eastAsia="en-US"/>
    </w:rPr>
  </w:style>
  <w:style w:type="paragraph" w:customStyle="1" w:styleId="58">
    <w:name w:val="无间隔1"/>
    <w:qFormat/>
    <w:uiPriority w:val="1"/>
    <w:pPr>
      <w:widowControl w:val="0"/>
      <w:ind w:firstLine="200" w:firstLineChars="200"/>
      <w:jc w:val="both"/>
    </w:pPr>
    <w:rPr>
      <w:rFonts w:ascii="Calibri" w:hAnsi="Calibri" w:eastAsia="宋体" w:cs="Calibri"/>
      <w:kern w:val="2"/>
      <w:sz w:val="24"/>
      <w:szCs w:val="24"/>
      <w:lang w:val="en-US" w:eastAsia="zh-CN" w:bidi="ar-SA"/>
    </w:rPr>
  </w:style>
  <w:style w:type="paragraph" w:customStyle="1" w:styleId="59">
    <w:name w:val="表格文字（小）"/>
    <w:basedOn w:val="1"/>
    <w:qFormat/>
    <w:uiPriority w:val="0"/>
    <w:pPr>
      <w:snapToGrid w:val="0"/>
      <w:spacing w:line="240" w:lineRule="atLeast"/>
      <w:jc w:val="center"/>
    </w:pPr>
    <w:rPr>
      <w:rFonts w:ascii="Times New Roman" w:hAnsi="Times New Roman"/>
      <w:color w:val="000000"/>
      <w:kern w:val="0"/>
      <w:szCs w:val="21"/>
    </w:rPr>
  </w:style>
  <w:style w:type="paragraph" w:customStyle="1" w:styleId="60">
    <w:name w:val="表格文字1"/>
    <w:basedOn w:val="1"/>
    <w:qFormat/>
    <w:uiPriority w:val="0"/>
    <w:pPr>
      <w:adjustRightInd/>
      <w:spacing w:line="400" w:lineRule="atLeast"/>
      <w:jc w:val="center"/>
      <w:textAlignment w:val="auto"/>
    </w:pPr>
    <w:rPr>
      <w:szCs w:val="21"/>
    </w:rPr>
  </w:style>
  <w:style w:type="paragraph" w:customStyle="1" w:styleId="61">
    <w:name w:val="正文-环评"/>
    <w:basedOn w:val="5"/>
    <w:qFormat/>
    <w:uiPriority w:val="0"/>
    <w:pPr>
      <w:spacing w:line="480" w:lineRule="exact"/>
      <w:ind w:firstLineChars="0"/>
    </w:pPr>
    <w:rPr>
      <w:rFonts w:eastAsia="仿宋"/>
      <w:sz w:val="28"/>
      <w:szCs w:val="28"/>
    </w:rPr>
  </w:style>
  <w:style w:type="paragraph" w:customStyle="1" w:styleId="62">
    <w:name w:val="26磅标题"/>
    <w:basedOn w:val="1"/>
    <w:qFormat/>
    <w:uiPriority w:val="0"/>
    <w:pPr>
      <w:spacing w:beforeLines="50" w:line="520" w:lineRule="exact"/>
      <w:ind w:firstLine="200" w:firstLineChars="200"/>
    </w:pPr>
    <w:rPr>
      <w:rFonts w:ascii="宋体" w:hAnsi="宋体"/>
      <w:b/>
      <w:sz w:val="28"/>
    </w:rPr>
  </w:style>
  <w:style w:type="paragraph" w:customStyle="1" w:styleId="63">
    <w:name w:val="环评正文"/>
    <w:qFormat/>
    <w:uiPriority w:val="0"/>
    <w:pPr>
      <w:adjustRightInd w:val="0"/>
      <w:snapToGrid w:val="0"/>
      <w:spacing w:line="480" w:lineRule="exact"/>
      <w:ind w:firstLine="200" w:firstLineChars="200"/>
    </w:pPr>
    <w:rPr>
      <w:rFonts w:ascii="Times New Roman" w:hAnsi="Times New Roman" w:eastAsia="宋体" w:cs="Times New Roman"/>
      <w:sz w:val="24"/>
      <w:lang w:val="en-US" w:eastAsia="zh-CN" w:bidi="ar-SA"/>
    </w:rPr>
  </w:style>
  <w:style w:type="paragraph" w:customStyle="1" w:styleId="64">
    <w:name w:val="表格名称"/>
    <w:basedOn w:val="1"/>
    <w:qFormat/>
    <w:uiPriority w:val="0"/>
    <w:pPr>
      <w:spacing w:before="50" w:beforeLines="50" w:line="240" w:lineRule="auto"/>
      <w:ind w:firstLine="0" w:firstLineChars="0"/>
      <w:jc w:val="center"/>
    </w:pPr>
    <w:rPr>
      <w:rFonts w:eastAsia="宋体"/>
      <w:b/>
      <w:sz w:val="21"/>
      <w:szCs w:val="21"/>
    </w:rPr>
  </w:style>
  <w:style w:type="paragraph" w:customStyle="1" w:styleId="65">
    <w:name w:val="环评正文1"/>
    <w:qFormat/>
    <w:uiPriority w:val="0"/>
    <w:pPr>
      <w:widowControl w:val="0"/>
      <w:spacing w:line="440" w:lineRule="exact"/>
      <w:ind w:firstLine="560" w:firstLineChars="200"/>
      <w:jc w:val="both"/>
    </w:pPr>
    <w:rPr>
      <w:rFonts w:ascii="仿宋_GB2312" w:hAnsi="宋体" w:eastAsia="仿宋_GB2312" w:cs="Times New Roman"/>
      <w:kern w:val="2"/>
      <w:sz w:val="2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TQ4OTMxODMxMDc3IiwKCSJHcm91cElkIiA6ICIxMDY0MjgxNjUyIiwKCSJJbWFnZSIgOiAiIiwKCSJUaGVtZSIgOiAiIiwKCSJUeXBlIiA6ICJmbG93IiwKCSJVc2VySWQiIDogIiIsCgkiVmVyc2lvbiIgOiAiIgp9Cg=="/>
    </extobj>
    <extobj name="ECB019B1-382A-4266-B25C-5B523AA43C14-2">
      <extobjdata type="ECB019B1-382A-4266-B25C-5B523AA43C14" data="ewoJIkZpbGVJZCIgOiAiNTQ4OTMxODMxMDc3IiwKCSJHcm91cElkIiA6ICIxMDY0MjgxNjUyIiwKCSJJbWFnZSIgOiAiIiwKCSJUaGVtZSIgOiAiIiwKCSJUeXBlIiA6ICJmbG93IiwKCSJVc2VySWQiIDogIiIsCgkiVmVyc2lvbiIgOiAiIgp9Cg=="/>
    </extobj>
    <extobj name="ECB019B1-382A-4266-B25C-5B523AA43C14-3">
      <extobjdata type="ECB019B1-382A-4266-B25C-5B523AA43C14" data="ewoJIkZpbGVJZCIgOiAiNTQ5MDY5OTU2ODI3IiwKCSJHcm91cElkIiA6ICIxMDY0MjgxNjUyIiwKCSJJbWFnZSIgOiAiIiwKCSJUaGVtZSIgOiAiIiwKCSJUeXBlIiA6ICJmbG93IiwKCSJVc2VySWQiIDogIiIsCgkiVmVyc2lvbiIgOiAiIgp9Cg=="/>
    </extobj>
  </extobjs>
</s:customData>
</file>

<file path=customXml/item2.xml><?xml version="1.0" encoding="utf-8"?>
<contractReview xmlns="http://schemas.wps.cn/vas-ai-hub/contract-review">
  <reviewItems>
    <reviewItem>
      <errorID>1d815acc-660c-4367-b50d-b4db1220e274</errorID>
      <errorWord>《产业结构调整指导目录》（2024年本）</errorWord>
      <group>L1_Knowledge</group>
      <groupName>知识性问题</groupName>
      <ability>L2_Knowledge</ability>
      <abilityName>其他知识</abilityName>
      <candidateList>
        <item>《产业结构调整指导目录（2024年本）》</item>
      </candidateList>
      <explain>疑似政策文件、法律法规名称等书写不规范，请注意检查。</explain>
      <paraID> ED2B2ED</paraID>
      <start>2</start>
      <end>22</end>
      <status>modified</status>
      <modifiedWord>《产业结构调整指导目录（2024年本）》</modifiedWord>
      <trackRevisions>false</trackRevisions>
    </reviewItem>
    <reviewItem>
      <errorID>ea87e97c-f419-4e74-9305-766a4e5af326</errorID>
      <errorWord>~</errorWord>
      <group>L1_Format</group>
      <groupName>格式问题</groupName>
      <ability>L2_HalfPunc_CN</ability>
      <abilityName>全半角问题</abilityName>
      <candidateList>
        <item>～</item>
      </candidateList>
      <explain>文本全半角错误。</explain>
      <paraID>743FEB07</paraID>
      <start>135</start>
      <end>136</end>
      <status>unmodified</status>
      <modifiedWord/>
      <trackRevisions>false</trackRevisions>
    </reviewItem>
    <reviewItem>
      <errorID>fa7e8add-c10b-4c3d-9ddc-bb3ec34c6159</errorID>
      <errorWord>~</errorWord>
      <group>L1_Format</group>
      <groupName>格式问题</groupName>
      <ability>L2_HalfPunc_CN</ability>
      <abilityName>全半角问题</abilityName>
      <candidateList>
        <item>～</item>
      </candidateList>
      <explain>文本全半角错误。</explain>
      <paraID>56AA1826</paraID>
      <start>76</start>
      <end>77</end>
      <status>unmodified</status>
      <modifiedWord/>
      <trackRevisions>false</trackRevisions>
    </reviewItem>
    <reviewItem>
      <errorID>5109f5b8-7e2f-468b-8c05-9b8918955565</errorID>
      <errorWord>~</errorWord>
      <group>L1_Format</group>
      <groupName>格式问题</groupName>
      <ability>L2_HalfPunc_CN</ability>
      <abilityName>全半角问题</abilityName>
      <candidateList>
        <item>～</item>
      </candidateList>
      <explain>文本全半角错误。</explain>
      <paraID>56AA1826</paraID>
      <start>121</start>
      <end>122</end>
      <status>unmodified</status>
      <modifiedWord/>
      <trackRevisions>false</trackRevisions>
    </reviewItem>
    <reviewItem>
      <errorID>7a6d653a-642f-44f9-84a3-88999031e933</errorID>
      <errorWord>~</errorWord>
      <group>L1_Format</group>
      <groupName>格式问题</groupName>
      <ability>L2_HalfPunc_CN</ability>
      <abilityName>全半角问题</abilityName>
      <candidateList>
        <item>～</item>
      </candidateList>
      <explain>文本全半角错误。</explain>
      <paraID>51C47EAC</paraID>
      <start>3</start>
      <end>4</end>
      <status>unmodified</status>
      <modifiedWord/>
      <trackRevisions>false</trackRevisions>
    </reviewItem>
    <reviewItem>
      <errorID>b2094606-d4a5-4d35-8a46-0fd4ef2ce47b</errorID>
      <errorWord>&gt;</errorWord>
      <group>L1_Punc</group>
      <groupName>标点问题</groupName>
      <ability>L2_Punc_CN</ability>
      <abilityName>标点符号问题</abilityName>
      <candidateList/>
      <explain/>
      <paraID> B93E79D</paraID>
      <start>0</start>
      <end>1</end>
      <status>unmodified</status>
      <modifiedWord/>
      <trackRevisions>false</trackRevisions>
    </reviewItem>
    <reviewItem>
      <errorID>803a24b7-001f-4e54-9c79-db6e43466b89</errorID>
      <errorWord>&gt;</errorWord>
      <group>L1_Punc</group>
      <groupName>标点问题</groupName>
      <ability>L2_Punc_CN</ability>
      <abilityName>标点符号问题</abilityName>
      <candidateList/>
      <explain/>
      <paraID>388CB189</paraID>
      <start>0</start>
      <end>1</end>
      <status>unmodified</status>
      <modifiedWord/>
      <trackRevisions>false</trackRevisions>
    </reviewItem>
    <reviewItem>
      <errorID>8599e0a4-0157-4c41-b956-cc22d5fc3a5a</errorID>
      <errorWord>&gt;</errorWord>
      <group>L1_Punc</group>
      <groupName>标点问题</groupName>
      <ability>L2_Punc_CN</ability>
      <abilityName>标点符号问题</abilityName>
      <candidateList/>
      <explain/>
      <paraID>7E6288A2</paraID>
      <start>0</start>
      <end>1</end>
      <status>unmodified</status>
      <modifiedWord/>
      <trackRevisions>false</trackRevisions>
    </reviewItem>
    <reviewItem>
      <errorID>d903b880-a413-4675-a49b-f1e638f4b5f8</errorID>
      <errorWord>&gt;</errorWord>
      <group>L1_Punc</group>
      <groupName>标点问题</groupName>
      <ability>L2_Punc_CN</ability>
      <abilityName>标点符号问题</abilityName>
      <candidateList/>
      <explain/>
      <paraID>3ABDD802</paraID>
      <start>0</start>
      <end>1</end>
      <status>unmodified</status>
      <modifiedWord/>
      <trackRevisions>false</trackRevisions>
    </reviewItem>
    <reviewItem>
      <errorID>1b8ee693-cee7-4f45-bd33-79a7c50f4bad</errorID>
      <errorWord>0.5~2.0%</errorWord>
      <group>L1_Knowledge</group>
      <groupName>知识性问题</groupName>
      <ability>L2_Knowledge</ability>
      <abilityName>其他知识</abilityName>
      <candidateList>
        <item>0.5%～2.0%</item>
      </candidateList>
      <explain>1. “0.5~2.0%”中的单位“%”仅出现在后一个数字上，容易引起歧义；根据《现代汉语标点符号数字用法规范手册》，数字表示范围两边需要使用统一的格式。2. 根据标点国标 4.13 中的规则，数字、时间或地域连接符应使用（视觉上更长的）“—”或“～”。</explain>
      <paraID>22BA4866</paraID>
      <start>0</start>
      <end>8</end>
      <status>unmodified</status>
      <modifiedWord/>
      <trackRevisions>false</trackRevisions>
    </reviewItem>
    <reviewItem>
      <errorID>9f681c0c-f3df-479d-88e1-5f52b4385c47</errorID>
      <errorWord>（</errorWord>
      <group>L1_Punc</group>
      <groupName>标点问题</groupName>
      <ability>L2_Punc_CN</ability>
      <abilityName>标点符号问题</abilityName>
      <candidateList/>
      <explain>同一形式括号套用。</explain>
      <paraID>732F89F1</paraID>
      <start>164</start>
      <end>165</end>
      <status>unmodified</status>
      <modifiedWord/>
      <trackRevisions>false</trackRevisions>
    </reviewItem>
    <reviewItem>
      <errorID>dc68b99c-b7ff-44f8-b35e-3206e1af3484</errorID>
      <errorWord>）</errorWord>
      <group>L1_Punc</group>
      <groupName>标点问题</groupName>
      <ability>L2_Punc_CN</ability>
      <abilityName>标点符号问题</abilityName>
      <candidateList/>
      <explain>同一形式括号套用。</explain>
      <paraID>732F89F1</paraID>
      <start>167</start>
      <end>168</end>
      <status>unmodified</status>
      <modifiedWord/>
      <trackRevisions>false</trackRevisions>
    </reviewItem>
    <reviewItem>
      <errorID>526a0176-726a-4716-a398-da6876f74c63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732F89F1</paraID>
      <start>204</start>
      <end>205</end>
      <status>unmodified</status>
      <modifiedWord/>
      <trackRevisions>false</trackRevisions>
    </reviewItem>
    <reviewItem>
      <errorID>5a062581-c7ab-4354-9ebb-fbf656748205</errorID>
      <errorWord>雲</errorWord>
      <group>L1_Word</group>
      <groupName>字词问题</groupName>
      <ability>L2_Fanti</ability>
      <abilityName>繁转简</abilityName>
      <candidateList>
        <item>云</item>
      </candidateList>
      <explain/>
      <paraID>4E480B55</paraID>
      <start>9</start>
      <end>10</end>
      <status>unmodified</status>
      <modifiedWord/>
      <trackRevisions>false</trackRevisions>
    </reviewItem>
    <reviewItem>
      <errorID>b3afef7d-9556-4e7b-8910-215979369369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5E484CF6</paraID>
      <start>162</start>
      <end>163</end>
      <status>unmodified</status>
      <modifiedWord/>
      <trackRevisions>false</trackRevisions>
    </reviewItem>
    <reviewItem>
      <errorID>75731cc1-94b1-471e-aa56-bdbfa927fe87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7C4BB00F</paraID>
      <start>13</start>
      <end>14</end>
      <status>unmodified</status>
      <modifiedWord/>
      <trackRevisions>false</trackRevisions>
    </reviewItem>
    <reviewItem>
      <errorID>21021a69-11e9-44ca-9ed2-7e925771ff40</errorID>
      <errorWord>》（试行）</errorWord>
      <group>L1_Word</group>
      <groupName>字词问题</groupName>
      <ability>L2_Typo</ability>
      <abilityName>字词错误</abilityName>
      <candidateList>
        <item>（试行）》</item>
      </candidateList>
      <explain/>
      <paraID> F2DB2C3</paraID>
      <start>50</start>
      <end>55</end>
      <status>modified</status>
      <modifiedWord>（试行）》</modifiedWord>
      <trackRevisions>false</trackRevisions>
    </reviewItem>
    <reviewItem>
      <errorID>cc9024be-2036-4d47-b1ec-936c64ba88fc</errorID>
      <errorWord>》（试行）</errorWord>
      <group>L1_Word</group>
      <groupName>字词问题</groupName>
      <ability>L2_Typo</ability>
      <abilityName>字词错误</abilityName>
      <candidateList>
        <item>（试行）》</item>
      </candidateList>
      <explain/>
      <paraID> E98CBC7</paraID>
      <start>83</start>
      <end>88</end>
      <status>modified</status>
      <modifiedWord>（试行）》</modifiedWord>
      <trackRevisions>false</trackRevisions>
    </reviewItem>
    <reviewItem>
      <errorID>e004bef0-474e-460d-80f0-5d9fca6d952a</errorID>
      <errorWord>30%~100%</errorWord>
      <group>L1_Knowledge</group>
      <groupName>知识性问题</groupName>
      <ability>L2_Knowledge</ability>
      <abilityName>其他知识</abilityName>
      <candidateList>
        <item>30%～100%</item>
      </candidateList>
      <explain>1. “30%~100%”中的单位“%”仅出现在后一个数字上，容易引起歧义；根据《现代汉语标点符号数字用法规范手册》，数字表示范围两边需要使用统一的格式。2.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48E5F810</paraID>
      <start>0</start>
      <end>8</end>
      <status>unmodified</status>
      <modifiedWord/>
      <trackRevisions>false</trackRevisions>
    </reviewItem>
    <reviewItem>
      <errorID>686f8376-87f3-4df8-9b1e-b051d9973821</errorID>
      <errorWord>（</errorWord>
      <group>L1_Punc</group>
      <groupName>标点问题</groupName>
      <ability>L2_Punc_CN</ability>
      <abilityName>标点符号问题</abilityName>
      <candidateList/>
      <explain>同一形式括号套用。</explain>
      <paraID>311BB5FD</paraID>
      <start>15</start>
      <end>16</end>
      <status>unmodified</status>
      <modifiedWord/>
      <trackRevisions>false</trackRevisions>
    </reviewItem>
    <reviewItem>
      <errorID>fd4ab689-5e2a-454e-a0a0-22a8ed38c5ff</errorID>
      <errorWord>）</errorWord>
      <group>L1_Punc</group>
      <groupName>标点问题</groupName>
      <ability>L2_Punc_CN</ability>
      <abilityName>标点符号问题</abilityName>
      <candidateList/>
      <explain>同一形式括号套用。</explain>
      <paraID>311BB5FD</paraID>
      <start>17</start>
      <end>18</end>
      <status>unmodified</status>
      <modifiedWord/>
      <trackRevisions>false</trackRevisions>
    </reviewItem>
    <reviewItem>
      <errorID>e18eb1ee-855a-40be-9a88-322d90d3ef37</errorID>
      <errorWord>（</errorWord>
      <group>L1_Punc</group>
      <groupName>标点问题</groupName>
      <ability>L2_Punc_CN</ability>
      <abilityName>标点符号问题</abilityName>
      <candidateList/>
      <explain>同一形式括号套用。</explain>
      <paraID>4B796AE3</paraID>
      <start>3</start>
      <end>4</end>
      <status>unmodified</status>
      <modifiedWord/>
      <trackRevisions>false</trackRevisions>
    </reviewItem>
    <reviewItem>
      <errorID>9827b1cb-5c64-438d-a77c-0da646f8b341</errorID>
      <errorWord>(</errorWord>
      <group>L1_Punc</group>
      <groupName>标点问题</groupName>
      <ability>L2_Punc_CN</ability>
      <abilityName>标点符号问题</abilityName>
      <candidateList/>
      <explain>同一形式括号套用。</explain>
      <paraID>4B796AE3</paraID>
      <start>6</start>
      <end>7</end>
      <status>unmodified</status>
      <modifiedWord/>
      <trackRevisions>false</trackRevisions>
    </reviewItem>
    <reviewItem>
      <errorID>47b97184-5069-4212-8e75-ca11607be0b6</errorID>
      <errorWord>)</errorWord>
      <group>L1_Punc</group>
      <groupName>标点问题</groupName>
      <ability>L2_Punc_CN</ability>
      <abilityName>标点符号问题</abilityName>
      <candidateList/>
      <explain>同一形式括号套用。</explain>
      <paraID>4B796AE3</paraID>
      <start>8</start>
      <end>9</end>
      <status>unmodified</status>
      <modifiedWord/>
      <trackRevisions>false</trackRevisions>
    </reviewItem>
    <reviewItem>
      <errorID>ff40597b-d013-44d1-b247-ac6daedb6d0a</errorID>
      <errorWord>）</errorWord>
      <group>L1_Punc</group>
      <groupName>标点问题</groupName>
      <ability>L2_Punc_CN</ability>
      <abilityName>标点符号问题</abilityName>
      <candidateList/>
      <explain>同一形式括号套用。</explain>
      <paraID>4B796AE3</paraID>
      <start>9</start>
      <end>10</end>
      <status>unmodified</status>
      <modifiedWord/>
      <trackRevisions>false</trackRevisions>
    </reviewItem>
    <reviewItem>
      <errorID>53476e31-9b94-42e9-ad10-3577ba7fb243</errorID>
      <errorWord>（</errorWord>
      <group>L1_Punc</group>
      <groupName>标点问题</groupName>
      <ability>L2_Punc_CN</ability>
      <abilityName>标点符号问题</abilityName>
      <candidateList/>
      <explain>同一形式括号套用。</explain>
      <paraID>41B60CB3</paraID>
      <start>4</start>
      <end>5</end>
      <status>unmodified</status>
      <modifiedWord/>
      <trackRevisions>false</trackRevisions>
    </reviewItem>
    <reviewItem>
      <errorID>8d4f696b-e9d2-4f3f-a3f0-70371e7ef999</errorID>
      <errorWord>(</errorWord>
      <group>L1_Punc</group>
      <groupName>标点问题</groupName>
      <ability>L2_Punc_CN</ability>
      <abilityName>标点符号问题</abilityName>
      <candidateList/>
      <explain>同一形式括号套用。</explain>
      <paraID>41B60CB3</paraID>
      <start>7</start>
      <end>8</end>
      <status>unmodified</status>
      <modifiedWord/>
      <trackRevisions>false</trackRevisions>
    </reviewItem>
    <reviewItem>
      <errorID>6b8f2eec-c25e-48de-9f07-911590c30631</errorID>
      <errorWord>)</errorWord>
      <group>L1_Punc</group>
      <groupName>标点问题</groupName>
      <ability>L2_Punc_CN</ability>
      <abilityName>标点符号问题</abilityName>
      <candidateList/>
      <explain>同一形式括号套用。</explain>
      <paraID>41B60CB3</paraID>
      <start>9</start>
      <end>10</end>
      <status>unmodified</status>
      <modifiedWord/>
      <trackRevisions>false</trackRevisions>
    </reviewItem>
    <reviewItem>
      <errorID>3776f275-b1e6-4b98-8dde-4f5ee69f29b0</errorID>
      <errorWord>）</errorWord>
      <group>L1_Punc</group>
      <groupName>标点问题</groupName>
      <ability>L2_Punc_CN</ability>
      <abilityName>标点符号问题</abilityName>
      <candidateList/>
      <explain>同一形式括号套用。</explain>
      <paraID>41B60CB3</paraID>
      <start>10</start>
      <end>11</end>
      <status>unmodified</status>
      <modifiedWord/>
      <trackRevisions>false</trackRevisions>
    </reviewItem>
    <reviewItem>
      <errorID>5cb01633-6218-4a40-8deb-27f864682953</errorID>
      <errorWord>（</errorWord>
      <group>L1_Punc</group>
      <groupName>标点问题</groupName>
      <ability>L2_Punc_CN</ability>
      <abilityName>标点符号问题</abilityName>
      <candidateList/>
      <explain>同一形式括号套用。</explain>
      <paraID>3556D547</paraID>
      <start>124</start>
      <end>125</end>
      <status>unmodified</status>
      <modifiedWord/>
      <trackRevisions>false</trackRevisions>
    </reviewItem>
    <reviewItem>
      <errorID>349b894c-d411-4c07-ada7-5f020d0d5f66</errorID>
      <errorWord>）</errorWord>
      <group>L1_Punc</group>
      <groupName>标点问题</groupName>
      <ability>L2_Punc_CN</ability>
      <abilityName>标点符号问题</abilityName>
      <candidateList/>
      <explain>同一形式括号套用。</explain>
      <paraID>3556D547</paraID>
      <start>140</start>
      <end>141</end>
      <status>unmodified</status>
      <modifiedWord/>
      <trackRevisions>false</trackRevisions>
    </reviewItem>
    <reviewItem>
      <errorID>7ee2404d-7d91-4ff0-b19b-602f93afbda3</errorID>
      <errorWord>》中</errorWord>
      <group>L1_Word</group>
      <groupName>字词问题</groupName>
      <ability>L2_Typo</ability>
      <abilityName>字词错误</abilityName>
      <candidateList>
        <item>》</item>
      </candidateList>
      <explain/>
      <paraID> 2311D36</paraID>
      <start>21</start>
      <end>23</end>
      <status>unmodified</status>
      <modifiedWord/>
      <trackRevisions>false</trackRevisions>
    </reviewItem>
    <reviewItem>
      <errorID>332dc275-399d-4b16-88ff-663ee2d57a65</errorID>
      <errorWord>.</errorWord>
      <group>L1_Format</group>
      <groupName>格式问题</groupName>
      <ability>L2_HalfPunc_CN</ability>
      <abilityName>全半角问题</abilityName>
      <candidateList>
        <item>。</item>
      </candidateList>
      <explain>文本全半角错误。</explain>
      <paraID>632F0561</paraID>
      <start>37</start>
      <end>38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72a07c-504d-4cbf-b630-bb86f320c788}">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65</Pages>
  <Words>1385</Words>
  <Characters>1557</Characters>
  <Lines>1</Lines>
  <Paragraphs>1</Paragraphs>
  <TotalTime>243</TotalTime>
  <ScaleCrop>false</ScaleCrop>
  <LinksUpToDate>false</LinksUpToDate>
  <CharactersWithSpaces>1562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淡定</cp:lastModifiedBy>
  <cp:lastPrinted>2024-12-11T09:01:00Z</cp:lastPrinted>
  <dcterms:modified xsi:type="dcterms:W3CDTF">2026-09-18T07:07:20Z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79B987C0BE8140B88C9A427459654EFA_13</vt:lpwstr>
  </property>
  <property fmtid="{D5CDD505-2E9C-101B-9397-08002B2CF9AE}" pid="4" name="KSOTemplateDocerSaveRecord">
    <vt:lpwstr>eyJoZGlkIjoiOTJkYTY3Y2FiMzRjZWY5MzA3M2FlZWM5ZWNjNWVjM2UiLCJ1c2VySWQiOiIzNDI3NTg4OTEifQ==</vt:lpwstr>
  </property>
</Properties>
</file>