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33BB5">
      <w:pPr>
        <w:ind w:firstLine="720"/>
        <w:rPr>
          <w:rFonts w:hint="eastAsia" w:ascii="仿宋_GB2312" w:hAnsi="仿宋_GB2312" w:eastAsia="仿宋_GB2312" w:cs="仿宋_GB2312"/>
          <w:sz w:val="36"/>
          <w:szCs w:val="36"/>
        </w:rPr>
      </w:pPr>
      <w:bookmarkStart w:id="0" w:name="_Hlk57883707"/>
    </w:p>
    <w:p w14:paraId="14C6600E">
      <w:pPr>
        <w:ind w:firstLine="720"/>
        <w:rPr>
          <w:rFonts w:hint="eastAsia" w:ascii="仿宋_GB2312" w:hAnsi="仿宋_GB2312" w:eastAsia="仿宋_GB2312" w:cs="仿宋_GB2312"/>
          <w:sz w:val="36"/>
          <w:szCs w:val="36"/>
        </w:rPr>
      </w:pPr>
    </w:p>
    <w:p w14:paraId="195FAFA3">
      <w:pPr>
        <w:ind w:firstLine="720"/>
        <w:rPr>
          <w:rFonts w:hint="eastAsia" w:ascii="仿宋_GB2312" w:hAnsi="仿宋_GB2312" w:eastAsia="仿宋_GB2312" w:cs="仿宋_GB2312"/>
          <w:sz w:val="36"/>
          <w:szCs w:val="36"/>
        </w:rPr>
      </w:pPr>
    </w:p>
    <w:bookmarkEnd w:id="0"/>
    <w:p w14:paraId="06E1BCB0">
      <w:pPr>
        <w:pStyle w:val="16"/>
        <w:spacing w:before="0" w:after="0"/>
        <w:jc w:val="center"/>
        <w:rPr>
          <w:rFonts w:hint="eastAsia" w:ascii="宋体" w:hAnsi="宋体"/>
          <w:b w:val="0"/>
          <w:sz w:val="68"/>
          <w:szCs w:val="68"/>
        </w:rPr>
      </w:pPr>
      <w:r>
        <w:rPr>
          <w:rFonts w:hint="eastAsia" w:ascii="宋体" w:hAnsi="宋体"/>
          <w:b w:val="0"/>
          <w:sz w:val="68"/>
          <w:szCs w:val="68"/>
        </w:rPr>
        <w:t>建设项目生态环境影响报告表</w:t>
      </w:r>
    </w:p>
    <w:p w14:paraId="1D104F75">
      <w:pPr>
        <w:adjustRightInd w:val="0"/>
        <w:snapToGrid w:val="0"/>
        <w:jc w:val="center"/>
        <w:rPr>
          <w:rFonts w:ascii="楷体_GB2312" w:eastAsia="楷体_GB2312"/>
          <w:bCs/>
          <w:sz w:val="13"/>
          <w:szCs w:val="13"/>
        </w:rPr>
      </w:pPr>
    </w:p>
    <w:p w14:paraId="15C4F2BB">
      <w:pPr>
        <w:adjustRightInd w:val="0"/>
        <w:snapToGrid w:val="0"/>
        <w:jc w:val="center"/>
        <w:rPr>
          <w:rFonts w:ascii="楷体_GB2312" w:eastAsia="楷体_GB2312"/>
          <w:bCs/>
          <w:sz w:val="48"/>
          <w:szCs w:val="48"/>
        </w:rPr>
      </w:pPr>
      <w:r>
        <w:rPr>
          <w:rFonts w:hint="eastAsia" w:ascii="楷体_GB2312" w:eastAsia="楷体_GB2312"/>
          <w:bCs/>
          <w:sz w:val="48"/>
          <w:szCs w:val="48"/>
        </w:rPr>
        <w:t>（污染影响类）</w:t>
      </w:r>
    </w:p>
    <w:p w14:paraId="3FA09E64">
      <w:pPr>
        <w:ind w:firstLine="1040"/>
        <w:rPr>
          <w:rFonts w:eastAsia="仿宋"/>
          <w:sz w:val="52"/>
          <w:szCs w:val="52"/>
        </w:rPr>
      </w:pPr>
      <w:bookmarkStart w:id="1" w:name="_Hlk57883728"/>
    </w:p>
    <w:p w14:paraId="0FE92D7C">
      <w:pPr>
        <w:ind w:firstLine="880"/>
        <w:rPr>
          <w:rFonts w:eastAsia="仿宋"/>
          <w:sz w:val="44"/>
          <w:szCs w:val="44"/>
        </w:rPr>
      </w:pPr>
    </w:p>
    <w:p w14:paraId="7F82A8A3">
      <w:pPr>
        <w:ind w:firstLine="880"/>
        <w:rPr>
          <w:rFonts w:eastAsia="仿宋"/>
          <w:sz w:val="44"/>
          <w:szCs w:val="44"/>
        </w:rPr>
      </w:pPr>
    </w:p>
    <w:p w14:paraId="528C7711">
      <w:pPr>
        <w:ind w:firstLine="880"/>
        <w:rPr>
          <w:rFonts w:eastAsia="仿宋"/>
          <w:sz w:val="44"/>
          <w:szCs w:val="44"/>
        </w:rPr>
      </w:pPr>
    </w:p>
    <w:p w14:paraId="71C098C5">
      <w:pPr>
        <w:ind w:firstLine="880"/>
        <w:rPr>
          <w:rFonts w:eastAsia="仿宋"/>
          <w:sz w:val="44"/>
          <w:szCs w:val="44"/>
        </w:rPr>
      </w:pPr>
    </w:p>
    <w:bookmarkEnd w:id="1"/>
    <w:p w14:paraId="04B1B65B">
      <w:pPr>
        <w:adjustRightInd w:val="0"/>
        <w:snapToGrid w:val="0"/>
        <w:spacing w:line="288" w:lineRule="auto"/>
        <w:ind w:left="2487" w:leftChars="327" w:hanging="1800" w:hangingChars="500"/>
        <w:rPr>
          <w:rFonts w:ascii="仿宋_GB2312" w:eastAsia="仿宋_GB2312"/>
          <w:sz w:val="36"/>
          <w:szCs w:val="36"/>
          <w:u w:val="single"/>
        </w:rPr>
      </w:pPr>
      <w:r>
        <w:rPr>
          <w:rFonts w:hint="eastAsia" w:ascii="仿宋_GB2312" w:eastAsia="仿宋_GB2312"/>
          <w:sz w:val="36"/>
          <w:szCs w:val="36"/>
        </w:rPr>
        <w:t>项目名称：</w:t>
      </w:r>
      <w:bookmarkStart w:id="2" w:name="OLE_LINK80"/>
      <w:r>
        <w:rPr>
          <w:rFonts w:hint="eastAsia" w:ascii="仿宋_GB2312" w:eastAsia="仿宋_GB2312"/>
          <w:sz w:val="36"/>
          <w:szCs w:val="36"/>
          <w:u w:val="single"/>
        </w:rPr>
        <w:t>新建矿用及建筑用功能性干粉建材生产项目</w:t>
      </w:r>
      <w:bookmarkEnd w:id="2"/>
    </w:p>
    <w:p w14:paraId="30AD6D0B">
      <w:pPr>
        <w:adjustRightInd w:val="0"/>
        <w:snapToGrid w:val="0"/>
        <w:spacing w:line="288" w:lineRule="auto"/>
        <w:ind w:firstLine="720"/>
        <w:rPr>
          <w:rFonts w:ascii="仿宋_GB2312" w:eastAsia="仿宋_GB2312"/>
          <w:sz w:val="36"/>
          <w:szCs w:val="36"/>
          <w:u w:val="single"/>
        </w:rPr>
      </w:pPr>
      <w:r>
        <w:rPr>
          <w:rFonts w:hint="eastAsia" w:ascii="仿宋_GB2312" w:eastAsia="仿宋_GB2312"/>
          <w:sz w:val="36"/>
          <w:szCs w:val="36"/>
        </w:rPr>
        <w:t>建设单位（盖章）：</w:t>
      </w:r>
      <w:bookmarkStart w:id="3" w:name="_Hlk238645826"/>
      <w:r>
        <w:rPr>
          <w:rFonts w:hint="eastAsia" w:ascii="仿宋_GB2312" w:eastAsia="仿宋_GB2312"/>
          <w:sz w:val="36"/>
          <w:szCs w:val="36"/>
          <w:u w:val="single"/>
        </w:rPr>
        <w:t>山西康正新型材料制造有限公司</w:t>
      </w:r>
      <w:bookmarkEnd w:id="3"/>
    </w:p>
    <w:p w14:paraId="083D0A61">
      <w:pPr>
        <w:adjustRightInd w:val="0"/>
        <w:snapToGrid w:val="0"/>
        <w:spacing w:line="288" w:lineRule="auto"/>
        <w:ind w:firstLine="720"/>
        <w:rPr>
          <w:rFonts w:ascii="仿宋_GB2312" w:eastAsia="仿宋_GB2312"/>
          <w:sz w:val="36"/>
          <w:szCs w:val="36"/>
          <w:u w:val="single"/>
        </w:rPr>
      </w:pPr>
      <w:r>
        <w:rPr>
          <w:rFonts w:hint="eastAsia" w:ascii="仿宋_GB2312" w:eastAsia="仿宋_GB2312"/>
          <w:sz w:val="36"/>
          <w:szCs w:val="36"/>
        </w:rPr>
        <w:t>编制日期：</w:t>
      </w:r>
      <w:r>
        <w:rPr>
          <w:rFonts w:hint="eastAsia" w:ascii="仿宋_GB2312" w:eastAsia="仿宋_GB2312"/>
          <w:sz w:val="36"/>
          <w:szCs w:val="36"/>
          <w:u w:val="single"/>
        </w:rPr>
        <w:t xml:space="preserve"> </w:t>
      </w:r>
      <w:r>
        <w:rPr>
          <w:rFonts w:ascii="仿宋_GB2312" w:eastAsia="仿宋_GB2312"/>
          <w:sz w:val="36"/>
          <w:szCs w:val="36"/>
          <w:u w:val="single"/>
        </w:rPr>
        <w:t xml:space="preserve">  </w:t>
      </w:r>
      <w:r>
        <w:rPr>
          <w:rFonts w:hint="eastAsia" w:ascii="仿宋_GB2312" w:eastAsia="仿宋_GB2312"/>
          <w:sz w:val="36"/>
          <w:szCs w:val="36"/>
          <w:u w:val="single"/>
        </w:rPr>
        <w:t xml:space="preserve">    </w:t>
      </w:r>
      <w:r>
        <w:rPr>
          <w:rFonts w:ascii="仿宋_GB2312" w:eastAsia="仿宋_GB2312"/>
          <w:sz w:val="36"/>
          <w:szCs w:val="36"/>
          <w:u w:val="single"/>
        </w:rPr>
        <w:t xml:space="preserve">  </w:t>
      </w:r>
      <w:r>
        <w:rPr>
          <w:rFonts w:hint="eastAsia" w:ascii="仿宋_GB2312" w:eastAsia="仿宋_GB2312"/>
          <w:sz w:val="36"/>
          <w:szCs w:val="36"/>
          <w:u w:val="single"/>
        </w:rPr>
        <w:t xml:space="preserve">二〇二六年九月           </w:t>
      </w:r>
      <w:r>
        <w:rPr>
          <w:rFonts w:hint="eastAsia" w:ascii="仿宋_GB2312" w:eastAsia="仿宋_GB2312"/>
          <w:color w:val="FFFFFF" w:themeColor="background1"/>
          <w:sz w:val="36"/>
          <w:szCs w:val="36"/>
          <w:u w:val="single"/>
          <w14:textFill>
            <w14:solidFill>
              <w14:schemeClr w14:val="bg1"/>
            </w14:solidFill>
          </w14:textFill>
        </w:rPr>
        <w:t>1</w:t>
      </w:r>
      <w:r>
        <w:rPr>
          <w:rFonts w:ascii="仿宋_GB2312" w:eastAsia="仿宋_GB2312"/>
          <w:sz w:val="36"/>
          <w:szCs w:val="36"/>
          <w:u w:val="single"/>
        </w:rPr>
        <w:t xml:space="preserve"> </w:t>
      </w:r>
    </w:p>
    <w:p w14:paraId="28C3D460">
      <w:pPr>
        <w:adjustRightInd w:val="0"/>
        <w:snapToGrid w:val="0"/>
        <w:spacing w:line="288" w:lineRule="auto"/>
        <w:ind w:firstLine="720"/>
        <w:rPr>
          <w:rFonts w:ascii="仿宋_GB2312" w:eastAsia="仿宋_GB2312"/>
          <w:sz w:val="36"/>
          <w:szCs w:val="36"/>
        </w:rPr>
      </w:pPr>
    </w:p>
    <w:p w14:paraId="7BB735FF">
      <w:pPr>
        <w:adjustRightInd w:val="0"/>
        <w:snapToGrid w:val="0"/>
        <w:spacing w:line="288" w:lineRule="auto"/>
        <w:ind w:firstLine="720"/>
        <w:rPr>
          <w:rFonts w:ascii="仿宋_GB2312" w:eastAsia="仿宋_GB2312"/>
          <w:sz w:val="36"/>
          <w:szCs w:val="36"/>
        </w:rPr>
      </w:pPr>
    </w:p>
    <w:p w14:paraId="3E9F70A5">
      <w:pPr>
        <w:adjustRightInd w:val="0"/>
        <w:snapToGrid w:val="0"/>
        <w:spacing w:line="288" w:lineRule="auto"/>
        <w:ind w:firstLine="720"/>
        <w:rPr>
          <w:rFonts w:ascii="仿宋_GB2312" w:eastAsia="仿宋_GB2312"/>
          <w:sz w:val="36"/>
          <w:szCs w:val="36"/>
        </w:rPr>
      </w:pPr>
    </w:p>
    <w:p w14:paraId="05B15145">
      <w:pPr>
        <w:adjustRightInd w:val="0"/>
        <w:snapToGrid w:val="0"/>
        <w:spacing w:line="288" w:lineRule="auto"/>
        <w:ind w:firstLine="720"/>
        <w:rPr>
          <w:rFonts w:ascii="仿宋_GB2312" w:eastAsia="仿宋_GB2312"/>
          <w:sz w:val="36"/>
          <w:szCs w:val="36"/>
        </w:rPr>
      </w:pPr>
    </w:p>
    <w:p w14:paraId="7E878A0C">
      <w:pPr>
        <w:adjustRightInd w:val="0"/>
        <w:snapToGrid w:val="0"/>
        <w:spacing w:line="288" w:lineRule="auto"/>
        <w:ind w:firstLine="720"/>
        <w:rPr>
          <w:rFonts w:ascii="仿宋_GB2312" w:eastAsia="仿宋_GB2312"/>
          <w:sz w:val="36"/>
          <w:szCs w:val="36"/>
        </w:rPr>
      </w:pPr>
    </w:p>
    <w:p w14:paraId="30C7E13A">
      <w:pPr>
        <w:adjustRightInd w:val="0"/>
        <w:snapToGrid w:val="0"/>
        <w:spacing w:line="288" w:lineRule="auto"/>
        <w:ind w:firstLine="720"/>
        <w:rPr>
          <w:rFonts w:ascii="仿宋_GB2312" w:eastAsia="仿宋_GB2312"/>
          <w:sz w:val="36"/>
          <w:szCs w:val="36"/>
        </w:rPr>
      </w:pPr>
    </w:p>
    <w:p w14:paraId="7F183313">
      <w:pPr>
        <w:adjustRightInd w:val="0"/>
        <w:snapToGrid w:val="0"/>
        <w:spacing w:line="288" w:lineRule="auto"/>
        <w:jc w:val="center"/>
        <w:rPr>
          <w:rFonts w:ascii="楷体_GB2312" w:eastAsia="楷体_GB2312"/>
          <w:sz w:val="36"/>
          <w:szCs w:val="36"/>
        </w:rPr>
      </w:pPr>
      <w:r>
        <w:rPr>
          <w:rFonts w:hint="eastAsia" w:ascii="楷体_GB2312" w:eastAsia="楷体_GB2312"/>
          <w:sz w:val="36"/>
          <w:szCs w:val="36"/>
        </w:rPr>
        <w:t>中华人民共和国生态环境部制</w:t>
      </w:r>
    </w:p>
    <w:p w14:paraId="5E6C6B44">
      <w:pPr>
        <w:adjustRightInd w:val="0"/>
        <w:snapToGrid w:val="0"/>
        <w:spacing w:line="288" w:lineRule="auto"/>
        <w:ind w:firstLine="720"/>
        <w:rPr>
          <w:rFonts w:ascii="仿宋_GB2312" w:eastAsia="仿宋_GB2312"/>
          <w:sz w:val="36"/>
          <w:szCs w:val="36"/>
        </w:rPr>
      </w:pPr>
    </w:p>
    <w:p w14:paraId="4BCA2A43">
      <w:pPr>
        <w:widowControl/>
        <w:jc w:val="left"/>
        <w:rPr>
          <w:rFonts w:ascii="仿宋_GB2312" w:eastAsia="仿宋_GB2312"/>
          <w:sz w:val="36"/>
          <w:szCs w:val="36"/>
        </w:rPr>
      </w:pPr>
      <w:r>
        <w:rPr>
          <w:rFonts w:ascii="仿宋_GB2312" w:eastAsia="仿宋_GB2312"/>
          <w:sz w:val="36"/>
          <w:szCs w:val="36"/>
        </w:rPr>
        <w:br w:type="page"/>
      </w:r>
    </w:p>
    <w:p w14:paraId="072E4FBB">
      <w:pPr>
        <w:adjustRightInd w:val="0"/>
        <w:snapToGrid w:val="0"/>
        <w:spacing w:line="288" w:lineRule="auto"/>
        <w:ind w:firstLine="720"/>
        <w:rPr>
          <w:rFonts w:ascii="仿宋_GB2312" w:eastAsia="仿宋_GB2312"/>
          <w:sz w:val="36"/>
          <w:szCs w:val="36"/>
        </w:rPr>
      </w:pPr>
    </w:p>
    <w:p w14:paraId="78C43374">
      <w:pPr>
        <w:widowControl/>
        <w:jc w:val="left"/>
        <w:rPr>
          <w:rFonts w:ascii="仿宋_GB2312" w:eastAsia="仿宋_GB2312"/>
          <w:sz w:val="36"/>
          <w:szCs w:val="36"/>
        </w:rPr>
      </w:pPr>
      <w:r>
        <w:rPr>
          <w:rFonts w:ascii="仿宋_GB2312" w:eastAsia="仿宋_GB2312"/>
          <w:sz w:val="36"/>
          <w:szCs w:val="36"/>
        </w:rPr>
        <w:br w:type="page"/>
      </w:r>
    </w:p>
    <w:p w14:paraId="6FB1D320">
      <w:pPr>
        <w:adjustRightInd w:val="0"/>
        <w:snapToGrid w:val="0"/>
        <w:spacing w:line="288" w:lineRule="auto"/>
        <w:ind w:firstLine="720"/>
        <w:rPr>
          <w:rFonts w:ascii="仿宋_GB2312" w:eastAsia="仿宋_GB2312"/>
          <w:sz w:val="36"/>
          <w:szCs w:val="36"/>
        </w:rPr>
        <w:sectPr>
          <w:footerReference r:id="rId3" w:type="default"/>
          <w:footerReference r:id="rId4" w:type="even"/>
          <w:pgSz w:w="11906" w:h="16838"/>
          <w:pgMar w:top="1701" w:right="1531" w:bottom="1701" w:left="1531" w:header="851" w:footer="1077" w:gutter="0"/>
          <w:pgNumType w:start="21"/>
          <w:cols w:space="720" w:num="1"/>
          <w:docGrid w:linePitch="312" w:charSpace="0"/>
        </w:sectPr>
      </w:pPr>
    </w:p>
    <w:p w14:paraId="77FB09A5">
      <w:pPr>
        <w:pStyle w:val="15"/>
        <w:jc w:val="center"/>
        <w:outlineLvl w:val="0"/>
        <w:rPr>
          <w:rFonts w:hint="eastAsia" w:ascii="黑体" w:hAnsi="黑体" w:eastAsia="黑体"/>
          <w:snapToGrid w:val="0"/>
          <w:sz w:val="30"/>
          <w:szCs w:val="30"/>
        </w:rPr>
      </w:pPr>
      <w:r>
        <w:rPr>
          <w:rFonts w:hint="eastAsia" w:ascii="黑体" w:hAnsi="黑体" w:eastAsia="黑体"/>
          <w:snapToGrid w:val="0"/>
          <w:sz w:val="30"/>
          <w:szCs w:val="30"/>
        </w:rPr>
        <w:t>一、建设项目基本情况</w:t>
      </w:r>
    </w:p>
    <w:tbl>
      <w:tblPr>
        <w:tblStyle w:val="20"/>
        <w:tblW w:w="97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33"/>
        <w:gridCol w:w="1985"/>
        <w:gridCol w:w="2438"/>
        <w:gridCol w:w="3523"/>
      </w:tblGrid>
      <w:tr w14:paraId="2EADEE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74ADFE64">
            <w:pPr>
              <w:pStyle w:val="52"/>
              <w:rPr>
                <w:sz w:val="24"/>
                <w:szCs w:val="24"/>
              </w:rPr>
            </w:pPr>
            <w:r>
              <w:rPr>
                <w:rFonts w:hint="eastAsia"/>
                <w:sz w:val="24"/>
                <w:szCs w:val="24"/>
              </w:rPr>
              <w:t>建设项目名称</w:t>
            </w:r>
          </w:p>
        </w:tc>
        <w:tc>
          <w:tcPr>
            <w:tcW w:w="7946" w:type="dxa"/>
            <w:gridSpan w:val="3"/>
            <w:vAlign w:val="center"/>
          </w:tcPr>
          <w:p w14:paraId="5205417B">
            <w:pPr>
              <w:pStyle w:val="52"/>
              <w:rPr>
                <w:sz w:val="24"/>
                <w:szCs w:val="24"/>
              </w:rPr>
            </w:pPr>
            <w:bookmarkStart w:id="4" w:name="OLE_LINK81"/>
            <w:r>
              <w:rPr>
                <w:rFonts w:hint="eastAsia"/>
                <w:sz w:val="24"/>
                <w:szCs w:val="24"/>
              </w:rPr>
              <w:t>山西康正新型材料制造有限公司</w:t>
            </w:r>
            <w:bookmarkEnd w:id="4"/>
            <w:bookmarkStart w:id="5" w:name="OLE_LINK7"/>
            <w:r>
              <w:rPr>
                <w:rFonts w:hint="eastAsia"/>
                <w:sz w:val="24"/>
                <w:szCs w:val="24"/>
              </w:rPr>
              <w:t>新建矿用及建筑用功能性干粉建材生产项目</w:t>
            </w:r>
            <w:bookmarkEnd w:id="5"/>
          </w:p>
        </w:tc>
      </w:tr>
      <w:tr w14:paraId="2FE4E0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61B5470E">
            <w:pPr>
              <w:pStyle w:val="52"/>
              <w:rPr>
                <w:sz w:val="24"/>
                <w:szCs w:val="24"/>
              </w:rPr>
            </w:pPr>
            <w:r>
              <w:rPr>
                <w:rFonts w:hint="eastAsia"/>
                <w:sz w:val="24"/>
                <w:szCs w:val="24"/>
              </w:rPr>
              <w:t>项目代码</w:t>
            </w:r>
          </w:p>
        </w:tc>
        <w:tc>
          <w:tcPr>
            <w:tcW w:w="7946" w:type="dxa"/>
            <w:gridSpan w:val="3"/>
            <w:vAlign w:val="center"/>
          </w:tcPr>
          <w:p w14:paraId="0273CF50">
            <w:pPr>
              <w:pStyle w:val="52"/>
              <w:rPr>
                <w:sz w:val="24"/>
                <w:szCs w:val="24"/>
              </w:rPr>
            </w:pPr>
            <w:r>
              <w:rPr>
                <w:rFonts w:hint="eastAsia"/>
                <w:sz w:val="24"/>
                <w:szCs w:val="24"/>
              </w:rPr>
              <w:t>2606</w:t>
            </w:r>
            <w:r>
              <w:rPr>
                <w:sz w:val="24"/>
                <w:szCs w:val="24"/>
              </w:rPr>
              <w:t>-140</w:t>
            </w:r>
            <w:r>
              <w:rPr>
                <w:rFonts w:hint="eastAsia"/>
                <w:sz w:val="24"/>
                <w:szCs w:val="24"/>
              </w:rPr>
              <w:t>322</w:t>
            </w:r>
            <w:r>
              <w:rPr>
                <w:sz w:val="24"/>
                <w:szCs w:val="24"/>
              </w:rPr>
              <w:t>-89-01-4</w:t>
            </w:r>
            <w:r>
              <w:rPr>
                <w:rFonts w:hint="eastAsia"/>
                <w:sz w:val="24"/>
                <w:szCs w:val="24"/>
              </w:rPr>
              <w:t>07668</w:t>
            </w:r>
          </w:p>
        </w:tc>
      </w:tr>
      <w:tr w14:paraId="692DC0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7A8F9B97">
            <w:pPr>
              <w:pStyle w:val="52"/>
              <w:rPr>
                <w:sz w:val="24"/>
                <w:szCs w:val="24"/>
              </w:rPr>
            </w:pPr>
            <w:r>
              <w:rPr>
                <w:rFonts w:hint="eastAsia"/>
                <w:sz w:val="24"/>
                <w:szCs w:val="24"/>
              </w:rPr>
              <w:t>建设单位联系人</w:t>
            </w:r>
          </w:p>
        </w:tc>
        <w:tc>
          <w:tcPr>
            <w:tcW w:w="1985" w:type="dxa"/>
            <w:vAlign w:val="center"/>
          </w:tcPr>
          <w:p w14:paraId="7250DF45">
            <w:pPr>
              <w:pStyle w:val="52"/>
              <w:rPr>
                <w:sz w:val="24"/>
                <w:szCs w:val="24"/>
              </w:rPr>
            </w:pPr>
            <w:r>
              <w:rPr>
                <w:rFonts w:hint="eastAsia"/>
                <w:sz w:val="24"/>
                <w:szCs w:val="24"/>
              </w:rPr>
              <w:t>李兴军</w:t>
            </w:r>
          </w:p>
        </w:tc>
        <w:tc>
          <w:tcPr>
            <w:tcW w:w="2438" w:type="dxa"/>
            <w:vAlign w:val="center"/>
          </w:tcPr>
          <w:p w14:paraId="23925E2B">
            <w:pPr>
              <w:pStyle w:val="52"/>
              <w:rPr>
                <w:sz w:val="24"/>
                <w:szCs w:val="24"/>
              </w:rPr>
            </w:pPr>
            <w:r>
              <w:rPr>
                <w:rFonts w:hint="eastAsia"/>
                <w:sz w:val="24"/>
                <w:szCs w:val="24"/>
              </w:rPr>
              <w:t>联系方式</w:t>
            </w:r>
          </w:p>
        </w:tc>
        <w:tc>
          <w:tcPr>
            <w:tcW w:w="3523" w:type="dxa"/>
            <w:vAlign w:val="center"/>
          </w:tcPr>
          <w:p w14:paraId="41335417">
            <w:pPr>
              <w:pStyle w:val="52"/>
              <w:rPr>
                <w:sz w:val="24"/>
                <w:szCs w:val="24"/>
              </w:rPr>
            </w:pPr>
            <w:bookmarkStart w:id="6" w:name="_Hlk238650396"/>
            <w:r>
              <w:rPr>
                <w:sz w:val="24"/>
                <w:szCs w:val="24"/>
              </w:rPr>
              <w:t>139</w:t>
            </w:r>
            <w:r>
              <w:rPr>
                <w:rFonts w:hint="eastAsia"/>
                <w:sz w:val="24"/>
                <w:szCs w:val="24"/>
              </w:rPr>
              <w:t xml:space="preserve"> </w:t>
            </w:r>
            <w:r>
              <w:rPr>
                <w:sz w:val="24"/>
                <w:szCs w:val="24"/>
              </w:rPr>
              <w:t>3525</w:t>
            </w:r>
            <w:r>
              <w:rPr>
                <w:rFonts w:hint="eastAsia"/>
                <w:sz w:val="24"/>
                <w:szCs w:val="24"/>
              </w:rPr>
              <w:t xml:space="preserve"> </w:t>
            </w:r>
            <w:r>
              <w:rPr>
                <w:sz w:val="24"/>
                <w:szCs w:val="24"/>
              </w:rPr>
              <w:t>7999</w:t>
            </w:r>
            <w:bookmarkEnd w:id="6"/>
          </w:p>
        </w:tc>
      </w:tr>
      <w:tr w14:paraId="6170A1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1B349B63">
            <w:pPr>
              <w:pStyle w:val="52"/>
              <w:rPr>
                <w:sz w:val="24"/>
                <w:szCs w:val="24"/>
              </w:rPr>
            </w:pPr>
            <w:r>
              <w:rPr>
                <w:rFonts w:hint="eastAsia"/>
                <w:sz w:val="24"/>
                <w:szCs w:val="24"/>
              </w:rPr>
              <w:t>建设地点</w:t>
            </w:r>
          </w:p>
        </w:tc>
        <w:tc>
          <w:tcPr>
            <w:tcW w:w="7946" w:type="dxa"/>
            <w:gridSpan w:val="3"/>
            <w:vAlign w:val="center"/>
          </w:tcPr>
          <w:p w14:paraId="4C39D36C">
            <w:pPr>
              <w:pStyle w:val="52"/>
              <w:rPr>
                <w:sz w:val="24"/>
                <w:szCs w:val="24"/>
              </w:rPr>
            </w:pPr>
            <w:bookmarkStart w:id="7" w:name="_Hlk112332292"/>
            <w:bookmarkStart w:id="8" w:name="_Hlk76029387"/>
            <w:bookmarkStart w:id="9" w:name="OLE_LINK25"/>
            <w:r>
              <w:rPr>
                <w:rFonts w:hint="eastAsia"/>
                <w:sz w:val="24"/>
                <w:szCs w:val="24"/>
              </w:rPr>
              <w:t>山西省</w:t>
            </w:r>
            <w:bookmarkEnd w:id="7"/>
            <w:bookmarkEnd w:id="8"/>
            <w:r>
              <w:rPr>
                <w:rFonts w:hint="eastAsia"/>
                <w:sz w:val="24"/>
                <w:szCs w:val="24"/>
              </w:rPr>
              <w:t>阳泉市盂县东城武村北</w:t>
            </w:r>
            <w:bookmarkEnd w:id="9"/>
          </w:p>
        </w:tc>
      </w:tr>
      <w:tr w14:paraId="442B1C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38EC33EC">
            <w:pPr>
              <w:pStyle w:val="52"/>
              <w:rPr>
                <w:sz w:val="24"/>
                <w:szCs w:val="24"/>
              </w:rPr>
            </w:pPr>
            <w:r>
              <w:rPr>
                <w:rFonts w:hint="eastAsia"/>
                <w:sz w:val="24"/>
                <w:szCs w:val="24"/>
              </w:rPr>
              <w:t>地理坐标</w:t>
            </w:r>
          </w:p>
        </w:tc>
        <w:tc>
          <w:tcPr>
            <w:tcW w:w="7946" w:type="dxa"/>
            <w:gridSpan w:val="3"/>
            <w:vAlign w:val="center"/>
          </w:tcPr>
          <w:p w14:paraId="5890C038">
            <w:pPr>
              <w:pStyle w:val="52"/>
              <w:rPr>
                <w:sz w:val="24"/>
                <w:szCs w:val="24"/>
              </w:rPr>
            </w:pPr>
            <w:r>
              <w:rPr>
                <w:rFonts w:hint="eastAsia"/>
                <w:sz w:val="24"/>
                <w:szCs w:val="24"/>
              </w:rPr>
              <w:t>（</w:t>
            </w:r>
            <w:r>
              <w:rPr>
                <w:sz w:val="24"/>
                <w:szCs w:val="24"/>
                <w:u w:val="single"/>
              </w:rPr>
              <w:t>11</w:t>
            </w:r>
            <w:r>
              <w:rPr>
                <w:rFonts w:hint="eastAsia"/>
                <w:sz w:val="24"/>
                <w:szCs w:val="24"/>
                <w:u w:val="single"/>
              </w:rPr>
              <w:t>3</w:t>
            </w:r>
            <w:r>
              <w:rPr>
                <w:rFonts w:hint="eastAsia"/>
                <w:sz w:val="24"/>
                <w:szCs w:val="24"/>
              </w:rPr>
              <w:t>度</w:t>
            </w:r>
            <w:r>
              <w:rPr>
                <w:rFonts w:hint="eastAsia"/>
                <w:sz w:val="24"/>
                <w:szCs w:val="24"/>
                <w:u w:val="single"/>
              </w:rPr>
              <w:t>23</w:t>
            </w:r>
            <w:r>
              <w:rPr>
                <w:rFonts w:hint="eastAsia"/>
                <w:sz w:val="24"/>
                <w:szCs w:val="24"/>
              </w:rPr>
              <w:t>分</w:t>
            </w:r>
            <w:r>
              <w:rPr>
                <w:rFonts w:hint="eastAsia"/>
                <w:sz w:val="24"/>
                <w:szCs w:val="24"/>
                <w:u w:val="single"/>
              </w:rPr>
              <w:t>17.626</w:t>
            </w:r>
            <w:r>
              <w:rPr>
                <w:rFonts w:hint="eastAsia"/>
                <w:sz w:val="24"/>
                <w:szCs w:val="24"/>
              </w:rPr>
              <w:t>秒，</w:t>
            </w:r>
            <w:r>
              <w:rPr>
                <w:sz w:val="24"/>
                <w:szCs w:val="24"/>
                <w:u w:val="single"/>
              </w:rPr>
              <w:t>38</w:t>
            </w:r>
            <w:r>
              <w:rPr>
                <w:rFonts w:hint="eastAsia"/>
                <w:sz w:val="24"/>
                <w:szCs w:val="24"/>
              </w:rPr>
              <w:t>度</w:t>
            </w:r>
            <w:r>
              <w:rPr>
                <w:rFonts w:hint="eastAsia"/>
                <w:sz w:val="24"/>
                <w:szCs w:val="24"/>
                <w:u w:val="single"/>
              </w:rPr>
              <w:t>8</w:t>
            </w:r>
            <w:r>
              <w:rPr>
                <w:rFonts w:hint="eastAsia"/>
                <w:sz w:val="24"/>
                <w:szCs w:val="24"/>
              </w:rPr>
              <w:t>分</w:t>
            </w:r>
            <w:r>
              <w:rPr>
                <w:rFonts w:hint="eastAsia"/>
                <w:sz w:val="24"/>
                <w:szCs w:val="24"/>
                <w:u w:val="single"/>
              </w:rPr>
              <w:t>4.837</w:t>
            </w:r>
            <w:r>
              <w:rPr>
                <w:rFonts w:hint="eastAsia"/>
                <w:sz w:val="24"/>
                <w:szCs w:val="24"/>
              </w:rPr>
              <w:t>秒）</w:t>
            </w:r>
          </w:p>
        </w:tc>
      </w:tr>
      <w:tr w14:paraId="67F566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44E6CEE3">
            <w:pPr>
              <w:pStyle w:val="52"/>
              <w:rPr>
                <w:sz w:val="24"/>
                <w:szCs w:val="24"/>
              </w:rPr>
            </w:pPr>
            <w:r>
              <w:rPr>
                <w:rFonts w:hint="eastAsia"/>
                <w:sz w:val="24"/>
                <w:szCs w:val="24"/>
              </w:rPr>
              <w:t>国民经济</w:t>
            </w:r>
          </w:p>
          <w:p w14:paraId="659BB0EE">
            <w:pPr>
              <w:pStyle w:val="52"/>
              <w:rPr>
                <w:sz w:val="24"/>
                <w:szCs w:val="24"/>
              </w:rPr>
            </w:pPr>
            <w:r>
              <w:rPr>
                <w:rFonts w:hint="eastAsia"/>
                <w:sz w:val="24"/>
                <w:szCs w:val="24"/>
              </w:rPr>
              <w:t>行业类别</w:t>
            </w:r>
          </w:p>
        </w:tc>
        <w:tc>
          <w:tcPr>
            <w:tcW w:w="1985" w:type="dxa"/>
            <w:vAlign w:val="center"/>
          </w:tcPr>
          <w:p w14:paraId="20DF8BD4">
            <w:pPr>
              <w:pStyle w:val="52"/>
              <w:rPr>
                <w:sz w:val="24"/>
                <w:szCs w:val="24"/>
              </w:rPr>
            </w:pPr>
            <w:r>
              <w:rPr>
                <w:rFonts w:hint="eastAsia"/>
                <w:sz w:val="24"/>
                <w:szCs w:val="24"/>
              </w:rPr>
              <w:t>C3039其他建筑材料制造</w:t>
            </w:r>
          </w:p>
        </w:tc>
        <w:tc>
          <w:tcPr>
            <w:tcW w:w="2438" w:type="dxa"/>
            <w:vAlign w:val="center"/>
          </w:tcPr>
          <w:p w14:paraId="3B041709">
            <w:pPr>
              <w:pStyle w:val="52"/>
              <w:rPr>
                <w:sz w:val="24"/>
                <w:szCs w:val="24"/>
              </w:rPr>
            </w:pPr>
            <w:bookmarkStart w:id="10" w:name="_Hlk49843745"/>
            <w:r>
              <w:rPr>
                <w:rFonts w:hint="eastAsia"/>
                <w:sz w:val="24"/>
                <w:szCs w:val="24"/>
              </w:rPr>
              <w:t>建设项目</w:t>
            </w:r>
          </w:p>
          <w:p w14:paraId="26F49800">
            <w:pPr>
              <w:pStyle w:val="52"/>
              <w:rPr>
                <w:sz w:val="24"/>
                <w:szCs w:val="24"/>
              </w:rPr>
            </w:pPr>
            <w:r>
              <w:rPr>
                <w:rFonts w:hint="eastAsia"/>
                <w:sz w:val="24"/>
                <w:szCs w:val="24"/>
              </w:rPr>
              <w:t>行业类别</w:t>
            </w:r>
            <w:bookmarkEnd w:id="10"/>
          </w:p>
        </w:tc>
        <w:tc>
          <w:tcPr>
            <w:tcW w:w="3523" w:type="dxa"/>
            <w:vAlign w:val="center"/>
          </w:tcPr>
          <w:p w14:paraId="107808C7">
            <w:pPr>
              <w:pStyle w:val="52"/>
              <w:rPr>
                <w:sz w:val="24"/>
                <w:szCs w:val="24"/>
              </w:rPr>
            </w:pPr>
            <w:r>
              <w:rPr>
                <w:rFonts w:hint="eastAsia"/>
                <w:sz w:val="24"/>
                <w:szCs w:val="24"/>
              </w:rPr>
              <w:t xml:space="preserve">二十七、非金属矿物制品业 </w:t>
            </w:r>
            <w:r>
              <w:rPr>
                <w:sz w:val="24"/>
                <w:szCs w:val="24"/>
              </w:rPr>
              <w:t xml:space="preserve">30 </w:t>
            </w:r>
            <w:r>
              <w:rPr>
                <w:rFonts w:hint="eastAsia"/>
                <w:sz w:val="24"/>
                <w:szCs w:val="24"/>
              </w:rPr>
              <w:t xml:space="preserve"> 56</w:t>
            </w:r>
            <w:r>
              <w:rPr>
                <w:sz w:val="24"/>
                <w:szCs w:val="24"/>
              </w:rPr>
              <w:t>、</w:t>
            </w:r>
            <w:bookmarkStart w:id="11" w:name="OLE_LINK82"/>
            <w:r>
              <w:rPr>
                <w:rFonts w:hint="eastAsia"/>
                <w:sz w:val="24"/>
                <w:szCs w:val="24"/>
              </w:rPr>
              <w:t>砖瓦、石材等建筑材料制造 303</w:t>
            </w:r>
            <w:bookmarkEnd w:id="11"/>
            <w:r>
              <w:rPr>
                <w:sz w:val="24"/>
                <w:szCs w:val="24"/>
              </w:rPr>
              <w:t xml:space="preserve"> </w:t>
            </w:r>
          </w:p>
        </w:tc>
      </w:tr>
      <w:tr w14:paraId="0DF00B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4C673CE9">
            <w:pPr>
              <w:pStyle w:val="52"/>
              <w:rPr>
                <w:sz w:val="24"/>
                <w:szCs w:val="24"/>
              </w:rPr>
            </w:pPr>
            <w:r>
              <w:rPr>
                <w:rFonts w:hint="eastAsia"/>
                <w:sz w:val="24"/>
                <w:szCs w:val="24"/>
              </w:rPr>
              <w:t>建设性质</w:t>
            </w:r>
          </w:p>
        </w:tc>
        <w:tc>
          <w:tcPr>
            <w:tcW w:w="1985" w:type="dxa"/>
            <w:vAlign w:val="center"/>
          </w:tcPr>
          <w:p w14:paraId="2F98A444">
            <w:pPr>
              <w:pStyle w:val="52"/>
              <w:jc w:val="left"/>
              <w:rPr>
                <w:sz w:val="24"/>
                <w:szCs w:val="24"/>
              </w:rPr>
            </w:pPr>
            <w:r>
              <w:rPr>
                <w:sz w:val="24"/>
                <w:szCs w:val="24"/>
              </w:rPr>
              <w:fldChar w:fldCharType="begin"/>
            </w:r>
            <w:r>
              <w:rPr>
                <w:sz w:val="24"/>
                <w:szCs w:val="24"/>
              </w:rPr>
              <w:instrText xml:space="preserve"> </w:instrText>
            </w:r>
            <w:r>
              <w:rPr>
                <w:rFonts w:hint="eastAsia"/>
                <w:sz w:val="24"/>
                <w:szCs w:val="24"/>
              </w:rPr>
              <w:instrText xml:space="preserve">eq \o\ac(□,</w:instrText>
            </w:r>
            <w:r>
              <w:rPr>
                <w:rFonts w:hint="eastAsia"/>
                <w:position w:val="1"/>
                <w:sz w:val="24"/>
                <w:szCs w:val="24"/>
              </w:rPr>
              <w:instrText xml:space="preserve">√</w:instrText>
            </w:r>
            <w:r>
              <w:rPr>
                <w:rFonts w:hint="eastAsia"/>
                <w:sz w:val="24"/>
                <w:szCs w:val="24"/>
              </w:rPr>
              <w:instrText xml:space="preserve">)</w:instrText>
            </w:r>
            <w:r>
              <w:rPr>
                <w:sz w:val="24"/>
                <w:szCs w:val="24"/>
              </w:rPr>
              <w:fldChar w:fldCharType="end"/>
            </w:r>
            <w:r>
              <w:rPr>
                <w:rFonts w:hint="eastAsia"/>
                <w:sz w:val="24"/>
                <w:szCs w:val="24"/>
              </w:rPr>
              <w:t>新建（迁建）</w:t>
            </w:r>
          </w:p>
          <w:p w14:paraId="0DE29494">
            <w:pPr>
              <w:pStyle w:val="52"/>
              <w:jc w:val="left"/>
              <w:rPr>
                <w:sz w:val="24"/>
                <w:szCs w:val="24"/>
              </w:rPr>
            </w:pPr>
            <w:r>
              <w:rPr>
                <w:rFonts w:hint="eastAsia"/>
                <w:sz w:val="24"/>
                <w:szCs w:val="24"/>
              </w:rPr>
              <w:t>□改建</w:t>
            </w:r>
          </w:p>
          <w:p w14:paraId="486ABD5E">
            <w:pPr>
              <w:pStyle w:val="52"/>
              <w:jc w:val="left"/>
              <w:rPr>
                <w:sz w:val="24"/>
                <w:szCs w:val="24"/>
              </w:rPr>
            </w:pPr>
            <w:r>
              <w:rPr>
                <w:rFonts w:hint="eastAsia"/>
                <w:sz w:val="24"/>
                <w:szCs w:val="24"/>
              </w:rPr>
              <w:t>□扩建</w:t>
            </w:r>
          </w:p>
          <w:p w14:paraId="41EFA38D">
            <w:pPr>
              <w:pStyle w:val="52"/>
              <w:jc w:val="left"/>
              <w:rPr>
                <w:sz w:val="24"/>
                <w:szCs w:val="24"/>
              </w:rPr>
            </w:pPr>
            <w:r>
              <w:rPr>
                <w:rFonts w:hint="eastAsia"/>
                <w:sz w:val="24"/>
                <w:szCs w:val="24"/>
              </w:rPr>
              <w:t>□技术改造</w:t>
            </w:r>
          </w:p>
        </w:tc>
        <w:tc>
          <w:tcPr>
            <w:tcW w:w="2438" w:type="dxa"/>
            <w:vAlign w:val="center"/>
          </w:tcPr>
          <w:p w14:paraId="21624159">
            <w:pPr>
              <w:pStyle w:val="52"/>
              <w:rPr>
                <w:sz w:val="24"/>
                <w:szCs w:val="24"/>
              </w:rPr>
            </w:pPr>
            <w:r>
              <w:rPr>
                <w:rFonts w:hint="eastAsia"/>
                <w:sz w:val="24"/>
                <w:szCs w:val="24"/>
              </w:rPr>
              <w:t>建设项目</w:t>
            </w:r>
          </w:p>
          <w:p w14:paraId="5171C71A">
            <w:pPr>
              <w:pStyle w:val="52"/>
              <w:rPr>
                <w:sz w:val="24"/>
                <w:szCs w:val="24"/>
              </w:rPr>
            </w:pPr>
            <w:r>
              <w:rPr>
                <w:rFonts w:hint="eastAsia"/>
                <w:sz w:val="24"/>
                <w:szCs w:val="24"/>
              </w:rPr>
              <w:t>申报情形</w:t>
            </w:r>
          </w:p>
        </w:tc>
        <w:tc>
          <w:tcPr>
            <w:tcW w:w="3523" w:type="dxa"/>
            <w:vAlign w:val="center"/>
          </w:tcPr>
          <w:p w14:paraId="14F00D22">
            <w:pPr>
              <w:pStyle w:val="52"/>
              <w:jc w:val="left"/>
              <w:rPr>
                <w:sz w:val="24"/>
                <w:szCs w:val="24"/>
              </w:rPr>
            </w:pPr>
            <w:r>
              <w:rPr>
                <w:sz w:val="24"/>
                <w:szCs w:val="24"/>
              </w:rPr>
              <w:fldChar w:fldCharType="begin"/>
            </w:r>
            <w:r>
              <w:rPr>
                <w:sz w:val="24"/>
                <w:szCs w:val="24"/>
              </w:rPr>
              <w:instrText xml:space="preserve"> </w:instrText>
            </w:r>
            <w:r>
              <w:rPr>
                <w:rFonts w:hint="eastAsia"/>
                <w:sz w:val="24"/>
                <w:szCs w:val="24"/>
              </w:rPr>
              <w:instrText xml:space="preserve">eq \o\ac(□,</w:instrText>
            </w:r>
            <w:r>
              <w:rPr>
                <w:rFonts w:hint="eastAsia"/>
                <w:position w:val="1"/>
                <w:sz w:val="24"/>
                <w:szCs w:val="24"/>
              </w:rPr>
              <w:instrText xml:space="preserve">√</w:instrText>
            </w:r>
            <w:r>
              <w:rPr>
                <w:rFonts w:hint="eastAsia"/>
                <w:sz w:val="24"/>
                <w:szCs w:val="24"/>
              </w:rPr>
              <w:instrText xml:space="preserve">)</w:instrText>
            </w:r>
            <w:r>
              <w:rPr>
                <w:sz w:val="24"/>
                <w:szCs w:val="24"/>
              </w:rPr>
              <w:fldChar w:fldCharType="end"/>
            </w:r>
            <w:r>
              <w:rPr>
                <w:rFonts w:hint="eastAsia"/>
                <w:sz w:val="24"/>
                <w:szCs w:val="24"/>
              </w:rPr>
              <w:t>首次申报项目</w:t>
            </w:r>
            <w:r>
              <w:rPr>
                <w:sz w:val="24"/>
                <w:szCs w:val="24"/>
              </w:rPr>
              <w:t xml:space="preserve">             </w:t>
            </w:r>
          </w:p>
          <w:p w14:paraId="58349F47">
            <w:pPr>
              <w:pStyle w:val="52"/>
              <w:jc w:val="left"/>
              <w:rPr>
                <w:sz w:val="24"/>
                <w:szCs w:val="24"/>
              </w:rPr>
            </w:pPr>
            <w:r>
              <w:rPr>
                <w:rFonts w:hint="eastAsia"/>
                <w:sz w:val="24"/>
                <w:szCs w:val="24"/>
              </w:rPr>
              <w:t>□不予批准后再次申报项目</w:t>
            </w:r>
          </w:p>
          <w:p w14:paraId="75CF3D08">
            <w:pPr>
              <w:pStyle w:val="52"/>
              <w:jc w:val="left"/>
              <w:rPr>
                <w:sz w:val="24"/>
                <w:szCs w:val="24"/>
              </w:rPr>
            </w:pPr>
            <w:r>
              <w:rPr>
                <w:rFonts w:hint="eastAsia"/>
                <w:sz w:val="24"/>
                <w:szCs w:val="24"/>
              </w:rPr>
              <w:t>□超五年重新审核项目</w:t>
            </w:r>
            <w:r>
              <w:rPr>
                <w:sz w:val="24"/>
                <w:szCs w:val="24"/>
              </w:rPr>
              <w:t xml:space="preserve">     </w:t>
            </w:r>
          </w:p>
          <w:p w14:paraId="2A655EBC">
            <w:pPr>
              <w:pStyle w:val="52"/>
              <w:jc w:val="left"/>
              <w:rPr>
                <w:sz w:val="24"/>
                <w:szCs w:val="24"/>
              </w:rPr>
            </w:pPr>
            <w:r>
              <w:rPr>
                <w:rFonts w:hint="eastAsia"/>
                <w:sz w:val="24"/>
                <w:szCs w:val="24"/>
              </w:rPr>
              <w:t>□重大变动重新报批项目</w:t>
            </w:r>
          </w:p>
        </w:tc>
      </w:tr>
      <w:tr w14:paraId="5EFB84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4CF4C4C6">
            <w:pPr>
              <w:pStyle w:val="52"/>
              <w:rPr>
                <w:sz w:val="24"/>
                <w:szCs w:val="24"/>
              </w:rPr>
            </w:pPr>
            <w:r>
              <w:rPr>
                <w:rFonts w:hint="eastAsia"/>
                <w:sz w:val="24"/>
                <w:szCs w:val="24"/>
              </w:rPr>
              <w:t>项目审批（核准</w:t>
            </w:r>
            <w:r>
              <w:rPr>
                <w:sz w:val="24"/>
                <w:szCs w:val="24"/>
              </w:rPr>
              <w:t>/</w:t>
            </w:r>
            <w:r>
              <w:rPr>
                <w:rFonts w:hint="eastAsia"/>
                <w:sz w:val="24"/>
                <w:szCs w:val="24"/>
              </w:rPr>
              <w:t>备案）部门（选填）</w:t>
            </w:r>
          </w:p>
        </w:tc>
        <w:tc>
          <w:tcPr>
            <w:tcW w:w="1985" w:type="dxa"/>
            <w:vAlign w:val="center"/>
          </w:tcPr>
          <w:p w14:paraId="652DB306">
            <w:pPr>
              <w:pStyle w:val="52"/>
              <w:rPr>
                <w:sz w:val="24"/>
                <w:szCs w:val="24"/>
              </w:rPr>
            </w:pPr>
            <w:r>
              <w:rPr>
                <w:rFonts w:hint="eastAsia"/>
                <w:sz w:val="24"/>
                <w:szCs w:val="24"/>
              </w:rPr>
              <w:t>盂县行政审批服务管理局</w:t>
            </w:r>
          </w:p>
        </w:tc>
        <w:tc>
          <w:tcPr>
            <w:tcW w:w="2438" w:type="dxa"/>
            <w:vAlign w:val="center"/>
          </w:tcPr>
          <w:p w14:paraId="2539D7E1">
            <w:pPr>
              <w:pStyle w:val="52"/>
              <w:rPr>
                <w:sz w:val="24"/>
                <w:szCs w:val="24"/>
              </w:rPr>
            </w:pPr>
            <w:r>
              <w:rPr>
                <w:rFonts w:hint="eastAsia"/>
                <w:sz w:val="24"/>
                <w:szCs w:val="24"/>
              </w:rPr>
              <w:t>项目审批（核准</w:t>
            </w:r>
            <w:r>
              <w:rPr>
                <w:sz w:val="24"/>
                <w:szCs w:val="24"/>
              </w:rPr>
              <w:t>/</w:t>
            </w:r>
          </w:p>
          <w:p w14:paraId="371B9F64">
            <w:pPr>
              <w:pStyle w:val="52"/>
              <w:rPr>
                <w:sz w:val="24"/>
                <w:szCs w:val="24"/>
              </w:rPr>
            </w:pPr>
            <w:r>
              <w:rPr>
                <w:rFonts w:hint="eastAsia"/>
                <w:sz w:val="24"/>
                <w:szCs w:val="24"/>
              </w:rPr>
              <w:t>备案）文号（选填）</w:t>
            </w:r>
          </w:p>
        </w:tc>
        <w:tc>
          <w:tcPr>
            <w:tcW w:w="3523" w:type="dxa"/>
            <w:vAlign w:val="center"/>
          </w:tcPr>
          <w:p w14:paraId="39BE9233">
            <w:pPr>
              <w:pStyle w:val="52"/>
              <w:rPr>
                <w:sz w:val="24"/>
                <w:szCs w:val="24"/>
              </w:rPr>
            </w:pPr>
            <w:r>
              <w:rPr>
                <w:rFonts w:hint="eastAsia"/>
                <w:sz w:val="24"/>
                <w:szCs w:val="24"/>
              </w:rPr>
              <w:t>/</w:t>
            </w:r>
          </w:p>
        </w:tc>
      </w:tr>
      <w:tr w14:paraId="3AF968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721016CD">
            <w:pPr>
              <w:pStyle w:val="52"/>
              <w:rPr>
                <w:sz w:val="24"/>
                <w:szCs w:val="24"/>
              </w:rPr>
            </w:pPr>
            <w:r>
              <w:rPr>
                <w:rFonts w:hint="eastAsia"/>
                <w:sz w:val="24"/>
                <w:szCs w:val="24"/>
              </w:rPr>
              <w:t>总投资（万元）</w:t>
            </w:r>
          </w:p>
        </w:tc>
        <w:tc>
          <w:tcPr>
            <w:tcW w:w="1985" w:type="dxa"/>
            <w:vAlign w:val="center"/>
          </w:tcPr>
          <w:p w14:paraId="6E47AE95">
            <w:pPr>
              <w:pStyle w:val="52"/>
              <w:rPr>
                <w:sz w:val="24"/>
                <w:szCs w:val="24"/>
              </w:rPr>
            </w:pPr>
            <w:r>
              <w:rPr>
                <w:rFonts w:hint="eastAsia"/>
                <w:sz w:val="24"/>
                <w:szCs w:val="24"/>
              </w:rPr>
              <w:t>280</w:t>
            </w:r>
          </w:p>
        </w:tc>
        <w:tc>
          <w:tcPr>
            <w:tcW w:w="2438" w:type="dxa"/>
            <w:tcMar>
              <w:top w:w="16" w:type="dxa"/>
              <w:left w:w="16" w:type="dxa"/>
              <w:right w:w="16" w:type="dxa"/>
            </w:tcMar>
            <w:vAlign w:val="center"/>
          </w:tcPr>
          <w:p w14:paraId="4F016A90">
            <w:pPr>
              <w:pStyle w:val="52"/>
              <w:rPr>
                <w:sz w:val="24"/>
                <w:szCs w:val="24"/>
              </w:rPr>
            </w:pPr>
            <w:r>
              <w:rPr>
                <w:rFonts w:hint="eastAsia"/>
                <w:sz w:val="24"/>
                <w:szCs w:val="24"/>
              </w:rPr>
              <w:t>环保投资（万元）</w:t>
            </w:r>
          </w:p>
        </w:tc>
        <w:tc>
          <w:tcPr>
            <w:tcW w:w="3523" w:type="dxa"/>
            <w:vAlign w:val="center"/>
          </w:tcPr>
          <w:p w14:paraId="0461E777">
            <w:pPr>
              <w:pStyle w:val="52"/>
              <w:rPr>
                <w:sz w:val="24"/>
                <w:szCs w:val="24"/>
              </w:rPr>
            </w:pPr>
            <w:r>
              <w:rPr>
                <w:rFonts w:hint="eastAsia"/>
                <w:sz w:val="24"/>
                <w:szCs w:val="24"/>
              </w:rPr>
              <w:t>50</w:t>
            </w:r>
          </w:p>
        </w:tc>
      </w:tr>
      <w:tr w14:paraId="3F5F1A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0D37EB2E">
            <w:pPr>
              <w:pStyle w:val="52"/>
              <w:rPr>
                <w:sz w:val="24"/>
                <w:szCs w:val="24"/>
              </w:rPr>
            </w:pPr>
            <w:r>
              <w:rPr>
                <w:rFonts w:hint="eastAsia"/>
                <w:sz w:val="24"/>
                <w:szCs w:val="24"/>
              </w:rPr>
              <w:t>环保投资占比（</w:t>
            </w:r>
            <w:r>
              <w:rPr>
                <w:sz w:val="24"/>
                <w:szCs w:val="24"/>
              </w:rPr>
              <w:t>%</w:t>
            </w:r>
            <w:r>
              <w:rPr>
                <w:rFonts w:hint="eastAsia"/>
                <w:sz w:val="24"/>
                <w:szCs w:val="24"/>
              </w:rPr>
              <w:t>）</w:t>
            </w:r>
          </w:p>
        </w:tc>
        <w:tc>
          <w:tcPr>
            <w:tcW w:w="1985" w:type="dxa"/>
            <w:vAlign w:val="center"/>
          </w:tcPr>
          <w:p w14:paraId="35460CD8">
            <w:pPr>
              <w:pStyle w:val="52"/>
              <w:rPr>
                <w:sz w:val="24"/>
                <w:szCs w:val="24"/>
                <w:highlight w:val="yellow"/>
              </w:rPr>
            </w:pPr>
            <w:r>
              <w:rPr>
                <w:rFonts w:hint="eastAsia"/>
                <w:sz w:val="24"/>
                <w:szCs w:val="24"/>
              </w:rPr>
              <w:t>17.85</w:t>
            </w:r>
          </w:p>
        </w:tc>
        <w:tc>
          <w:tcPr>
            <w:tcW w:w="2438" w:type="dxa"/>
            <w:tcMar>
              <w:top w:w="16" w:type="dxa"/>
              <w:left w:w="16" w:type="dxa"/>
              <w:right w:w="16" w:type="dxa"/>
            </w:tcMar>
            <w:vAlign w:val="center"/>
          </w:tcPr>
          <w:p w14:paraId="5B6778BC">
            <w:pPr>
              <w:pStyle w:val="52"/>
              <w:rPr>
                <w:sz w:val="24"/>
                <w:szCs w:val="24"/>
              </w:rPr>
            </w:pPr>
            <w:r>
              <w:rPr>
                <w:rFonts w:hint="eastAsia"/>
                <w:sz w:val="24"/>
                <w:szCs w:val="24"/>
              </w:rPr>
              <w:t>施工工期</w:t>
            </w:r>
          </w:p>
        </w:tc>
        <w:tc>
          <w:tcPr>
            <w:tcW w:w="3523" w:type="dxa"/>
            <w:vAlign w:val="center"/>
          </w:tcPr>
          <w:p w14:paraId="2B8F9BF7">
            <w:pPr>
              <w:pStyle w:val="52"/>
              <w:rPr>
                <w:sz w:val="24"/>
                <w:szCs w:val="24"/>
              </w:rPr>
            </w:pPr>
            <w:r>
              <w:rPr>
                <w:rFonts w:hint="eastAsia"/>
                <w:sz w:val="24"/>
                <w:szCs w:val="24"/>
              </w:rPr>
              <w:t>6个月</w:t>
            </w:r>
          </w:p>
        </w:tc>
      </w:tr>
      <w:tr w14:paraId="7C0858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33" w:type="dxa"/>
            <w:tcMar>
              <w:top w:w="16" w:type="dxa"/>
              <w:left w:w="16" w:type="dxa"/>
              <w:right w:w="16" w:type="dxa"/>
            </w:tcMar>
            <w:vAlign w:val="center"/>
          </w:tcPr>
          <w:p w14:paraId="3E7A8E87">
            <w:pPr>
              <w:pStyle w:val="52"/>
              <w:rPr>
                <w:sz w:val="24"/>
                <w:szCs w:val="24"/>
              </w:rPr>
            </w:pPr>
            <w:r>
              <w:rPr>
                <w:rFonts w:hint="eastAsia"/>
                <w:sz w:val="24"/>
                <w:szCs w:val="24"/>
              </w:rPr>
              <w:t>是否开工建设</w:t>
            </w:r>
          </w:p>
        </w:tc>
        <w:tc>
          <w:tcPr>
            <w:tcW w:w="1985" w:type="dxa"/>
            <w:vAlign w:val="center"/>
          </w:tcPr>
          <w:p w14:paraId="7EBA9466">
            <w:pPr>
              <w:pStyle w:val="52"/>
              <w:jc w:val="left"/>
              <w:rPr>
                <w:sz w:val="24"/>
                <w:szCs w:val="24"/>
              </w:rPr>
            </w:pPr>
            <w:r>
              <w:rPr>
                <w:sz w:val="24"/>
                <w:szCs w:val="24"/>
              </w:rPr>
              <w:fldChar w:fldCharType="begin"/>
            </w:r>
            <w:r>
              <w:rPr>
                <w:sz w:val="24"/>
                <w:szCs w:val="24"/>
              </w:rPr>
              <w:instrText xml:space="preserve"> </w:instrText>
            </w:r>
            <w:r>
              <w:rPr>
                <w:rFonts w:hint="eastAsia"/>
                <w:sz w:val="24"/>
                <w:szCs w:val="24"/>
              </w:rPr>
              <w:instrText xml:space="preserve">eq \o\ac(□,</w:instrText>
            </w:r>
            <w:r>
              <w:rPr>
                <w:rFonts w:hint="eastAsia"/>
                <w:position w:val="1"/>
                <w:sz w:val="24"/>
                <w:szCs w:val="24"/>
              </w:rPr>
              <w:instrText xml:space="preserve">√</w:instrText>
            </w:r>
            <w:r>
              <w:rPr>
                <w:rFonts w:hint="eastAsia"/>
                <w:sz w:val="24"/>
                <w:szCs w:val="24"/>
              </w:rPr>
              <w:instrText xml:space="preserve">)</w:instrText>
            </w:r>
            <w:r>
              <w:rPr>
                <w:sz w:val="24"/>
                <w:szCs w:val="24"/>
              </w:rPr>
              <w:fldChar w:fldCharType="end"/>
            </w:r>
            <w:r>
              <w:rPr>
                <w:rFonts w:hint="eastAsia"/>
                <w:sz w:val="24"/>
                <w:szCs w:val="24"/>
              </w:rPr>
              <w:t>否</w:t>
            </w:r>
          </w:p>
          <w:p w14:paraId="56DC1892">
            <w:pPr>
              <w:pStyle w:val="52"/>
              <w:jc w:val="left"/>
              <w:rPr>
                <w:sz w:val="24"/>
                <w:szCs w:val="24"/>
              </w:rPr>
            </w:pPr>
            <w:r>
              <w:rPr>
                <w:rFonts w:hint="eastAsia"/>
                <w:sz w:val="24"/>
                <w:szCs w:val="24"/>
              </w:rPr>
              <w:t>□是：</w:t>
            </w:r>
            <w:r>
              <w:rPr>
                <w:rFonts w:hint="eastAsia"/>
                <w:sz w:val="24"/>
                <w:szCs w:val="24"/>
                <w:u w:val="single"/>
              </w:rPr>
              <w:t xml:space="preserve">             </w:t>
            </w:r>
          </w:p>
        </w:tc>
        <w:tc>
          <w:tcPr>
            <w:tcW w:w="2438" w:type="dxa"/>
            <w:tcMar>
              <w:top w:w="16" w:type="dxa"/>
              <w:left w:w="16" w:type="dxa"/>
              <w:right w:w="16" w:type="dxa"/>
            </w:tcMar>
            <w:vAlign w:val="center"/>
          </w:tcPr>
          <w:p w14:paraId="54A77B45">
            <w:pPr>
              <w:pStyle w:val="52"/>
              <w:rPr>
                <w:spacing w:val="-6"/>
                <w:sz w:val="24"/>
                <w:szCs w:val="24"/>
              </w:rPr>
            </w:pPr>
            <w:r>
              <w:rPr>
                <w:rFonts w:hint="eastAsia"/>
                <w:spacing w:val="-6"/>
                <w:sz w:val="24"/>
                <w:szCs w:val="24"/>
              </w:rPr>
              <w:t>用地（用海）</w:t>
            </w:r>
          </w:p>
          <w:p w14:paraId="3830E4ED">
            <w:pPr>
              <w:pStyle w:val="52"/>
              <w:rPr>
                <w:sz w:val="24"/>
                <w:szCs w:val="24"/>
              </w:rPr>
            </w:pPr>
            <w:r>
              <w:rPr>
                <w:rFonts w:hint="eastAsia"/>
                <w:spacing w:val="-6"/>
                <w:sz w:val="24"/>
                <w:szCs w:val="24"/>
              </w:rPr>
              <w:t>面积（</w:t>
            </w:r>
            <w:r>
              <w:rPr>
                <w:spacing w:val="-6"/>
                <w:sz w:val="24"/>
                <w:szCs w:val="24"/>
              </w:rPr>
              <w:t>m</w:t>
            </w:r>
            <w:r>
              <w:rPr>
                <w:spacing w:val="-6"/>
                <w:sz w:val="24"/>
                <w:szCs w:val="24"/>
                <w:vertAlign w:val="superscript"/>
              </w:rPr>
              <w:t>2</w:t>
            </w:r>
            <w:r>
              <w:rPr>
                <w:rFonts w:hint="eastAsia"/>
                <w:spacing w:val="-6"/>
                <w:sz w:val="24"/>
                <w:szCs w:val="24"/>
              </w:rPr>
              <w:t>）</w:t>
            </w:r>
          </w:p>
        </w:tc>
        <w:tc>
          <w:tcPr>
            <w:tcW w:w="3523" w:type="dxa"/>
            <w:vAlign w:val="center"/>
          </w:tcPr>
          <w:p w14:paraId="46CB304A">
            <w:pPr>
              <w:pStyle w:val="52"/>
              <w:rPr>
                <w:sz w:val="24"/>
                <w:szCs w:val="24"/>
              </w:rPr>
            </w:pPr>
            <w:r>
              <w:rPr>
                <w:rFonts w:hint="eastAsia"/>
                <w:sz w:val="24"/>
                <w:szCs w:val="24"/>
              </w:rPr>
              <w:t>1133</w:t>
            </w:r>
          </w:p>
        </w:tc>
      </w:tr>
      <w:tr w14:paraId="518001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3" w:type="dxa"/>
            <w:vAlign w:val="center"/>
          </w:tcPr>
          <w:p w14:paraId="673FD8B7">
            <w:pPr>
              <w:pStyle w:val="52"/>
              <w:rPr>
                <w:sz w:val="24"/>
                <w:szCs w:val="24"/>
              </w:rPr>
            </w:pPr>
            <w:r>
              <w:rPr>
                <w:rFonts w:hint="eastAsia"/>
                <w:sz w:val="24"/>
                <w:szCs w:val="24"/>
              </w:rPr>
              <w:t>专项评价设置情况</w:t>
            </w:r>
          </w:p>
        </w:tc>
        <w:tc>
          <w:tcPr>
            <w:tcW w:w="7946" w:type="dxa"/>
            <w:gridSpan w:val="3"/>
            <w:vAlign w:val="center"/>
          </w:tcPr>
          <w:p w14:paraId="1769D0E8">
            <w:pPr>
              <w:pStyle w:val="52"/>
              <w:rPr>
                <w:sz w:val="24"/>
                <w:szCs w:val="24"/>
              </w:rPr>
            </w:pPr>
            <w:r>
              <w:rPr>
                <w:rFonts w:hint="eastAsia"/>
                <w:sz w:val="24"/>
                <w:szCs w:val="24"/>
              </w:rPr>
              <w:t>无</w:t>
            </w:r>
          </w:p>
        </w:tc>
      </w:tr>
      <w:tr w14:paraId="584C51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3" w:type="dxa"/>
            <w:vAlign w:val="center"/>
          </w:tcPr>
          <w:p w14:paraId="36C21A24">
            <w:pPr>
              <w:pStyle w:val="52"/>
              <w:rPr>
                <w:kern w:val="0"/>
                <w:sz w:val="24"/>
                <w:szCs w:val="24"/>
              </w:rPr>
            </w:pPr>
            <w:r>
              <w:rPr>
                <w:rFonts w:hint="eastAsia"/>
                <w:sz w:val="24"/>
                <w:szCs w:val="24"/>
              </w:rPr>
              <w:t>规划情况</w:t>
            </w:r>
          </w:p>
        </w:tc>
        <w:tc>
          <w:tcPr>
            <w:tcW w:w="7946" w:type="dxa"/>
            <w:gridSpan w:val="3"/>
            <w:vAlign w:val="center"/>
          </w:tcPr>
          <w:p w14:paraId="4F71B57D">
            <w:pPr>
              <w:pStyle w:val="52"/>
              <w:rPr>
                <w:sz w:val="24"/>
                <w:szCs w:val="24"/>
              </w:rPr>
            </w:pPr>
            <w:r>
              <w:rPr>
                <w:rFonts w:hint="eastAsia"/>
                <w:sz w:val="24"/>
                <w:szCs w:val="24"/>
              </w:rPr>
              <w:t>无</w:t>
            </w:r>
          </w:p>
        </w:tc>
      </w:tr>
      <w:tr w14:paraId="12A15A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3" w:type="dxa"/>
            <w:vAlign w:val="center"/>
          </w:tcPr>
          <w:p w14:paraId="02D22FB8">
            <w:pPr>
              <w:pStyle w:val="52"/>
              <w:rPr>
                <w:sz w:val="24"/>
                <w:szCs w:val="24"/>
              </w:rPr>
            </w:pPr>
            <w:r>
              <w:rPr>
                <w:rFonts w:hint="eastAsia"/>
                <w:sz w:val="24"/>
                <w:szCs w:val="24"/>
              </w:rPr>
              <w:t>规划环境影响</w:t>
            </w:r>
          </w:p>
          <w:p w14:paraId="547D648F">
            <w:pPr>
              <w:pStyle w:val="52"/>
              <w:rPr>
                <w:kern w:val="0"/>
                <w:sz w:val="24"/>
                <w:szCs w:val="24"/>
              </w:rPr>
            </w:pPr>
            <w:r>
              <w:rPr>
                <w:rFonts w:hint="eastAsia"/>
                <w:sz w:val="24"/>
                <w:szCs w:val="24"/>
              </w:rPr>
              <w:t>评价情况</w:t>
            </w:r>
          </w:p>
        </w:tc>
        <w:tc>
          <w:tcPr>
            <w:tcW w:w="7946" w:type="dxa"/>
            <w:gridSpan w:val="3"/>
            <w:vAlign w:val="center"/>
          </w:tcPr>
          <w:p w14:paraId="69879D10">
            <w:pPr>
              <w:pStyle w:val="52"/>
              <w:rPr>
                <w:sz w:val="24"/>
                <w:szCs w:val="24"/>
              </w:rPr>
            </w:pPr>
            <w:r>
              <w:rPr>
                <w:rFonts w:hint="eastAsia"/>
                <w:sz w:val="24"/>
                <w:szCs w:val="24"/>
              </w:rPr>
              <w:t>无</w:t>
            </w:r>
          </w:p>
        </w:tc>
      </w:tr>
      <w:tr w14:paraId="0B2B40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3" w:type="dxa"/>
            <w:vAlign w:val="center"/>
          </w:tcPr>
          <w:p w14:paraId="532780EA">
            <w:pPr>
              <w:pStyle w:val="52"/>
              <w:rPr>
                <w:kern w:val="0"/>
                <w:sz w:val="24"/>
                <w:szCs w:val="24"/>
              </w:rPr>
            </w:pPr>
            <w:r>
              <w:rPr>
                <w:rFonts w:hint="eastAsia"/>
                <w:kern w:val="0"/>
                <w:sz w:val="24"/>
                <w:szCs w:val="24"/>
              </w:rPr>
              <w:t>规划及规划环境影响评价符合性分析</w:t>
            </w:r>
          </w:p>
        </w:tc>
        <w:tc>
          <w:tcPr>
            <w:tcW w:w="7946" w:type="dxa"/>
            <w:gridSpan w:val="3"/>
            <w:vAlign w:val="center"/>
          </w:tcPr>
          <w:p w14:paraId="2D89666D">
            <w:pPr>
              <w:pStyle w:val="52"/>
              <w:rPr>
                <w:sz w:val="24"/>
                <w:szCs w:val="24"/>
              </w:rPr>
            </w:pPr>
            <w:r>
              <w:rPr>
                <w:rFonts w:hint="eastAsia"/>
                <w:sz w:val="24"/>
                <w:szCs w:val="24"/>
              </w:rPr>
              <w:t>无</w:t>
            </w:r>
          </w:p>
        </w:tc>
      </w:tr>
      <w:tr w14:paraId="6F7C06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3" w:type="dxa"/>
            <w:vAlign w:val="center"/>
          </w:tcPr>
          <w:p w14:paraId="15483EB5">
            <w:pPr>
              <w:pStyle w:val="52"/>
              <w:rPr>
                <w:kern w:val="0"/>
              </w:rPr>
            </w:pPr>
            <w:r>
              <w:rPr>
                <w:rFonts w:hint="eastAsia"/>
                <w:kern w:val="0"/>
                <w:sz w:val="24"/>
                <w:szCs w:val="24"/>
              </w:rPr>
              <w:t>其他符合性分析</w:t>
            </w:r>
          </w:p>
        </w:tc>
        <w:tc>
          <w:tcPr>
            <w:tcW w:w="7946" w:type="dxa"/>
            <w:gridSpan w:val="3"/>
            <w:vAlign w:val="center"/>
          </w:tcPr>
          <w:p w14:paraId="0F9A5DE1">
            <w:pPr>
              <w:pStyle w:val="91"/>
              <w:spacing w:before="0" w:after="0" w:line="440" w:lineRule="exact"/>
              <w:rPr>
                <w:szCs w:val="32"/>
              </w:rPr>
            </w:pPr>
            <w:r>
              <w:rPr>
                <w:rFonts w:hint="eastAsia"/>
                <w:szCs w:val="32"/>
              </w:rPr>
              <w:t>一、与阳泉市生态环境分区管控动态更新成果符合性分析</w:t>
            </w:r>
          </w:p>
          <w:p w14:paraId="30103617">
            <w:pPr>
              <w:spacing w:line="440" w:lineRule="exact"/>
              <w:ind w:firstLine="480" w:firstLineChars="200"/>
              <w:rPr>
                <w:sz w:val="24"/>
                <w:szCs w:val="32"/>
              </w:rPr>
            </w:pPr>
            <w:r>
              <w:rPr>
                <w:rFonts w:hint="eastAsia"/>
                <w:sz w:val="24"/>
                <w:szCs w:val="32"/>
              </w:rPr>
              <w:t>根据阳泉市生态环境局发布的《阳泉市生态环境分区管控动态更新成果通告》，</w:t>
            </w:r>
            <w:r>
              <w:rPr>
                <w:rFonts w:hint="eastAsia"/>
                <w:sz w:val="24"/>
              </w:rPr>
              <w:t>本项目所在区域属于重点管控单元。项目与阳泉市生态环境管控单元图位置关系见附图3。</w:t>
            </w:r>
          </w:p>
          <w:p w14:paraId="78F7D06A">
            <w:pPr>
              <w:spacing w:line="440" w:lineRule="exact"/>
              <w:ind w:firstLine="480" w:firstLineChars="200"/>
              <w:rPr>
                <w:sz w:val="24"/>
              </w:rPr>
            </w:pPr>
            <w:r>
              <w:rPr>
                <w:rFonts w:hint="eastAsia"/>
                <w:sz w:val="24"/>
                <w:szCs w:val="32"/>
              </w:rPr>
              <w:t>根据山西省生态环境分区管控信息平台查询结果，本项目位于盂县温河秀水镇控制单元水环境城镇生活污染重点管控单元（管控单元编号：ZH14032220001），</w:t>
            </w:r>
            <w:r>
              <w:rPr>
                <w:rFonts w:hint="eastAsia"/>
                <w:sz w:val="24"/>
              </w:rPr>
              <w:t>查询结果见下图。</w:t>
            </w:r>
          </w:p>
          <w:p w14:paraId="56037E53">
            <w:pPr>
              <w:pStyle w:val="49"/>
              <w:numPr>
                <w:ilvl w:val="0"/>
                <w:numId w:val="0"/>
              </w:numPr>
              <w:spacing w:before="120" w:beforeLines="50" w:line="240" w:lineRule="auto"/>
              <w:rPr>
                <w:kern w:val="2"/>
                <w:sz w:val="24"/>
                <w:szCs w:val="32"/>
              </w:rPr>
            </w:pPr>
            <w:r>
              <w:drawing>
                <wp:inline distT="0" distB="0" distL="0" distR="0">
                  <wp:extent cx="4486910" cy="3394075"/>
                  <wp:effectExtent l="0" t="0" r="8890" b="0"/>
                  <wp:docPr id="8481375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137571" name="图片 1"/>
                          <pic:cNvPicPr>
                            <a:picLocks noChangeAspect="1"/>
                          </pic:cNvPicPr>
                        </pic:nvPicPr>
                        <pic:blipFill>
                          <a:blip r:embed="rId9"/>
                          <a:stretch>
                            <a:fillRect/>
                          </a:stretch>
                        </pic:blipFill>
                        <pic:spPr>
                          <a:xfrm>
                            <a:off x="0" y="0"/>
                            <a:ext cx="4487614" cy="3394634"/>
                          </a:xfrm>
                          <a:prstGeom prst="rect">
                            <a:avLst/>
                          </a:prstGeom>
                        </pic:spPr>
                      </pic:pic>
                    </a:graphicData>
                  </a:graphic>
                </wp:inline>
              </w:drawing>
            </w:r>
          </w:p>
          <w:p w14:paraId="5F120DE4">
            <w:pPr>
              <w:pStyle w:val="5"/>
              <w:spacing w:before="0" w:after="0" w:line="240" w:lineRule="auto"/>
              <w:jc w:val="center"/>
              <w:rPr>
                <w:rFonts w:ascii="Times New Roman" w:hAnsi="Times New Roman" w:eastAsia="宋体"/>
                <w:b w:val="0"/>
                <w:bCs w:val="0"/>
                <w:sz w:val="24"/>
                <w:szCs w:val="32"/>
              </w:rPr>
            </w:pPr>
            <w:r>
              <w:drawing>
                <wp:inline distT="0" distB="0" distL="0" distR="0">
                  <wp:extent cx="4523105" cy="2408555"/>
                  <wp:effectExtent l="0" t="0" r="0" b="0"/>
                  <wp:docPr id="13056711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71190"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535267" cy="2414809"/>
                          </a:xfrm>
                          <a:prstGeom prst="rect">
                            <a:avLst/>
                          </a:prstGeom>
                          <a:noFill/>
                          <a:ln>
                            <a:noFill/>
                          </a:ln>
                        </pic:spPr>
                      </pic:pic>
                    </a:graphicData>
                  </a:graphic>
                </wp:inline>
              </w:drawing>
            </w:r>
          </w:p>
          <w:p w14:paraId="52ABD891">
            <w:pPr>
              <w:pStyle w:val="5"/>
              <w:spacing w:before="0" w:after="0" w:line="420" w:lineRule="exact"/>
              <w:jc w:val="center"/>
              <w:rPr>
                <w:rFonts w:ascii="Times New Roman" w:hAnsi="Times New Roman"/>
                <w:b w:val="0"/>
                <w:bCs w:val="0"/>
                <w:sz w:val="32"/>
              </w:rPr>
            </w:pPr>
            <w:r>
              <w:rPr>
                <w:rFonts w:hint="eastAsia" w:ascii="Times New Roman" w:hAnsi="Times New Roman" w:eastAsia="宋体"/>
                <w:b w:val="0"/>
                <w:bCs w:val="0"/>
                <w:sz w:val="24"/>
                <w:szCs w:val="32"/>
              </w:rPr>
              <w:t>图1-1  山西省生态环境分区管控信息平台查询结果</w:t>
            </w:r>
          </w:p>
          <w:p w14:paraId="25A00C5E">
            <w:pPr>
              <w:pStyle w:val="95"/>
              <w:spacing w:line="440" w:lineRule="exact"/>
              <w:ind w:firstLine="480"/>
              <w:rPr>
                <w:sz w:val="24"/>
                <w:szCs w:val="32"/>
              </w:rPr>
            </w:pPr>
            <w:r>
              <w:rPr>
                <w:sz w:val="24"/>
                <w:szCs w:val="32"/>
              </w:rPr>
              <w:t>本项目</w:t>
            </w:r>
            <w:r>
              <w:rPr>
                <w:rFonts w:hint="eastAsia"/>
                <w:sz w:val="24"/>
                <w:szCs w:val="32"/>
              </w:rPr>
              <w:t>与所属管控单元</w:t>
            </w:r>
            <w:r>
              <w:rPr>
                <w:sz w:val="24"/>
                <w:szCs w:val="32"/>
              </w:rPr>
              <w:t>具体管控要求符合性</w:t>
            </w:r>
            <w:r>
              <w:rPr>
                <w:rFonts w:hint="eastAsia"/>
                <w:sz w:val="24"/>
                <w:szCs w:val="32"/>
              </w:rPr>
              <w:t>分析</w:t>
            </w:r>
            <w:r>
              <w:rPr>
                <w:sz w:val="24"/>
                <w:szCs w:val="32"/>
              </w:rPr>
              <w:t>见</w:t>
            </w:r>
            <w:r>
              <w:rPr>
                <w:rFonts w:hint="eastAsia"/>
                <w:sz w:val="24"/>
                <w:szCs w:val="32"/>
              </w:rPr>
              <w:t>下表。</w:t>
            </w:r>
          </w:p>
          <w:p w14:paraId="080735E3">
            <w:pPr>
              <w:spacing w:line="400" w:lineRule="exact"/>
              <w:jc w:val="center"/>
              <w:rPr>
                <w:sz w:val="24"/>
                <w:szCs w:val="32"/>
              </w:rPr>
            </w:pPr>
            <w:r>
              <w:rPr>
                <w:rFonts w:hint="eastAsia"/>
                <w:sz w:val="24"/>
                <w:szCs w:val="32"/>
              </w:rPr>
              <w:t xml:space="preserve">表1-1  </w:t>
            </w:r>
            <w:r>
              <w:rPr>
                <w:sz w:val="24"/>
                <w:szCs w:val="32"/>
              </w:rPr>
              <w:t>本项目与</w:t>
            </w:r>
            <w:r>
              <w:rPr>
                <w:rFonts w:hint="eastAsia"/>
                <w:sz w:val="24"/>
                <w:szCs w:val="32"/>
              </w:rPr>
              <w:t>所属</w:t>
            </w:r>
            <w:r>
              <w:rPr>
                <w:sz w:val="24"/>
                <w:szCs w:val="32"/>
              </w:rPr>
              <w:t>生态环境分区管控</w:t>
            </w:r>
            <w:r>
              <w:rPr>
                <w:rFonts w:hint="eastAsia"/>
                <w:sz w:val="24"/>
                <w:szCs w:val="32"/>
              </w:rPr>
              <w:t>要求</w:t>
            </w:r>
            <w:r>
              <w:rPr>
                <w:sz w:val="24"/>
                <w:szCs w:val="32"/>
              </w:rPr>
              <w:t>符合性</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1"/>
              <w:gridCol w:w="3253"/>
              <w:gridCol w:w="3125"/>
              <w:gridCol w:w="601"/>
            </w:tblGrid>
            <w:tr w14:paraId="30A3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587" w:type="pct"/>
                  <w:gridSpan w:val="2"/>
                  <w:vAlign w:val="center"/>
                </w:tcPr>
                <w:p w14:paraId="17AB00BC">
                  <w:pPr>
                    <w:pStyle w:val="52"/>
                    <w:spacing w:line="300" w:lineRule="exact"/>
                  </w:pPr>
                  <w:r>
                    <w:rPr>
                      <w:rFonts w:hint="eastAsia"/>
                    </w:rPr>
                    <w:t>盂县温河秀水镇控制单元水环境城镇生活污染重点管控单元管控要求</w:t>
                  </w:r>
                </w:p>
              </w:tc>
              <w:tc>
                <w:tcPr>
                  <w:tcW w:w="2024" w:type="pct"/>
                  <w:vAlign w:val="center"/>
                </w:tcPr>
                <w:p w14:paraId="1647F9C7">
                  <w:pPr>
                    <w:pStyle w:val="52"/>
                    <w:spacing w:line="300" w:lineRule="exact"/>
                  </w:pPr>
                  <w:r>
                    <w:rPr>
                      <w:rFonts w:hint="eastAsia"/>
                    </w:rPr>
                    <w:t>本项目</w:t>
                  </w:r>
                </w:p>
              </w:tc>
              <w:tc>
                <w:tcPr>
                  <w:tcW w:w="389" w:type="pct"/>
                  <w:vAlign w:val="center"/>
                </w:tcPr>
                <w:p w14:paraId="6245F3B9">
                  <w:pPr>
                    <w:pStyle w:val="52"/>
                    <w:spacing w:line="300" w:lineRule="exact"/>
                  </w:pPr>
                  <w:r>
                    <w:rPr>
                      <w:rFonts w:hint="eastAsia"/>
                    </w:rPr>
                    <w:t>符合性</w:t>
                  </w:r>
                </w:p>
              </w:tc>
            </w:tr>
            <w:tr w14:paraId="3323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80" w:type="pct"/>
                  <w:vMerge w:val="restart"/>
                  <w:vAlign w:val="center"/>
                </w:tcPr>
                <w:p w14:paraId="1D0A00D4">
                  <w:pPr>
                    <w:pStyle w:val="52"/>
                    <w:spacing w:line="300" w:lineRule="exact"/>
                  </w:pPr>
                  <w:r>
                    <w:rPr>
                      <w:rFonts w:hint="eastAsia"/>
                    </w:rPr>
                    <w:t>空间布局约束</w:t>
                  </w:r>
                </w:p>
              </w:tc>
              <w:tc>
                <w:tcPr>
                  <w:tcW w:w="2107" w:type="pct"/>
                  <w:vAlign w:val="center"/>
                </w:tcPr>
                <w:p w14:paraId="23CE9664">
                  <w:pPr>
                    <w:pStyle w:val="52"/>
                    <w:spacing w:line="300" w:lineRule="exact"/>
                  </w:pPr>
                  <w:r>
                    <w:rPr>
                      <w:rFonts w:hint="eastAsia"/>
                    </w:rPr>
                    <w:t>1.执行山西省、重点区域（汾渭平原）、阳泉市的空间布局准入要求。</w:t>
                  </w:r>
                </w:p>
              </w:tc>
              <w:tc>
                <w:tcPr>
                  <w:tcW w:w="2024" w:type="pct"/>
                  <w:vAlign w:val="center"/>
                </w:tcPr>
                <w:p w14:paraId="476C37D8">
                  <w:pPr>
                    <w:pStyle w:val="52"/>
                    <w:spacing w:line="300" w:lineRule="exact"/>
                  </w:pPr>
                  <w:bookmarkStart w:id="12" w:name="OLE_LINK61"/>
                  <w:r>
                    <w:rPr>
                      <w:rFonts w:hint="eastAsia"/>
                    </w:rPr>
                    <w:t>本项目为砖瓦、石材等建筑材料制造项目，根据《产业结构调整指导目录（2024年本）》，本项目不属于限制类和淘汰类项目，属于允许类项目，</w:t>
                  </w:r>
                  <w:bookmarkEnd w:id="12"/>
                  <w:r>
                    <w:rPr>
                      <w:rFonts w:hint="eastAsia"/>
                    </w:rPr>
                    <w:t>项目已取得山西省企业投资项目备案证，项目编码2606</w:t>
                  </w:r>
                  <w:r>
                    <w:t>-140</w:t>
                  </w:r>
                  <w:r>
                    <w:rPr>
                      <w:rFonts w:hint="eastAsia"/>
                    </w:rPr>
                    <w:t>322</w:t>
                  </w:r>
                  <w:r>
                    <w:t>-89-01-4</w:t>
                  </w:r>
                  <w:r>
                    <w:rPr>
                      <w:rFonts w:hint="eastAsia"/>
                    </w:rPr>
                    <w:t>07668，项目选址位于重点管控单元</w:t>
                  </w:r>
                  <w:r>
                    <w:rPr>
                      <w:rFonts w:hint="eastAsia" w:ascii="宋体" w:hAnsi="宋体" w:cs="宋体"/>
                    </w:rPr>
                    <w:t>，不涉及生态保护红线、永久基本农田保护区以及其他需要特殊保护的生态环境敏感区。符合山西省、重点区域（汾渭平原）、阳泉市空间布局相关准入要求。</w:t>
                  </w:r>
                </w:p>
              </w:tc>
              <w:tc>
                <w:tcPr>
                  <w:tcW w:w="389" w:type="pct"/>
                  <w:vAlign w:val="center"/>
                </w:tcPr>
                <w:p w14:paraId="1DA7382E">
                  <w:pPr>
                    <w:pStyle w:val="52"/>
                    <w:spacing w:line="300" w:lineRule="exact"/>
                  </w:pPr>
                  <w:r>
                    <w:rPr>
                      <w:rFonts w:hint="eastAsia"/>
                    </w:rPr>
                    <w:t>符合</w:t>
                  </w:r>
                </w:p>
              </w:tc>
            </w:tr>
            <w:tr w14:paraId="4727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80" w:type="pct"/>
                  <w:vMerge w:val="continue"/>
                  <w:vAlign w:val="center"/>
                </w:tcPr>
                <w:p w14:paraId="61CF0BCB">
                  <w:pPr>
                    <w:pStyle w:val="52"/>
                    <w:spacing w:line="300" w:lineRule="exact"/>
                  </w:pPr>
                </w:p>
              </w:tc>
              <w:tc>
                <w:tcPr>
                  <w:tcW w:w="2107" w:type="pct"/>
                  <w:vAlign w:val="center"/>
                </w:tcPr>
                <w:p w14:paraId="5F045152">
                  <w:pPr>
                    <w:pStyle w:val="52"/>
                    <w:spacing w:line="300" w:lineRule="exact"/>
                  </w:pPr>
                  <w:r>
                    <w:rPr>
                      <w:rFonts w:hint="eastAsia"/>
                    </w:rPr>
                    <w:t>2.城市规划区范围内原则上禁止新建、扩建焦化、钢铁、化工、有色金属冶炼和水泥等污染较重以及危险化学品贮存、处理处置高风险项目。</w:t>
                  </w:r>
                </w:p>
              </w:tc>
              <w:tc>
                <w:tcPr>
                  <w:tcW w:w="2024" w:type="pct"/>
                  <w:vAlign w:val="center"/>
                </w:tcPr>
                <w:p w14:paraId="43B0AA2E">
                  <w:pPr>
                    <w:pStyle w:val="52"/>
                    <w:spacing w:line="300" w:lineRule="exact"/>
                  </w:pPr>
                  <w:r>
                    <w:rPr>
                      <w:rFonts w:hint="eastAsia"/>
                    </w:rPr>
                    <w:t>本项目为砖瓦、石材等建筑材料制造项目，不属于焦化、钢铁、化工、有色金属冶炼和水泥等污染较重以及危险化学品贮存、处理处置高风险项目。</w:t>
                  </w:r>
                </w:p>
              </w:tc>
              <w:tc>
                <w:tcPr>
                  <w:tcW w:w="389" w:type="pct"/>
                  <w:vAlign w:val="center"/>
                </w:tcPr>
                <w:p w14:paraId="6B7D760F">
                  <w:pPr>
                    <w:pStyle w:val="52"/>
                    <w:spacing w:line="300" w:lineRule="exact"/>
                  </w:pPr>
                  <w:r>
                    <w:rPr>
                      <w:rFonts w:hint="eastAsia"/>
                    </w:rPr>
                    <w:t>符合</w:t>
                  </w:r>
                </w:p>
              </w:tc>
            </w:tr>
            <w:tr w14:paraId="06B0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80" w:type="pct"/>
                  <w:vMerge w:val="continue"/>
                  <w:vAlign w:val="center"/>
                </w:tcPr>
                <w:p w14:paraId="3EF7AC0A">
                  <w:pPr>
                    <w:pStyle w:val="52"/>
                    <w:spacing w:line="300" w:lineRule="exact"/>
                  </w:pPr>
                </w:p>
              </w:tc>
              <w:tc>
                <w:tcPr>
                  <w:tcW w:w="2107" w:type="pct"/>
                  <w:vAlign w:val="center"/>
                </w:tcPr>
                <w:p w14:paraId="3E8FC9B5">
                  <w:pPr>
                    <w:pStyle w:val="52"/>
                    <w:spacing w:line="300" w:lineRule="exact"/>
                  </w:pPr>
                  <w:r>
                    <w:rPr>
                      <w:rFonts w:hint="eastAsia"/>
                    </w:rPr>
                    <w:t>3.推进城市建成区及周边重污染企业搬迁退出，积极发展清洁、低碳、绿色行业。</w:t>
                  </w:r>
                </w:p>
              </w:tc>
              <w:tc>
                <w:tcPr>
                  <w:tcW w:w="2024" w:type="pct"/>
                  <w:vAlign w:val="center"/>
                </w:tcPr>
                <w:p w14:paraId="2D3A08EF">
                  <w:pPr>
                    <w:pStyle w:val="52"/>
                    <w:spacing w:line="300" w:lineRule="exact"/>
                  </w:pPr>
                  <w:r>
                    <w:rPr>
                      <w:rFonts w:hint="eastAsia"/>
                    </w:rPr>
                    <w:t>本项目不位于城市建成区及其周边，本项目不属于重污染企业。</w:t>
                  </w:r>
                </w:p>
              </w:tc>
              <w:tc>
                <w:tcPr>
                  <w:tcW w:w="389" w:type="pct"/>
                  <w:vAlign w:val="center"/>
                </w:tcPr>
                <w:p w14:paraId="26758D0C">
                  <w:pPr>
                    <w:pStyle w:val="52"/>
                    <w:spacing w:line="300" w:lineRule="exact"/>
                  </w:pPr>
                  <w:r>
                    <w:rPr>
                      <w:rFonts w:hint="eastAsia"/>
                    </w:rPr>
                    <w:t>符合</w:t>
                  </w:r>
                </w:p>
              </w:tc>
            </w:tr>
            <w:tr w14:paraId="0FB6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80" w:type="pct"/>
                  <w:vMerge w:val="continue"/>
                  <w:vAlign w:val="center"/>
                </w:tcPr>
                <w:p w14:paraId="45A1308D">
                  <w:pPr>
                    <w:pStyle w:val="52"/>
                    <w:spacing w:line="300" w:lineRule="exact"/>
                  </w:pPr>
                </w:p>
              </w:tc>
              <w:tc>
                <w:tcPr>
                  <w:tcW w:w="2107" w:type="pct"/>
                  <w:vAlign w:val="center"/>
                </w:tcPr>
                <w:p w14:paraId="53D069B6">
                  <w:pPr>
                    <w:pStyle w:val="52"/>
                    <w:spacing w:line="300" w:lineRule="exact"/>
                  </w:pPr>
                  <w:r>
                    <w:rPr>
                      <w:rFonts w:hint="eastAsia"/>
                    </w:rPr>
                    <w:t>4.禁止在居民区、学校、医疗和养老机构、幼儿园等周边规定范围内新建、扩建有色金属冶炼、焦化、煤焦油加工等行业企业。</w:t>
                  </w:r>
                </w:p>
              </w:tc>
              <w:tc>
                <w:tcPr>
                  <w:tcW w:w="2024" w:type="pct"/>
                  <w:vAlign w:val="center"/>
                </w:tcPr>
                <w:p w14:paraId="7D7458CF">
                  <w:pPr>
                    <w:pStyle w:val="52"/>
                    <w:spacing w:line="300" w:lineRule="exact"/>
                  </w:pPr>
                  <w:r>
                    <w:rPr>
                      <w:rFonts w:hint="eastAsia"/>
                    </w:rPr>
                    <w:t>本项目周边不涉及居民区、学校、医疗和养老机构、幼儿园，且本项目不属于新建、扩建有色金属冶炼、焦化、煤焦油加工等行业。</w:t>
                  </w:r>
                </w:p>
              </w:tc>
              <w:tc>
                <w:tcPr>
                  <w:tcW w:w="389" w:type="pct"/>
                  <w:vAlign w:val="center"/>
                </w:tcPr>
                <w:p w14:paraId="737FFA67">
                  <w:pPr>
                    <w:pStyle w:val="52"/>
                    <w:spacing w:line="300" w:lineRule="exact"/>
                  </w:pPr>
                  <w:r>
                    <w:rPr>
                      <w:rFonts w:hint="eastAsia"/>
                    </w:rPr>
                    <w:t>符合</w:t>
                  </w:r>
                </w:p>
              </w:tc>
            </w:tr>
            <w:tr w14:paraId="3F82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80" w:type="pct"/>
                  <w:vMerge w:val="restart"/>
                  <w:vAlign w:val="center"/>
                </w:tcPr>
                <w:p w14:paraId="5B42E210">
                  <w:pPr>
                    <w:pStyle w:val="52"/>
                    <w:spacing w:line="300" w:lineRule="exact"/>
                  </w:pPr>
                  <w:r>
                    <w:rPr>
                      <w:rFonts w:hint="eastAsia"/>
                    </w:rPr>
                    <w:t>污染物排放管控</w:t>
                  </w:r>
                </w:p>
              </w:tc>
              <w:tc>
                <w:tcPr>
                  <w:tcW w:w="2107" w:type="pct"/>
                  <w:vAlign w:val="center"/>
                </w:tcPr>
                <w:p w14:paraId="2FE76844">
                  <w:pPr>
                    <w:pStyle w:val="52"/>
                    <w:spacing w:line="300" w:lineRule="exact"/>
                  </w:pPr>
                  <w:r>
                    <w:t>1.</w:t>
                  </w:r>
                  <w:r>
                    <w:rPr>
                      <w:rFonts w:hint="eastAsia"/>
                    </w:rPr>
                    <w:t>执行山西省、阳泉市的污染物排放控制要求。</w:t>
                  </w:r>
                </w:p>
              </w:tc>
              <w:tc>
                <w:tcPr>
                  <w:tcW w:w="2024" w:type="pct"/>
                  <w:vAlign w:val="center"/>
                </w:tcPr>
                <w:p w14:paraId="5B97B41F">
                  <w:pPr>
                    <w:pStyle w:val="52"/>
                    <w:spacing w:line="300" w:lineRule="exact"/>
                  </w:pPr>
                  <w:r>
                    <w:rPr>
                      <w:rFonts w:hint="eastAsia"/>
                    </w:rPr>
                    <w:t>本项目颗粒物排放浓度及主要污染物排放总量满足相关标准及文件要求。</w:t>
                  </w:r>
                </w:p>
              </w:tc>
              <w:tc>
                <w:tcPr>
                  <w:tcW w:w="389" w:type="pct"/>
                  <w:vAlign w:val="center"/>
                </w:tcPr>
                <w:p w14:paraId="65E5E4AC">
                  <w:pPr>
                    <w:pStyle w:val="52"/>
                    <w:spacing w:line="300" w:lineRule="exact"/>
                  </w:pPr>
                  <w:r>
                    <w:rPr>
                      <w:rFonts w:hint="eastAsia"/>
                    </w:rPr>
                    <w:t>符合</w:t>
                  </w:r>
                </w:p>
              </w:tc>
            </w:tr>
            <w:tr w14:paraId="3501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80" w:type="pct"/>
                  <w:vMerge w:val="continue"/>
                  <w:vAlign w:val="center"/>
                </w:tcPr>
                <w:p w14:paraId="0E2ABDFF">
                  <w:pPr>
                    <w:pStyle w:val="52"/>
                    <w:spacing w:line="300" w:lineRule="exact"/>
                  </w:pPr>
                </w:p>
              </w:tc>
              <w:tc>
                <w:tcPr>
                  <w:tcW w:w="2107" w:type="pct"/>
                  <w:vAlign w:val="center"/>
                </w:tcPr>
                <w:p w14:paraId="18C78F5E">
                  <w:pPr>
                    <w:pStyle w:val="52"/>
                    <w:spacing w:line="300" w:lineRule="exact"/>
                  </w:pPr>
                  <w:r>
                    <w:rPr>
                      <w:rFonts w:hint="eastAsia"/>
                    </w:rPr>
                    <w:t>2.新建工业企业生产废水原则上不得排入城镇生活污水处理厂。</w:t>
                  </w:r>
                </w:p>
              </w:tc>
              <w:tc>
                <w:tcPr>
                  <w:tcW w:w="2024" w:type="pct"/>
                  <w:vAlign w:val="center"/>
                </w:tcPr>
                <w:p w14:paraId="3AD3D7AD">
                  <w:pPr>
                    <w:pStyle w:val="52"/>
                    <w:spacing w:line="300" w:lineRule="exact"/>
                  </w:pPr>
                  <w:r>
                    <w:rPr>
                      <w:rFonts w:hint="eastAsia"/>
                    </w:rPr>
                    <w:t>本项目无生产废水产生；</w:t>
                  </w:r>
                </w:p>
              </w:tc>
              <w:tc>
                <w:tcPr>
                  <w:tcW w:w="389" w:type="pct"/>
                  <w:vAlign w:val="center"/>
                </w:tcPr>
                <w:p w14:paraId="6C05C91C">
                  <w:pPr>
                    <w:pStyle w:val="52"/>
                    <w:spacing w:line="300" w:lineRule="exact"/>
                  </w:pPr>
                  <w:r>
                    <w:rPr>
                      <w:rFonts w:hint="eastAsia"/>
                    </w:rPr>
                    <w:t>符合</w:t>
                  </w:r>
                </w:p>
              </w:tc>
            </w:tr>
            <w:tr w14:paraId="5AE0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80" w:type="pct"/>
                  <w:vMerge w:val="continue"/>
                  <w:vAlign w:val="center"/>
                </w:tcPr>
                <w:p w14:paraId="062A0414">
                  <w:pPr>
                    <w:pStyle w:val="52"/>
                    <w:spacing w:line="300" w:lineRule="exact"/>
                  </w:pPr>
                </w:p>
              </w:tc>
              <w:tc>
                <w:tcPr>
                  <w:tcW w:w="2107" w:type="pct"/>
                  <w:vAlign w:val="center"/>
                </w:tcPr>
                <w:p w14:paraId="14EB2146">
                  <w:pPr>
                    <w:pStyle w:val="52"/>
                    <w:spacing w:line="300" w:lineRule="exact"/>
                  </w:pPr>
                  <w:r>
                    <w:rPr>
                      <w:rFonts w:hint="eastAsia"/>
                    </w:rPr>
                    <w:t>3.稳定消除城市建成区黑臭水体。</w:t>
                  </w:r>
                </w:p>
              </w:tc>
              <w:tc>
                <w:tcPr>
                  <w:tcW w:w="2024" w:type="pct"/>
                  <w:vAlign w:val="center"/>
                </w:tcPr>
                <w:p w14:paraId="1B684223">
                  <w:pPr>
                    <w:pStyle w:val="52"/>
                    <w:spacing w:line="300" w:lineRule="exact"/>
                  </w:pPr>
                  <w:r>
                    <w:rPr>
                      <w:rFonts w:hint="eastAsia"/>
                    </w:rPr>
                    <w:t>不涉及</w:t>
                  </w:r>
                </w:p>
              </w:tc>
              <w:tc>
                <w:tcPr>
                  <w:tcW w:w="389" w:type="pct"/>
                  <w:vAlign w:val="center"/>
                </w:tcPr>
                <w:p w14:paraId="09BE0C0A">
                  <w:pPr>
                    <w:pStyle w:val="52"/>
                    <w:spacing w:line="300" w:lineRule="exact"/>
                  </w:pPr>
                  <w:r>
                    <w:rPr>
                      <w:rFonts w:hint="eastAsia"/>
                    </w:rPr>
                    <w:t>符合</w:t>
                  </w:r>
                </w:p>
              </w:tc>
            </w:tr>
            <w:tr w14:paraId="7475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80" w:type="pct"/>
                  <w:vAlign w:val="center"/>
                </w:tcPr>
                <w:p w14:paraId="73C7F7E0">
                  <w:pPr>
                    <w:pStyle w:val="52"/>
                    <w:spacing w:line="300" w:lineRule="exact"/>
                  </w:pPr>
                  <w:r>
                    <w:rPr>
                      <w:rFonts w:hint="eastAsia"/>
                    </w:rPr>
                    <w:t>环境风险防控</w:t>
                  </w:r>
                </w:p>
              </w:tc>
              <w:tc>
                <w:tcPr>
                  <w:tcW w:w="2107" w:type="pct"/>
                  <w:vAlign w:val="center"/>
                </w:tcPr>
                <w:p w14:paraId="597D46BB">
                  <w:pPr>
                    <w:pStyle w:val="52"/>
                    <w:spacing w:line="300" w:lineRule="exact"/>
                  </w:pPr>
                  <w:r>
                    <w:rPr>
                      <w:rFonts w:hint="eastAsia"/>
                    </w:rPr>
                    <w:t>1.对涉及有毒有害化学品、重金属和新型污染物的项目，建立生态环境风险防范清单，实行严格的环境准入把关。</w:t>
                  </w:r>
                </w:p>
              </w:tc>
              <w:tc>
                <w:tcPr>
                  <w:tcW w:w="2024" w:type="pct"/>
                  <w:vAlign w:val="center"/>
                </w:tcPr>
                <w:p w14:paraId="360F659A">
                  <w:pPr>
                    <w:pStyle w:val="52"/>
                    <w:spacing w:line="300" w:lineRule="exact"/>
                  </w:pPr>
                  <w:r>
                    <w:rPr>
                      <w:rFonts w:hint="eastAsia"/>
                    </w:rPr>
                    <w:t>不涉及</w:t>
                  </w:r>
                </w:p>
              </w:tc>
              <w:tc>
                <w:tcPr>
                  <w:tcW w:w="389" w:type="pct"/>
                  <w:vAlign w:val="center"/>
                </w:tcPr>
                <w:p w14:paraId="07B98D7B">
                  <w:pPr>
                    <w:pStyle w:val="52"/>
                    <w:spacing w:line="300" w:lineRule="exact"/>
                  </w:pPr>
                  <w:r>
                    <w:rPr>
                      <w:rFonts w:hint="eastAsia"/>
                    </w:rPr>
                    <w:t>符合</w:t>
                  </w:r>
                </w:p>
              </w:tc>
            </w:tr>
            <w:tr w14:paraId="5F43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80" w:type="pct"/>
                  <w:vAlign w:val="center"/>
                </w:tcPr>
                <w:p w14:paraId="543A10F2">
                  <w:pPr>
                    <w:pStyle w:val="52"/>
                    <w:spacing w:line="300" w:lineRule="exact"/>
                  </w:pPr>
                  <w:r>
                    <w:rPr>
                      <w:rFonts w:hint="eastAsia"/>
                    </w:rPr>
                    <w:t>资源开发效率要求</w:t>
                  </w:r>
                </w:p>
              </w:tc>
              <w:tc>
                <w:tcPr>
                  <w:tcW w:w="2107" w:type="pct"/>
                  <w:vAlign w:val="center"/>
                </w:tcPr>
                <w:p w14:paraId="52A8FED6">
                  <w:pPr>
                    <w:pStyle w:val="52"/>
                    <w:spacing w:line="300" w:lineRule="exact"/>
                    <w:rPr>
                      <w:highlight w:val="yellow"/>
                    </w:rPr>
                  </w:pPr>
                  <w:r>
                    <w:t>1.</w:t>
                  </w:r>
                  <w:r>
                    <w:rPr>
                      <w:rFonts w:hint="eastAsia"/>
                    </w:rPr>
                    <w:t>城市生态景观和绿化、工业生产、道路清扫、车辆冲洗和建筑施工等，应优先使用非常规水源。</w:t>
                  </w:r>
                </w:p>
              </w:tc>
              <w:tc>
                <w:tcPr>
                  <w:tcW w:w="2024" w:type="pct"/>
                  <w:vAlign w:val="center"/>
                </w:tcPr>
                <w:p w14:paraId="3845394D">
                  <w:pPr>
                    <w:pStyle w:val="52"/>
                    <w:spacing w:line="300" w:lineRule="exact"/>
                    <w:rPr>
                      <w:highlight w:val="yellow"/>
                    </w:rPr>
                  </w:pPr>
                  <w:r>
                    <w:rPr>
                      <w:rFonts w:hint="eastAsia"/>
                    </w:rPr>
                    <w:t>本项目无生产用水，车辆冲洗水循环利用，不外排</w:t>
                  </w:r>
                </w:p>
              </w:tc>
              <w:tc>
                <w:tcPr>
                  <w:tcW w:w="389" w:type="pct"/>
                  <w:vAlign w:val="center"/>
                </w:tcPr>
                <w:p w14:paraId="52B4057B">
                  <w:pPr>
                    <w:pStyle w:val="52"/>
                    <w:spacing w:line="300" w:lineRule="exact"/>
                  </w:pPr>
                  <w:r>
                    <w:rPr>
                      <w:rFonts w:hint="eastAsia"/>
                    </w:rPr>
                    <w:t>符合</w:t>
                  </w:r>
                </w:p>
              </w:tc>
            </w:tr>
          </w:tbl>
          <w:p w14:paraId="2BC6E066">
            <w:pPr>
              <w:pStyle w:val="46"/>
              <w:rPr>
                <w:rFonts w:hint="eastAsia"/>
              </w:rPr>
            </w:pPr>
            <w:bookmarkStart w:id="13" w:name="OLE_LINK62"/>
            <w:r>
              <w:rPr>
                <w:rFonts w:hint="eastAsia"/>
                <w:szCs w:val="32"/>
              </w:rPr>
              <w:t>综上所述，本项目的建设符合阳泉市盂县温河秀水镇控制单元水环境城镇生活污染重点管控单元管控要求</w:t>
            </w:r>
            <w:bookmarkEnd w:id="13"/>
            <w:r>
              <w:rPr>
                <w:rFonts w:hint="eastAsia"/>
                <w:szCs w:val="32"/>
              </w:rPr>
              <w:t>。</w:t>
            </w:r>
          </w:p>
          <w:p w14:paraId="079B635A">
            <w:pPr>
              <w:pStyle w:val="77"/>
              <w:spacing w:line="440" w:lineRule="exact"/>
              <w:rPr>
                <w:rFonts w:hint="eastAsia"/>
                <w:sz w:val="24"/>
                <w:szCs w:val="24"/>
              </w:rPr>
            </w:pPr>
            <w:r>
              <w:rPr>
                <w:rFonts w:hint="eastAsia"/>
                <w:sz w:val="24"/>
                <w:szCs w:val="24"/>
              </w:rPr>
              <w:t>二、相关规划及环保政策符合性分析</w:t>
            </w:r>
          </w:p>
          <w:p w14:paraId="6F3F334F">
            <w:pPr>
              <w:pStyle w:val="59"/>
              <w:spacing w:before="0" w:beforeLines="0" w:after="0" w:afterLines="0" w:line="440" w:lineRule="exact"/>
              <w:ind w:firstLine="0" w:firstLineChars="0"/>
              <w:rPr>
                <w:b/>
                <w:bCs w:val="0"/>
              </w:rPr>
            </w:pPr>
            <w:r>
              <w:rPr>
                <w:rFonts w:hint="eastAsia"/>
                <w:b/>
                <w:bCs w:val="0"/>
              </w:rPr>
              <w:t>1.《盂县国土空间总体规划》（2020-2035）</w:t>
            </w:r>
          </w:p>
          <w:p w14:paraId="66A03FB4">
            <w:pPr>
              <w:pStyle w:val="95"/>
              <w:spacing w:line="440" w:lineRule="exact"/>
              <w:ind w:firstLine="480"/>
              <w:rPr>
                <w:sz w:val="24"/>
                <w:szCs w:val="32"/>
              </w:rPr>
            </w:pPr>
            <w:r>
              <w:rPr>
                <w:rFonts w:hint="eastAsia"/>
                <w:sz w:val="24"/>
                <w:szCs w:val="32"/>
              </w:rPr>
              <w:t>统筹三条控制线划定与管控，严守生态保护红线，在生态保护红线内，自然保护地一般控制区，原则上禁止开发性、生产性活动。严保永久基本农田，任何单位和个人不得擅自占用或改变用途，一般建设项目不得占用永久基本农田。严控城镇开发边界，城镇开发边界的空间分布与全县国土开发格局相吻合，对开发建设行为的刚性约束，框定总量，限定容量，防治城镇无序蔓延。</w:t>
            </w:r>
          </w:p>
          <w:p w14:paraId="2CB8CCB6">
            <w:pPr>
              <w:pStyle w:val="95"/>
              <w:spacing w:line="440" w:lineRule="exact"/>
              <w:ind w:firstLine="480"/>
              <w:rPr>
                <w:sz w:val="24"/>
                <w:szCs w:val="32"/>
              </w:rPr>
            </w:pPr>
            <w:r>
              <w:rPr>
                <w:rFonts w:hint="eastAsia"/>
                <w:sz w:val="24"/>
                <w:szCs w:val="32"/>
              </w:rPr>
              <w:t>本项目租用土地面积约1.7亩，用地类型为工业用地。</w:t>
            </w:r>
            <w:bookmarkStart w:id="14" w:name="OLE_LINK63"/>
            <w:r>
              <w:rPr>
                <w:rFonts w:hint="eastAsia"/>
                <w:sz w:val="24"/>
                <w:szCs w:val="32"/>
              </w:rPr>
              <w:t>本项目用地范围不涉及占用耕地，与盂县已划定的永久基本农田保护区不重叠；与已划定的生态保护红线范围不重叠；与已划定的城镇开发边界不重叠。</w:t>
            </w:r>
            <w:bookmarkEnd w:id="14"/>
            <w:r>
              <w:rPr>
                <w:rFonts w:hint="eastAsia"/>
                <w:sz w:val="24"/>
                <w:szCs w:val="32"/>
              </w:rPr>
              <w:t>项目建设不违背《盂县国土空间总体规划》（2020-2035）。</w:t>
            </w:r>
          </w:p>
          <w:p w14:paraId="4892204F">
            <w:pPr>
              <w:pStyle w:val="95"/>
              <w:spacing w:line="440" w:lineRule="exact"/>
              <w:ind w:firstLine="480"/>
              <w:rPr>
                <w:sz w:val="24"/>
                <w:szCs w:val="32"/>
              </w:rPr>
            </w:pPr>
            <w:r>
              <w:rPr>
                <w:rFonts w:hint="eastAsia"/>
                <w:sz w:val="24"/>
                <w:szCs w:val="32"/>
              </w:rPr>
              <w:t>项目与盂县国土空间总体规划相对位置关系见附图4。</w:t>
            </w:r>
          </w:p>
          <w:p w14:paraId="28EE4766">
            <w:pPr>
              <w:pStyle w:val="59"/>
              <w:spacing w:before="0" w:beforeLines="0" w:after="0" w:afterLines="0" w:line="440" w:lineRule="exact"/>
              <w:ind w:firstLine="0" w:firstLineChars="0"/>
              <w:rPr>
                <w:b/>
                <w:bCs w:val="0"/>
              </w:rPr>
            </w:pPr>
            <w:r>
              <w:rPr>
                <w:rFonts w:hint="eastAsia"/>
                <w:b/>
                <w:bCs w:val="0"/>
              </w:rPr>
              <w:t>2.《关于推进机制砂石行业高质量发展的若干意见》（工信部联原〔2019〕239号）</w:t>
            </w:r>
          </w:p>
          <w:p w14:paraId="5835DF95">
            <w:pPr>
              <w:pStyle w:val="49"/>
              <w:numPr>
                <w:ilvl w:val="0"/>
                <w:numId w:val="0"/>
              </w:numPr>
              <w:rPr>
                <w:rFonts w:cs="黑体"/>
                <w:sz w:val="24"/>
                <w:szCs w:val="24"/>
              </w:rPr>
            </w:pPr>
            <w:r>
              <w:rPr>
                <w:rFonts w:hint="eastAsia" w:cs="黑体"/>
                <w:sz w:val="24"/>
                <w:szCs w:val="24"/>
              </w:rPr>
              <w:t>表2  本项目与工信部联原〔2019〕239号文符合性分析</w:t>
            </w:r>
          </w:p>
          <w:tbl>
            <w:tblPr>
              <w:tblStyle w:val="20"/>
              <w:tblW w:w="49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610"/>
              <w:gridCol w:w="3228"/>
              <w:gridCol w:w="797"/>
            </w:tblGrid>
            <w:tr w14:paraId="0C31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364" w:type="pct"/>
                  <w:vAlign w:val="center"/>
                </w:tcPr>
                <w:p w14:paraId="25CF3491">
                  <w:pPr>
                    <w:pStyle w:val="52"/>
                  </w:pPr>
                  <w:r>
                    <w:rPr>
                      <w:rFonts w:hint="eastAsia"/>
                    </w:rPr>
                    <w:t>规范要点</w:t>
                  </w:r>
                </w:p>
              </w:tc>
              <w:tc>
                <w:tcPr>
                  <w:tcW w:w="2114" w:type="pct"/>
                  <w:vAlign w:val="center"/>
                </w:tcPr>
                <w:p w14:paraId="19206590">
                  <w:pPr>
                    <w:pStyle w:val="52"/>
                  </w:pPr>
                  <w:r>
                    <w:rPr>
                      <w:rFonts w:hint="eastAsia"/>
                    </w:rPr>
                    <w:t>本项目情况</w:t>
                  </w:r>
                </w:p>
              </w:tc>
              <w:tc>
                <w:tcPr>
                  <w:tcW w:w="522" w:type="pct"/>
                  <w:vAlign w:val="center"/>
                </w:tcPr>
                <w:p w14:paraId="0AE4F259">
                  <w:pPr>
                    <w:pStyle w:val="52"/>
                  </w:pPr>
                  <w:r>
                    <w:rPr>
                      <w:rFonts w:hint="eastAsia"/>
                    </w:rPr>
                    <w:t>符合性</w:t>
                  </w:r>
                </w:p>
              </w:tc>
            </w:tr>
            <w:tr w14:paraId="2B01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364" w:type="pct"/>
                  <w:vAlign w:val="center"/>
                </w:tcPr>
                <w:p w14:paraId="745772E0">
                  <w:pPr>
                    <w:pStyle w:val="52"/>
                  </w:pPr>
                  <w:r>
                    <w:rPr>
                      <w:rFonts w:hint="eastAsia"/>
                    </w:rPr>
                    <w:t>依据原料品质实施分级利用，做到优质优用，提高砂石产品的成品率。对成品料分类或分仓储存。</w:t>
                  </w:r>
                </w:p>
              </w:tc>
              <w:tc>
                <w:tcPr>
                  <w:tcW w:w="2114" w:type="pct"/>
                  <w:vAlign w:val="center"/>
                </w:tcPr>
                <w:p w14:paraId="59DEF61B">
                  <w:pPr>
                    <w:pStyle w:val="52"/>
                  </w:pPr>
                  <w:r>
                    <w:rPr>
                      <w:rFonts w:hint="eastAsia"/>
                    </w:rPr>
                    <w:t>本项目根据石料原料品质制定产品方案，做到优质优用，提高砂石产品的成品率。各类干粉砂浆产品分类储存，储存于封闭车间内的成品堆放区。</w:t>
                  </w:r>
                </w:p>
              </w:tc>
              <w:tc>
                <w:tcPr>
                  <w:tcW w:w="522" w:type="pct"/>
                  <w:vAlign w:val="center"/>
                </w:tcPr>
                <w:p w14:paraId="59945807">
                  <w:pPr>
                    <w:pStyle w:val="52"/>
                  </w:pPr>
                  <w:r>
                    <w:rPr>
                      <w:rFonts w:hint="eastAsia"/>
                    </w:rPr>
                    <w:t>符合</w:t>
                  </w:r>
                </w:p>
              </w:tc>
            </w:tr>
            <w:tr w14:paraId="3AC7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364" w:type="pct"/>
                  <w:vAlign w:val="center"/>
                </w:tcPr>
                <w:p w14:paraId="02D9BA79">
                  <w:pPr>
                    <w:pStyle w:val="52"/>
                  </w:pPr>
                  <w:r>
                    <w:rPr>
                      <w:rFonts w:hint="eastAsia"/>
                    </w:rPr>
                    <w:t>机制砂石企业要坚持绿色低碳循环发展，按照相关规范要求建设绿色矿山。生产线配套建设抑尘收尘、水处理和降噪等污染防治以及水土保持设施，对设备、产品采取棚化密封或其他有效覆盖措施，推进清洁生产，严控无组织排放，满足达标排放等环保要求。对工艺废水、细粉和沉淀泥浆等加强回收再利用，鼓励利用生产过程中的伴生石粉生产绿色建材，实现近零排放。提高设备整体能效、节水水平，降低单位产品的综合能耗、水耗，鼓励有条件的企业实施输送带势能发电、开展合同节水管理。</w:t>
                  </w:r>
                </w:p>
              </w:tc>
              <w:tc>
                <w:tcPr>
                  <w:tcW w:w="2114" w:type="pct"/>
                  <w:vAlign w:val="center"/>
                </w:tcPr>
                <w:p w14:paraId="75D374FE">
                  <w:pPr>
                    <w:pStyle w:val="52"/>
                  </w:pPr>
                  <w:r>
                    <w:rPr>
                      <w:rFonts w:hint="eastAsia"/>
                    </w:rPr>
                    <w:t>本项目上料、输送、搅拌、包装设备产尘点全封闭，且布置于全封闭厂房内，皮带运输机、斗式提升机全封闭，连续产生粉尘部位配套安装了布袋除尘器，防止扬尘。选用低噪声生产设备，且对混合机、包装机等采取厂房隔声、基础减振措施，对风机采取消声、减振措施；合理控制了噪声传播。生产过程中产生的除尘灰收集后回用于生产。厂区洗车废水沉淀处理后循环使用，不外排，降低了单位产品水耗。</w:t>
                  </w:r>
                </w:p>
              </w:tc>
              <w:tc>
                <w:tcPr>
                  <w:tcW w:w="522" w:type="pct"/>
                  <w:vAlign w:val="center"/>
                </w:tcPr>
                <w:p w14:paraId="4C3C2797">
                  <w:pPr>
                    <w:pStyle w:val="52"/>
                  </w:pPr>
                  <w:r>
                    <w:rPr>
                      <w:rFonts w:hint="eastAsia"/>
                    </w:rPr>
                    <w:t>符合</w:t>
                  </w:r>
                </w:p>
              </w:tc>
            </w:tr>
          </w:tbl>
          <w:p w14:paraId="190125C5">
            <w:pPr>
              <w:pStyle w:val="59"/>
              <w:spacing w:before="72" w:after="72"/>
              <w:ind w:firstLine="0" w:firstLineChars="0"/>
              <w:rPr>
                <w:b/>
                <w:bCs w:val="0"/>
              </w:rPr>
            </w:pPr>
            <w:r>
              <w:rPr>
                <w:rFonts w:hint="eastAsia"/>
                <w:b/>
                <w:bCs w:val="0"/>
              </w:rPr>
              <w:t>3.《2019年砂石行业大气污染防治攻坚战实施方案》</w:t>
            </w:r>
          </w:p>
          <w:p w14:paraId="5C12AB8A">
            <w:pPr>
              <w:pStyle w:val="95"/>
              <w:spacing w:line="440" w:lineRule="exact"/>
              <w:ind w:firstLine="480"/>
              <w:rPr>
                <w:sz w:val="24"/>
                <w:szCs w:val="32"/>
              </w:rPr>
            </w:pPr>
            <w:r>
              <w:rPr>
                <w:rFonts w:hint="eastAsia"/>
                <w:sz w:val="24"/>
                <w:szCs w:val="32"/>
              </w:rPr>
              <w:t>相关要点：</w:t>
            </w:r>
          </w:p>
          <w:p w14:paraId="534BB715">
            <w:pPr>
              <w:pStyle w:val="95"/>
              <w:spacing w:line="440" w:lineRule="exact"/>
              <w:ind w:firstLine="480"/>
              <w:rPr>
                <w:sz w:val="24"/>
                <w:szCs w:val="32"/>
              </w:rPr>
            </w:pPr>
            <w:r>
              <w:rPr>
                <w:rFonts w:hint="eastAsia"/>
                <w:sz w:val="24"/>
                <w:szCs w:val="32"/>
              </w:rPr>
              <w:t>①宣贯《砂石行业绿色矿山建设规范》，在行业内推进干法生产的收尘技术和湿法生产的废水循环利用技术，加强无组织排放治理，环保不达标的企业全部关停。</w:t>
            </w:r>
          </w:p>
          <w:p w14:paraId="1ABB7454">
            <w:pPr>
              <w:pStyle w:val="95"/>
              <w:spacing w:line="440" w:lineRule="exact"/>
              <w:ind w:firstLine="480"/>
              <w:rPr>
                <w:sz w:val="24"/>
                <w:szCs w:val="32"/>
              </w:rPr>
            </w:pPr>
            <w:r>
              <w:rPr>
                <w:rFonts w:hint="eastAsia"/>
                <w:sz w:val="24"/>
                <w:szCs w:val="32"/>
              </w:rPr>
              <w:t>②鼓励企业技术创新和技术改造，加大对收尘措施的投入，在矿山现场、破碎机进出料口、料仓进出料口、厂区道路等位置安装空气雾炮、喷淋装置等，进行降尘抑尘。生产线的改扩建和新建，都要配置环保设施。干旱地区的生产企业，对破碎、筛分、机制砂、皮带输送等工艺进行全封闭，减少粉尘颗粒的外排。</w:t>
            </w:r>
          </w:p>
          <w:p w14:paraId="246A69DF">
            <w:pPr>
              <w:pStyle w:val="95"/>
              <w:spacing w:line="440" w:lineRule="exact"/>
              <w:ind w:firstLine="480"/>
              <w:rPr>
                <w:sz w:val="24"/>
                <w:szCs w:val="32"/>
              </w:rPr>
            </w:pPr>
            <w:r>
              <w:rPr>
                <w:rFonts w:hint="eastAsia"/>
                <w:sz w:val="24"/>
                <w:szCs w:val="32"/>
              </w:rPr>
              <w:t>本项目为干法生产，机制砂上料仓、皮带转载点、配料缓存仓、混合机以及包装机出口均设置集尘点，且布置于全封闭厂房内，皮带运输机全封闭，连续产生粉尘部位配套布袋除尘器，防止扬尘。项目建设符合《2019年砂石行业大气污染防治攻坚战实施方案》要求。</w:t>
            </w:r>
          </w:p>
          <w:p w14:paraId="216C620F">
            <w:pPr>
              <w:pStyle w:val="77"/>
              <w:spacing w:line="440" w:lineRule="exact"/>
              <w:rPr>
                <w:rFonts w:hint="eastAsia"/>
                <w:sz w:val="24"/>
                <w:szCs w:val="24"/>
              </w:rPr>
            </w:pPr>
            <w:r>
              <w:rPr>
                <w:rFonts w:hint="eastAsia"/>
                <w:sz w:val="24"/>
                <w:szCs w:val="24"/>
              </w:rPr>
              <w:t>4.《关于促进砂石行业健康有序发展的指导意见》（发改价格〔2020〕473号）</w:t>
            </w:r>
          </w:p>
          <w:p w14:paraId="55FAAF51">
            <w:pPr>
              <w:pStyle w:val="49"/>
              <w:numPr>
                <w:ilvl w:val="0"/>
                <w:numId w:val="0"/>
              </w:numPr>
              <w:rPr>
                <w:rFonts w:cs="黑体"/>
                <w:sz w:val="24"/>
                <w:szCs w:val="24"/>
              </w:rPr>
            </w:pPr>
            <w:r>
              <w:rPr>
                <w:rFonts w:hint="eastAsia" w:cs="黑体"/>
                <w:sz w:val="24"/>
                <w:szCs w:val="24"/>
              </w:rPr>
              <w:t>表3  本项目与发改价格〔2020〕473号文符合性分析</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507"/>
              <w:gridCol w:w="2356"/>
              <w:gridCol w:w="857"/>
            </w:tblGrid>
            <w:tr w14:paraId="4F16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919" w:type="pct"/>
                  <w:vAlign w:val="center"/>
                </w:tcPr>
                <w:p w14:paraId="0D24966A">
                  <w:pPr>
                    <w:pStyle w:val="52"/>
                  </w:pPr>
                  <w:r>
                    <w:rPr>
                      <w:rFonts w:hint="eastAsia"/>
                    </w:rPr>
                    <w:t>相关规范要点</w:t>
                  </w:r>
                </w:p>
              </w:tc>
              <w:tc>
                <w:tcPr>
                  <w:tcW w:w="1526" w:type="pct"/>
                  <w:vAlign w:val="center"/>
                </w:tcPr>
                <w:p w14:paraId="4FAB07C5">
                  <w:pPr>
                    <w:pStyle w:val="52"/>
                  </w:pPr>
                  <w:r>
                    <w:rPr>
                      <w:rFonts w:hint="eastAsia"/>
                    </w:rPr>
                    <w:t>本项目情况</w:t>
                  </w:r>
                </w:p>
              </w:tc>
              <w:tc>
                <w:tcPr>
                  <w:tcW w:w="555" w:type="pct"/>
                  <w:vAlign w:val="center"/>
                </w:tcPr>
                <w:p w14:paraId="6F55F14C">
                  <w:pPr>
                    <w:pStyle w:val="52"/>
                  </w:pPr>
                  <w:r>
                    <w:rPr>
                      <w:rFonts w:hint="eastAsia"/>
                    </w:rPr>
                    <w:t>符合性</w:t>
                  </w:r>
                </w:p>
              </w:tc>
            </w:tr>
            <w:tr w14:paraId="4E13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919" w:type="pct"/>
                  <w:vAlign w:val="center"/>
                </w:tcPr>
                <w:p w14:paraId="3B3E6E9F">
                  <w:pPr>
                    <w:pStyle w:val="52"/>
                  </w:pPr>
                  <w:r>
                    <w:rPr>
                      <w:rFonts w:hint="eastAsia"/>
                    </w:rPr>
                    <w:t>大力发展和推广应用机制砂石。加快落实《关于推进机制砂石行业高质量发展的若干意见》（工信部联原〔2019〕239号），统筹考虑各类砂石资源整体发展趋势，逐步过渡到依靠机制砂石满足建设需要为主，在规划布局、工艺装备、产品质量、污染防治、综合利用、安全生产等方面加强联动，加快推动机制砂石产业转型升级。强化上下游衔接，加快建立并逐步完善机制砂石产品及应用标准规范体系，不断提高优质和专用产品应用比例。</w:t>
                  </w:r>
                </w:p>
              </w:tc>
              <w:tc>
                <w:tcPr>
                  <w:tcW w:w="1526" w:type="pct"/>
                  <w:vAlign w:val="center"/>
                </w:tcPr>
                <w:p w14:paraId="6526A206">
                  <w:pPr>
                    <w:pStyle w:val="52"/>
                  </w:pPr>
                  <w:r>
                    <w:rPr>
                      <w:rFonts w:hint="eastAsia"/>
                    </w:rPr>
                    <w:t>根据前述分析，本项目建设符合《关于推进机制砂石行业高质量发展的若干意见》（工信部联原〔2019〕239号）要求，本项目为机制砂石制干混砂浆项目，符合《意见》过渡到依靠机制砂石满足建设需要为主的方向。</w:t>
                  </w:r>
                </w:p>
              </w:tc>
              <w:tc>
                <w:tcPr>
                  <w:tcW w:w="555" w:type="pct"/>
                  <w:vAlign w:val="center"/>
                </w:tcPr>
                <w:p w14:paraId="1622BF56">
                  <w:pPr>
                    <w:pStyle w:val="52"/>
                  </w:pPr>
                  <w:r>
                    <w:rPr>
                      <w:rFonts w:hint="eastAsia"/>
                    </w:rPr>
                    <w:t>符合</w:t>
                  </w:r>
                </w:p>
              </w:tc>
            </w:tr>
            <w:tr w14:paraId="0FD45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919" w:type="pct"/>
                  <w:vAlign w:val="center"/>
                </w:tcPr>
                <w:p w14:paraId="4A6A2959">
                  <w:pPr>
                    <w:pStyle w:val="52"/>
                  </w:pPr>
                  <w:r>
                    <w:t>降低运输成本。推动砂石中长距离运输改革，全面落实《山西省推进运输结构调整实施方案》，加快大宗砂石中长距离运输实现“公转铁”，逐步减少公路运输量，增加铁路运输量，有序发展多式联运，鼓励发展“驼背”运输、</w:t>
                  </w:r>
                  <w:r>
                    <w:rPr>
                      <w:rFonts w:hint="eastAsia"/>
                    </w:rPr>
                    <w:t>甩挂</w:t>
                  </w:r>
                  <w:r>
                    <w:t>运输等运输组织方式</w:t>
                  </w:r>
                  <w:r>
                    <w:rPr>
                      <w:rFonts w:hint="eastAsia"/>
                    </w:rPr>
                    <w:t>。</w:t>
                  </w:r>
                </w:p>
              </w:tc>
              <w:tc>
                <w:tcPr>
                  <w:tcW w:w="1526" w:type="pct"/>
                  <w:vAlign w:val="center"/>
                </w:tcPr>
                <w:p w14:paraId="65C12AAC">
                  <w:pPr>
                    <w:pStyle w:val="52"/>
                  </w:pPr>
                  <w:r>
                    <w:rPr>
                      <w:rFonts w:hint="eastAsia"/>
                    </w:rPr>
                    <w:t>本项目原料不涉及大宗砂石中长距离运输，拟优先采用新能源或清洁能源车运输，燃油车采用符合现行排放标准车辆。</w:t>
                  </w:r>
                </w:p>
              </w:tc>
              <w:tc>
                <w:tcPr>
                  <w:tcW w:w="555" w:type="pct"/>
                  <w:vAlign w:val="center"/>
                </w:tcPr>
                <w:p w14:paraId="3E8F058A">
                  <w:pPr>
                    <w:pStyle w:val="52"/>
                  </w:pPr>
                  <w:r>
                    <w:t>符合</w:t>
                  </w:r>
                </w:p>
              </w:tc>
            </w:tr>
          </w:tbl>
          <w:p w14:paraId="614EEFA7">
            <w:pPr>
              <w:pStyle w:val="77"/>
              <w:spacing w:line="440" w:lineRule="exact"/>
              <w:rPr>
                <w:rFonts w:hint="eastAsia"/>
                <w:sz w:val="24"/>
                <w:szCs w:val="24"/>
              </w:rPr>
            </w:pPr>
            <w:r>
              <w:rPr>
                <w:rFonts w:hint="eastAsia"/>
                <w:sz w:val="24"/>
                <w:szCs w:val="24"/>
              </w:rPr>
              <w:t>5.与《阳泉市人民政府办公室关于印发阳泉市空气质量持续改善行动计划实施方案的通知》（阳政办发〔2024〕31号）符合性分析</w:t>
            </w:r>
          </w:p>
          <w:p w14:paraId="2C4CBE86">
            <w:pPr>
              <w:pStyle w:val="49"/>
              <w:numPr>
                <w:ilvl w:val="0"/>
                <w:numId w:val="0"/>
              </w:numPr>
              <w:rPr>
                <w:rFonts w:cs="黑体"/>
                <w:sz w:val="24"/>
                <w:szCs w:val="24"/>
              </w:rPr>
            </w:pPr>
            <w:r>
              <w:rPr>
                <w:rFonts w:hint="eastAsia" w:cs="黑体"/>
                <w:sz w:val="24"/>
                <w:szCs w:val="24"/>
              </w:rPr>
              <w:t>表5  本项目与阳政办发〔2024〕31号文的符合性分析</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43"/>
              <w:gridCol w:w="2020"/>
              <w:gridCol w:w="857"/>
            </w:tblGrid>
            <w:tr w14:paraId="56C7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37" w:type="pct"/>
                  <w:vAlign w:val="center"/>
                </w:tcPr>
                <w:p w14:paraId="1735E0E4">
                  <w:pPr>
                    <w:pStyle w:val="52"/>
                    <w:rPr>
                      <w:sz w:val="22"/>
                      <w:szCs w:val="22"/>
                    </w:rPr>
                  </w:pPr>
                  <w:r>
                    <w:rPr>
                      <w:rFonts w:hint="eastAsia"/>
                      <w:sz w:val="22"/>
                      <w:szCs w:val="22"/>
                    </w:rPr>
                    <w:t>文件要点</w:t>
                  </w:r>
                </w:p>
              </w:tc>
              <w:tc>
                <w:tcPr>
                  <w:tcW w:w="1308" w:type="pct"/>
                  <w:vAlign w:val="center"/>
                </w:tcPr>
                <w:p w14:paraId="090145E0">
                  <w:pPr>
                    <w:pStyle w:val="52"/>
                    <w:rPr>
                      <w:sz w:val="22"/>
                      <w:szCs w:val="22"/>
                    </w:rPr>
                  </w:pPr>
                  <w:r>
                    <w:rPr>
                      <w:rFonts w:hint="eastAsia"/>
                      <w:sz w:val="22"/>
                      <w:szCs w:val="22"/>
                    </w:rPr>
                    <w:t>本项目情况</w:t>
                  </w:r>
                </w:p>
              </w:tc>
              <w:tc>
                <w:tcPr>
                  <w:tcW w:w="555" w:type="pct"/>
                  <w:vAlign w:val="center"/>
                </w:tcPr>
                <w:p w14:paraId="10E25AF3">
                  <w:pPr>
                    <w:pStyle w:val="52"/>
                    <w:rPr>
                      <w:sz w:val="22"/>
                      <w:szCs w:val="22"/>
                    </w:rPr>
                  </w:pPr>
                  <w:r>
                    <w:rPr>
                      <w:rFonts w:hint="eastAsia"/>
                      <w:sz w:val="22"/>
                      <w:szCs w:val="22"/>
                    </w:rPr>
                    <w:t>符合性</w:t>
                  </w:r>
                </w:p>
              </w:tc>
            </w:tr>
            <w:tr w14:paraId="2547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37" w:type="pct"/>
                  <w:vAlign w:val="center"/>
                </w:tcPr>
                <w:p w14:paraId="4B46079A">
                  <w:pPr>
                    <w:pStyle w:val="52"/>
                    <w:rPr>
                      <w:sz w:val="22"/>
                      <w:szCs w:val="22"/>
                    </w:rPr>
                  </w:pPr>
                  <w:r>
                    <w:rPr>
                      <w:rFonts w:hint="eastAsia"/>
                      <w:sz w:val="22"/>
                      <w:szCs w:val="22"/>
                    </w:rPr>
                    <w:t>提高货物铁路运输比例。大宗货物中长距离运输（运距500公里以上）优先采用铁路运输，短距离运输优先采用封闭式皮带廊道或新能源车辆。</w:t>
                  </w:r>
                </w:p>
              </w:tc>
              <w:tc>
                <w:tcPr>
                  <w:tcW w:w="1308" w:type="pct"/>
                  <w:vAlign w:val="center"/>
                </w:tcPr>
                <w:p w14:paraId="589E86A5">
                  <w:pPr>
                    <w:pStyle w:val="52"/>
                    <w:rPr>
                      <w:sz w:val="22"/>
                      <w:szCs w:val="22"/>
                    </w:rPr>
                  </w:pPr>
                  <w:r>
                    <w:rPr>
                      <w:rFonts w:hint="eastAsia"/>
                      <w:sz w:val="22"/>
                      <w:szCs w:val="22"/>
                    </w:rPr>
                    <w:t>本项目不涉及大宗货物运输，场内运输采用封闭式皮带，场外运输采用封闭厢式货车。</w:t>
                  </w:r>
                </w:p>
              </w:tc>
              <w:tc>
                <w:tcPr>
                  <w:tcW w:w="555" w:type="pct"/>
                  <w:vAlign w:val="center"/>
                </w:tcPr>
                <w:p w14:paraId="54A050C4">
                  <w:pPr>
                    <w:pStyle w:val="52"/>
                    <w:rPr>
                      <w:sz w:val="22"/>
                      <w:szCs w:val="22"/>
                    </w:rPr>
                  </w:pPr>
                  <w:r>
                    <w:rPr>
                      <w:rFonts w:hint="eastAsia"/>
                      <w:sz w:val="22"/>
                      <w:szCs w:val="22"/>
                    </w:rPr>
                    <w:t>符合</w:t>
                  </w:r>
                </w:p>
              </w:tc>
            </w:tr>
            <w:tr w14:paraId="73DC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37" w:type="pct"/>
                  <w:vAlign w:val="center"/>
                </w:tcPr>
                <w:p w14:paraId="3B73950A">
                  <w:pPr>
                    <w:pStyle w:val="52"/>
                    <w:rPr>
                      <w:sz w:val="22"/>
                      <w:szCs w:val="22"/>
                    </w:rPr>
                  </w:pPr>
                  <w:r>
                    <w:rPr>
                      <w:rFonts w:hint="eastAsia"/>
                      <w:sz w:val="22"/>
                      <w:szCs w:val="22"/>
                    </w:rPr>
                    <w:t>采取经济补偿、限制使用和加强监管执法等综合性措施，推动国四及以下排放标准柴油货车和采用稀薄燃烧技术的燃气货车淘汰。2025年底前，重点区域、5A级景区公共领域车辆基本实现使用新能源及清洁能源车辆，培育一批清洁运输企业。</w:t>
                  </w:r>
                </w:p>
              </w:tc>
              <w:tc>
                <w:tcPr>
                  <w:tcW w:w="1308" w:type="pct"/>
                  <w:vAlign w:val="center"/>
                </w:tcPr>
                <w:p w14:paraId="5C296D0F">
                  <w:pPr>
                    <w:pStyle w:val="52"/>
                    <w:rPr>
                      <w:sz w:val="22"/>
                      <w:szCs w:val="22"/>
                    </w:rPr>
                  </w:pPr>
                  <w:r>
                    <w:rPr>
                      <w:rFonts w:hint="eastAsia"/>
                      <w:sz w:val="22"/>
                      <w:szCs w:val="22"/>
                    </w:rPr>
                    <w:t>本项目优先采用新能源车或清洁能源车辆，燃油车拟采用符合国Ⅵ排放标准车辆。</w:t>
                  </w:r>
                </w:p>
              </w:tc>
              <w:tc>
                <w:tcPr>
                  <w:tcW w:w="555" w:type="pct"/>
                  <w:vAlign w:val="center"/>
                </w:tcPr>
                <w:p w14:paraId="3C49BCC7">
                  <w:pPr>
                    <w:pStyle w:val="52"/>
                    <w:rPr>
                      <w:sz w:val="22"/>
                      <w:szCs w:val="22"/>
                    </w:rPr>
                  </w:pPr>
                  <w:r>
                    <w:rPr>
                      <w:sz w:val="22"/>
                      <w:szCs w:val="22"/>
                    </w:rPr>
                    <w:t>符合</w:t>
                  </w:r>
                </w:p>
              </w:tc>
            </w:tr>
            <w:tr w14:paraId="4B03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37" w:type="pct"/>
                  <w:vAlign w:val="center"/>
                </w:tcPr>
                <w:p w14:paraId="5A0A13AB">
                  <w:pPr>
                    <w:pStyle w:val="52"/>
                    <w:rPr>
                      <w:sz w:val="22"/>
                      <w:szCs w:val="22"/>
                    </w:rPr>
                  </w:pPr>
                  <w:r>
                    <w:rPr>
                      <w:rFonts w:hint="eastAsia"/>
                      <w:sz w:val="22"/>
                      <w:szCs w:val="22"/>
                    </w:rPr>
                    <w:t>强化非道路移动源综合治理。加快推进铁路货场、物流园区、建筑工地、工矿企业内部作业车辆和机械新能源更新改造。严格落实市政府《关于调整高排放非道路移动机械禁用区的通告》（阳政通字〔2023〕2号）相关要求，强化非道路移动机械排放控制区执法管控。到2025年，基本消除非道路移动机械、铁路机车“冒黑烟”现象，基本淘汰第一阶段及以下排放标准的非道路移动机械。</w:t>
                  </w:r>
                </w:p>
              </w:tc>
              <w:tc>
                <w:tcPr>
                  <w:tcW w:w="1308" w:type="pct"/>
                  <w:vAlign w:val="center"/>
                </w:tcPr>
                <w:p w14:paraId="4FA16382">
                  <w:pPr>
                    <w:pStyle w:val="52"/>
                    <w:rPr>
                      <w:sz w:val="22"/>
                      <w:szCs w:val="22"/>
                    </w:rPr>
                  </w:pPr>
                  <w:r>
                    <w:rPr>
                      <w:rFonts w:hint="eastAsia"/>
                      <w:sz w:val="22"/>
                      <w:szCs w:val="22"/>
                    </w:rPr>
                    <w:t>厂内非道路移动机械优先使用新能源或清洁能源机械设备，燃油机械设备满足现行排放标准，燃用合格油品避免“冒黑烟”现象。</w:t>
                  </w:r>
                </w:p>
              </w:tc>
              <w:tc>
                <w:tcPr>
                  <w:tcW w:w="555" w:type="pct"/>
                  <w:vAlign w:val="center"/>
                </w:tcPr>
                <w:p w14:paraId="7D734AA3">
                  <w:pPr>
                    <w:pStyle w:val="52"/>
                    <w:rPr>
                      <w:sz w:val="22"/>
                      <w:szCs w:val="22"/>
                    </w:rPr>
                  </w:pPr>
                  <w:r>
                    <w:rPr>
                      <w:sz w:val="22"/>
                      <w:szCs w:val="22"/>
                    </w:rPr>
                    <w:t>符合</w:t>
                  </w:r>
                </w:p>
              </w:tc>
            </w:tr>
            <w:tr w14:paraId="5539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37" w:type="pct"/>
                  <w:vAlign w:val="center"/>
                </w:tcPr>
                <w:p w14:paraId="5AF8F75F">
                  <w:pPr>
                    <w:pStyle w:val="52"/>
                    <w:rPr>
                      <w:sz w:val="22"/>
                      <w:szCs w:val="22"/>
                    </w:rPr>
                  </w:pPr>
                  <w:r>
                    <w:rPr>
                      <w:rFonts w:hint="eastAsia"/>
                      <w:sz w:val="22"/>
                      <w:szCs w:val="22"/>
                    </w:rPr>
                    <w:t>深化扬尘污染综合治理。常态化开展扬尘专项整治，统筹推进施工、道路、裸地、堆场、工业企业无组织排放扬尘“五尘”同治。强化施工工地扬尘监管，施工工地（应急抢险除外）实行“阳光施工”“阳光运输”，杜绝夜间（晚8点到次日早上6点）在噪声敏感建筑物集中区域内进行产生噪声的施工和运输，减少夜间污染。城市建成区5000平方米及以上建筑工地安装视频监控并接入当地监管平台，重点区域道路、水利等长距离线性工程实行分段施工。强化城乡主要道路、工业集聚区和重点工矿企业周边道路扬尘治理，定期开展机械化清扫。强化工业企业物料运输、装卸、转移、存储和工艺过程无组织排放全过程扬尘管控，重点企业安装视频监控系统。</w:t>
                  </w:r>
                </w:p>
              </w:tc>
              <w:tc>
                <w:tcPr>
                  <w:tcW w:w="1308" w:type="pct"/>
                  <w:vAlign w:val="center"/>
                </w:tcPr>
                <w:p w14:paraId="1C36EBF4">
                  <w:pPr>
                    <w:pStyle w:val="52"/>
                    <w:rPr>
                      <w:sz w:val="22"/>
                      <w:szCs w:val="22"/>
                    </w:rPr>
                  </w:pPr>
                  <w:r>
                    <w:rPr>
                      <w:rFonts w:hint="eastAsia"/>
                      <w:sz w:val="22"/>
                      <w:szCs w:val="22"/>
                    </w:rPr>
                    <w:t>本项目施工期实行“阳光施工”“阳光运输”要求，并定期开展机械化清扫。运营期通过场所封闭、定期清扫等控制措施，对物料运输、装卸、转移、存储和工艺过程无组织排放进行全过程扬尘管控。</w:t>
                  </w:r>
                </w:p>
              </w:tc>
              <w:tc>
                <w:tcPr>
                  <w:tcW w:w="555" w:type="pct"/>
                  <w:vAlign w:val="center"/>
                </w:tcPr>
                <w:p w14:paraId="0206AD76">
                  <w:pPr>
                    <w:pStyle w:val="52"/>
                    <w:rPr>
                      <w:sz w:val="22"/>
                      <w:szCs w:val="22"/>
                    </w:rPr>
                  </w:pPr>
                  <w:r>
                    <w:rPr>
                      <w:sz w:val="22"/>
                      <w:szCs w:val="22"/>
                    </w:rPr>
                    <w:t>符合</w:t>
                  </w:r>
                </w:p>
              </w:tc>
            </w:tr>
          </w:tbl>
          <w:p w14:paraId="0ECEDA58">
            <w:pPr>
              <w:pStyle w:val="49"/>
              <w:numPr>
                <w:ilvl w:val="0"/>
                <w:numId w:val="0"/>
              </w:numPr>
              <w:ind w:left="419" w:hanging="419" w:hangingChars="174"/>
              <w:jc w:val="both"/>
              <w:rPr>
                <w:rFonts w:cs="黑体"/>
                <w:b/>
                <w:bCs/>
                <w:sz w:val="24"/>
              </w:rPr>
            </w:pPr>
            <w:r>
              <w:rPr>
                <w:rFonts w:hint="eastAsia" w:cs="黑体"/>
                <w:b/>
                <w:bCs/>
                <w:sz w:val="24"/>
              </w:rPr>
              <w:t>6.选址合理性分析</w:t>
            </w:r>
          </w:p>
          <w:p w14:paraId="309B2E2C">
            <w:pPr>
              <w:pStyle w:val="49"/>
              <w:numPr>
                <w:ilvl w:val="0"/>
                <w:numId w:val="0"/>
              </w:numPr>
              <w:ind w:firstLine="480" w:firstLineChars="200"/>
              <w:jc w:val="left"/>
              <w:rPr>
                <w:rFonts w:cs="黑体"/>
                <w:sz w:val="24"/>
              </w:rPr>
            </w:pPr>
            <w:r>
              <w:rPr>
                <w:rFonts w:hint="eastAsia" w:cs="黑体"/>
                <w:sz w:val="24"/>
              </w:rPr>
              <w:t>本项目建设地点位于阳泉市盂县东城武村北。</w:t>
            </w:r>
            <w:r>
              <w:rPr>
                <w:rFonts w:hint="eastAsia"/>
                <w:sz w:val="24"/>
                <w:szCs w:val="22"/>
              </w:rPr>
              <w:t>本项目用地由盂县秀水镇东城武村股份经济合作社租赁给企业</w:t>
            </w:r>
            <w:r>
              <w:rPr>
                <w:rFonts w:hint="eastAsia" w:cs="黑体"/>
                <w:sz w:val="24"/>
              </w:rPr>
              <w:t>；根据第三次全国国土调查（三调）数据可知（附图5），项目用地为工业用地，项目用地符合相关要求。</w:t>
            </w:r>
          </w:p>
          <w:p w14:paraId="4C471D68">
            <w:pPr>
              <w:pStyle w:val="49"/>
              <w:numPr>
                <w:ilvl w:val="0"/>
                <w:numId w:val="0"/>
              </w:numPr>
              <w:ind w:firstLine="480" w:firstLineChars="200"/>
              <w:jc w:val="left"/>
              <w:rPr>
                <w:rFonts w:cs="黑体"/>
                <w:sz w:val="24"/>
              </w:rPr>
            </w:pPr>
            <w:r>
              <w:rPr>
                <w:rFonts w:hint="eastAsia" w:cs="黑体"/>
                <w:sz w:val="24"/>
              </w:rPr>
              <w:t>本项目选址范围不涉及生态保护红线、集中饮用水水源保护区、自然保护区、风景名胜区、基本农田保护区等需要特殊保护的地区。</w:t>
            </w:r>
          </w:p>
          <w:p w14:paraId="5F400D4D">
            <w:pPr>
              <w:pStyle w:val="49"/>
              <w:numPr>
                <w:ilvl w:val="0"/>
                <w:numId w:val="0"/>
              </w:numPr>
              <w:ind w:firstLine="480" w:firstLineChars="200"/>
              <w:jc w:val="left"/>
              <w:rPr>
                <w:rFonts w:cs="黑体"/>
                <w:sz w:val="24"/>
              </w:rPr>
            </w:pPr>
            <w:r>
              <w:rPr>
                <w:rFonts w:hint="eastAsia" w:cs="黑体"/>
                <w:sz w:val="24"/>
              </w:rPr>
              <w:t>本项目运营期采取严格的污染防治措施后，各项污染物均能满足达标排放要求，项目运营期无废水外排，经预测厂界噪声能满足声环境功能要求，不会对周围环境产生明显影响。</w:t>
            </w:r>
          </w:p>
          <w:p w14:paraId="374B19BE">
            <w:pPr>
              <w:pStyle w:val="49"/>
              <w:numPr>
                <w:ilvl w:val="0"/>
                <w:numId w:val="0"/>
              </w:numPr>
              <w:ind w:firstLine="480" w:firstLineChars="200"/>
              <w:jc w:val="left"/>
              <w:rPr>
                <w:rFonts w:cs="黑体"/>
                <w:sz w:val="24"/>
              </w:rPr>
            </w:pPr>
            <w:r>
              <w:rPr>
                <w:rFonts w:hint="eastAsia" w:cs="黑体"/>
                <w:sz w:val="24"/>
              </w:rPr>
              <w:t>综合以上分析，本项目选址可行。</w:t>
            </w:r>
          </w:p>
          <w:p w14:paraId="57274E89">
            <w:pPr>
              <w:pStyle w:val="49"/>
              <w:numPr>
                <w:ilvl w:val="0"/>
                <w:numId w:val="0"/>
              </w:numPr>
              <w:ind w:firstLine="480" w:firstLineChars="200"/>
              <w:jc w:val="left"/>
              <w:rPr>
                <w:rFonts w:cs="黑体"/>
                <w:color w:val="EE0000"/>
                <w:sz w:val="24"/>
              </w:rPr>
            </w:pPr>
          </w:p>
          <w:p w14:paraId="19FCC6AC">
            <w:pPr>
              <w:pStyle w:val="49"/>
              <w:numPr>
                <w:ilvl w:val="0"/>
                <w:numId w:val="0"/>
              </w:numPr>
              <w:ind w:firstLine="480" w:firstLineChars="200"/>
              <w:jc w:val="left"/>
              <w:rPr>
                <w:rFonts w:cs="黑体"/>
                <w:color w:val="EE0000"/>
                <w:sz w:val="24"/>
              </w:rPr>
            </w:pPr>
          </w:p>
          <w:p w14:paraId="115E735A">
            <w:pPr>
              <w:pStyle w:val="49"/>
              <w:numPr>
                <w:ilvl w:val="0"/>
                <w:numId w:val="0"/>
              </w:numPr>
              <w:jc w:val="left"/>
              <w:rPr>
                <w:rFonts w:cs="黑体"/>
                <w:color w:val="EE0000"/>
                <w:sz w:val="24"/>
              </w:rPr>
            </w:pPr>
          </w:p>
        </w:tc>
      </w:tr>
    </w:tbl>
    <w:p w14:paraId="040DAA68">
      <w:pPr>
        <w:sectPr>
          <w:footerReference r:id="rId5" w:type="default"/>
          <w:pgSz w:w="11906" w:h="16838"/>
          <w:pgMar w:top="1701" w:right="1531" w:bottom="1701" w:left="1531" w:header="851" w:footer="1077" w:gutter="0"/>
          <w:pgNumType w:start="1"/>
          <w:cols w:space="720" w:num="1"/>
          <w:docGrid w:linePitch="312" w:charSpace="0"/>
        </w:sectPr>
      </w:pPr>
    </w:p>
    <w:p w14:paraId="1B4F124E">
      <w:pPr>
        <w:pStyle w:val="15"/>
        <w:jc w:val="center"/>
        <w:outlineLvl w:val="0"/>
        <w:rPr>
          <w:rFonts w:ascii="Times New Roman" w:hAnsi="Times New Roman"/>
          <w:snapToGrid w:val="0"/>
          <w:sz w:val="30"/>
          <w:szCs w:val="30"/>
        </w:rPr>
      </w:pPr>
      <w:r>
        <w:rPr>
          <w:rFonts w:hint="eastAsia" w:ascii="Times New Roman" w:hAnsi="Times New Roman"/>
          <w:snapToGrid w:val="0"/>
          <w:sz w:val="30"/>
          <w:szCs w:val="30"/>
        </w:rPr>
        <w:t>二、建设项目工程分析</w:t>
      </w:r>
    </w:p>
    <w:tbl>
      <w:tblPr>
        <w:tblStyle w:val="2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85" w:type="dxa"/>
          <w:bottom w:w="0" w:type="dxa"/>
          <w:right w:w="85" w:type="dxa"/>
        </w:tblCellMar>
      </w:tblPr>
      <w:tblGrid>
        <w:gridCol w:w="380"/>
        <w:gridCol w:w="8444"/>
      </w:tblGrid>
      <w:tr w14:paraId="5C48A5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20" w:hRule="atLeast"/>
          <w:jc w:val="center"/>
        </w:trPr>
        <w:tc>
          <w:tcPr>
            <w:tcW w:w="213" w:type="pct"/>
            <w:vAlign w:val="center"/>
          </w:tcPr>
          <w:p w14:paraId="437DE87E">
            <w:pPr>
              <w:pStyle w:val="15"/>
              <w:adjustRightInd w:val="0"/>
              <w:snapToGrid w:val="0"/>
              <w:spacing w:before="0" w:beforeAutospacing="0" w:after="0" w:afterAutospacing="0"/>
              <w:jc w:val="center"/>
              <w:rPr>
                <w:rFonts w:ascii="Times New Roman" w:hAnsi="Times New Roman" w:cs="宋体"/>
                <w:sz w:val="21"/>
                <w:szCs w:val="21"/>
              </w:rPr>
            </w:pPr>
            <w:r>
              <w:rPr>
                <w:rFonts w:hint="eastAsia" w:ascii="Times New Roman" w:hAnsi="Times New Roman" w:cs="宋体"/>
                <w:sz w:val="21"/>
                <w:szCs w:val="21"/>
              </w:rPr>
              <w:t>建设内容</w:t>
            </w:r>
          </w:p>
        </w:tc>
        <w:tc>
          <w:tcPr>
            <w:tcW w:w="4787" w:type="pct"/>
          </w:tcPr>
          <w:p w14:paraId="504CFF6A">
            <w:pPr>
              <w:pStyle w:val="91"/>
            </w:pPr>
            <w:r>
              <w:rPr>
                <w:rFonts w:hint="eastAsia"/>
              </w:rPr>
              <w:t>一、</w:t>
            </w:r>
            <w:r>
              <w:t>建设内容</w:t>
            </w:r>
          </w:p>
          <w:p w14:paraId="34EF76F3">
            <w:pPr>
              <w:pStyle w:val="72"/>
              <w:spacing w:line="400" w:lineRule="exact"/>
              <w:ind w:firstLine="480"/>
              <w:rPr>
                <w:sz w:val="24"/>
                <w:szCs w:val="22"/>
              </w:rPr>
            </w:pPr>
            <w:bookmarkStart w:id="15" w:name="OLE_LINK58"/>
            <w:r>
              <w:rPr>
                <w:rFonts w:hint="eastAsia" w:cs="黑体"/>
                <w:sz w:val="24"/>
                <w:szCs w:val="22"/>
              </w:rPr>
              <w:t>本项目位于</w:t>
            </w:r>
            <w:bookmarkStart w:id="16" w:name="_Hlk238645849"/>
            <w:r>
              <w:rPr>
                <w:rFonts w:hint="eastAsia" w:cs="黑体"/>
                <w:sz w:val="24"/>
                <w:szCs w:val="22"/>
              </w:rPr>
              <w:t>山西省阳泉市盂县</w:t>
            </w:r>
            <w:bookmarkStart w:id="17" w:name="OLE_LINK1"/>
            <w:r>
              <w:rPr>
                <w:rFonts w:hint="eastAsia" w:cs="黑体"/>
                <w:sz w:val="24"/>
                <w:szCs w:val="22"/>
              </w:rPr>
              <w:t>东城武村北</w:t>
            </w:r>
            <w:bookmarkEnd w:id="16"/>
            <w:bookmarkEnd w:id="17"/>
            <w:r>
              <w:rPr>
                <w:rFonts w:hint="eastAsia" w:cs="黑体"/>
                <w:sz w:val="24"/>
                <w:szCs w:val="22"/>
              </w:rPr>
              <w:t>，场地通过乡村道路与正阳线连接，交通较为便利。项目交通位置图见附图1。</w:t>
            </w:r>
          </w:p>
          <w:p w14:paraId="61B32244">
            <w:pPr>
              <w:pStyle w:val="72"/>
              <w:spacing w:line="400" w:lineRule="exact"/>
              <w:ind w:firstLine="480"/>
              <w:rPr>
                <w:sz w:val="24"/>
                <w:szCs w:val="22"/>
              </w:rPr>
            </w:pPr>
            <w:bookmarkStart w:id="18" w:name="OLE_LINK3"/>
            <w:r>
              <w:rPr>
                <w:rFonts w:hint="eastAsia"/>
                <w:sz w:val="24"/>
                <w:szCs w:val="22"/>
              </w:rPr>
              <w:t>本项目用地由盂县秀水镇东城武村股份经济合作社租赁给企业</w:t>
            </w:r>
            <w:bookmarkEnd w:id="18"/>
            <w:r>
              <w:rPr>
                <w:rFonts w:hint="eastAsia"/>
                <w:sz w:val="24"/>
                <w:szCs w:val="22"/>
              </w:rPr>
              <w:t>，租用协议见附件。</w:t>
            </w:r>
          </w:p>
          <w:p w14:paraId="30366A50">
            <w:pPr>
              <w:pStyle w:val="72"/>
              <w:spacing w:line="400" w:lineRule="exact"/>
              <w:ind w:firstLine="480"/>
              <w:rPr>
                <w:sz w:val="24"/>
                <w:szCs w:val="22"/>
              </w:rPr>
            </w:pPr>
            <w:r>
              <w:rPr>
                <w:rFonts w:hint="eastAsia"/>
                <w:sz w:val="24"/>
                <w:szCs w:val="22"/>
              </w:rPr>
              <w:t>建设单位于2026年6月4日取得盂县行政审批服务管理局下发的备案证，项目代码</w:t>
            </w:r>
            <w:r>
              <w:rPr>
                <w:sz w:val="24"/>
                <w:szCs w:val="22"/>
              </w:rPr>
              <w:t>2606-140322-89-01-407668</w:t>
            </w:r>
            <w:r>
              <w:rPr>
                <w:rFonts w:hint="eastAsia"/>
                <w:sz w:val="24"/>
                <w:szCs w:val="22"/>
              </w:rPr>
              <w:t>。</w:t>
            </w:r>
          </w:p>
          <w:bookmarkEnd w:id="15"/>
          <w:p w14:paraId="32995036">
            <w:pPr>
              <w:pStyle w:val="72"/>
              <w:spacing w:line="400" w:lineRule="exact"/>
              <w:ind w:firstLine="480"/>
              <w:rPr>
                <w:sz w:val="24"/>
                <w:szCs w:val="22"/>
              </w:rPr>
            </w:pPr>
            <w:bookmarkStart w:id="19" w:name="_Hlk238645876"/>
            <w:bookmarkStart w:id="20" w:name="OLE_LINK59"/>
            <w:bookmarkStart w:id="21" w:name="_Hlk216800200"/>
            <w:r>
              <w:rPr>
                <w:rFonts w:hint="eastAsia"/>
                <w:sz w:val="24"/>
                <w:szCs w:val="22"/>
              </w:rPr>
              <w:t>本项目租用场地内原宝鑫机械设备有限公司遗留库房及办公区进行建设，场地内现状无任何生产设施。主要</w:t>
            </w:r>
            <w:bookmarkStart w:id="22" w:name="_Hlk106530212"/>
            <w:r>
              <w:rPr>
                <w:rFonts w:hint="eastAsia"/>
                <w:sz w:val="24"/>
                <w:szCs w:val="22"/>
              </w:rPr>
              <w:t>建设1条干混砂浆生产线，建设规模为年产5万吨新型环保矿用砂浆、建筑类砂浆、特种防火砂浆等功能性干粉建材</w:t>
            </w:r>
            <w:bookmarkEnd w:id="19"/>
            <w:r>
              <w:rPr>
                <w:rFonts w:hint="eastAsia"/>
                <w:sz w:val="24"/>
                <w:szCs w:val="32"/>
              </w:rPr>
              <w:t>（本次评价产品方案不包括腻子粉，若生产须另行评价）</w:t>
            </w:r>
            <w:r>
              <w:rPr>
                <w:rFonts w:hint="eastAsia"/>
                <w:sz w:val="24"/>
                <w:szCs w:val="22"/>
              </w:rPr>
              <w:t>；生产线主要包括上料、配料搅拌、包装、码垛设备等，同时配套筒仓，此外还包括</w:t>
            </w:r>
            <w:r>
              <w:rPr>
                <w:rFonts w:hint="eastAsia"/>
                <w:sz w:val="24"/>
                <w:szCs w:val="32"/>
              </w:rPr>
              <w:t>供电、供热、给排水等公用工程的建设，以及配套废气处理设施等环保设施的建设</w:t>
            </w:r>
            <w:bookmarkEnd w:id="20"/>
            <w:r>
              <w:rPr>
                <w:rFonts w:hint="eastAsia"/>
                <w:sz w:val="24"/>
                <w:szCs w:val="22"/>
              </w:rPr>
              <w:t>。</w:t>
            </w:r>
            <w:bookmarkEnd w:id="22"/>
          </w:p>
          <w:bookmarkEnd w:id="21"/>
          <w:p w14:paraId="3EA6F698">
            <w:pPr>
              <w:pStyle w:val="72"/>
              <w:spacing w:line="400" w:lineRule="exact"/>
              <w:ind w:firstLine="480"/>
              <w:rPr>
                <w:sz w:val="24"/>
                <w:szCs w:val="22"/>
                <w:lang w:val="en-US"/>
              </w:rPr>
            </w:pPr>
            <w:bookmarkStart w:id="23" w:name="_Hlk218438738"/>
            <w:r>
              <w:rPr>
                <w:rFonts w:hint="eastAsia"/>
                <w:sz w:val="24"/>
                <w:szCs w:val="22"/>
              </w:rPr>
              <w:t>本项目主要建设内容见下表。</w:t>
            </w:r>
          </w:p>
          <w:p w14:paraId="264EE9EE">
            <w:pPr>
              <w:pStyle w:val="45"/>
              <w:rPr>
                <w:rFonts w:ascii="Times New Roman" w:hAnsi="Times New Roman"/>
                <w:sz w:val="24"/>
                <w:szCs w:val="24"/>
              </w:rPr>
            </w:pPr>
            <w:r>
              <w:rPr>
                <w:rFonts w:hint="eastAsia" w:ascii="Times New Roman" w:hAnsi="Times New Roman"/>
                <w:sz w:val="24"/>
                <w:szCs w:val="24"/>
              </w:rPr>
              <w:t xml:space="preserve">表2-1  </w:t>
            </w:r>
            <w:r>
              <w:rPr>
                <w:rFonts w:ascii="Times New Roman" w:hAnsi="Times New Roman"/>
                <w:sz w:val="24"/>
                <w:szCs w:val="24"/>
              </w:rPr>
              <w:t>项目主要建设内容一览表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3"/>
              <w:gridCol w:w="360"/>
              <w:gridCol w:w="988"/>
              <w:gridCol w:w="5565"/>
              <w:gridCol w:w="908"/>
            </w:tblGrid>
            <w:tr w14:paraId="4259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blHeader/>
                <w:jc w:val="center"/>
              </w:trPr>
              <w:tc>
                <w:tcPr>
                  <w:tcW w:w="268" w:type="pct"/>
                  <w:tcBorders>
                    <w:top w:val="single" w:color="auto" w:sz="4" w:space="0"/>
                    <w:left w:val="single" w:color="auto" w:sz="4" w:space="0"/>
                    <w:bottom w:val="single" w:color="auto" w:sz="4" w:space="0"/>
                    <w:right w:val="single" w:color="auto" w:sz="4" w:space="0"/>
                  </w:tcBorders>
                  <w:vAlign w:val="center"/>
                </w:tcPr>
                <w:p w14:paraId="3C711897">
                  <w:pPr>
                    <w:pStyle w:val="52"/>
                  </w:pPr>
                  <w:bookmarkStart w:id="24" w:name="_Hlk27732439"/>
                  <w:bookmarkStart w:id="25" w:name="_Hlk112332483"/>
                  <w:r>
                    <w:rPr>
                      <w:rFonts w:hint="eastAsia"/>
                    </w:rPr>
                    <w:t>类别</w:t>
                  </w: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59C93D7C">
                  <w:pPr>
                    <w:pStyle w:val="52"/>
                  </w:pPr>
                  <w:r>
                    <w:rPr>
                      <w:rFonts w:hint="eastAsia"/>
                    </w:rPr>
                    <w:t>名称</w:t>
                  </w:r>
                </w:p>
              </w:tc>
              <w:tc>
                <w:tcPr>
                  <w:tcW w:w="3367" w:type="pct"/>
                  <w:tcBorders>
                    <w:top w:val="single" w:color="auto" w:sz="4" w:space="0"/>
                    <w:left w:val="single" w:color="auto" w:sz="4" w:space="0"/>
                    <w:bottom w:val="single" w:color="auto" w:sz="4" w:space="0"/>
                    <w:right w:val="single" w:color="auto" w:sz="4" w:space="0"/>
                  </w:tcBorders>
                  <w:vAlign w:val="center"/>
                </w:tcPr>
                <w:p w14:paraId="184895B7">
                  <w:pPr>
                    <w:pStyle w:val="52"/>
                  </w:pPr>
                  <w:r>
                    <w:rPr>
                      <w:rFonts w:hint="eastAsia"/>
                    </w:rPr>
                    <w:t>主要建设内容</w:t>
                  </w:r>
                </w:p>
              </w:tc>
              <w:tc>
                <w:tcPr>
                  <w:tcW w:w="549" w:type="pct"/>
                  <w:tcBorders>
                    <w:top w:val="single" w:color="auto" w:sz="4" w:space="0"/>
                    <w:left w:val="single" w:color="auto" w:sz="4" w:space="0"/>
                    <w:bottom w:val="single" w:color="auto" w:sz="4" w:space="0"/>
                    <w:right w:val="single" w:color="auto" w:sz="4" w:space="0"/>
                  </w:tcBorders>
                  <w:vAlign w:val="center"/>
                </w:tcPr>
                <w:p w14:paraId="33A454E3">
                  <w:pPr>
                    <w:pStyle w:val="52"/>
                  </w:pPr>
                  <w:r>
                    <w:rPr>
                      <w:rFonts w:hint="eastAsia"/>
                    </w:rPr>
                    <w:t>备注</w:t>
                  </w:r>
                </w:p>
              </w:tc>
            </w:tr>
            <w:bookmarkEnd w:id="24"/>
            <w:tr w14:paraId="02D7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restart"/>
                  <w:tcBorders>
                    <w:top w:val="single" w:color="auto" w:sz="4" w:space="0"/>
                    <w:left w:val="single" w:color="auto" w:sz="4" w:space="0"/>
                    <w:bottom w:val="single" w:color="auto" w:sz="4" w:space="0"/>
                    <w:right w:val="single" w:color="auto" w:sz="4" w:space="0"/>
                  </w:tcBorders>
                  <w:vAlign w:val="center"/>
                </w:tcPr>
                <w:p w14:paraId="7AB57526">
                  <w:pPr>
                    <w:pStyle w:val="52"/>
                  </w:pPr>
                  <w:r>
                    <w:rPr>
                      <w:rFonts w:hint="eastAsia"/>
                    </w:rPr>
                    <w:t>主体</w:t>
                  </w:r>
                </w:p>
                <w:p w14:paraId="1E5C3E53">
                  <w:pPr>
                    <w:pStyle w:val="52"/>
                  </w:pPr>
                  <w:r>
                    <w:rPr>
                      <w:rFonts w:hint="eastAsia"/>
                    </w:rPr>
                    <w:t>工程</w:t>
                  </w: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53CFB205">
                  <w:pPr>
                    <w:pStyle w:val="52"/>
                  </w:pPr>
                  <w:r>
                    <w:rPr>
                      <w:rFonts w:hint="eastAsia"/>
                    </w:rPr>
                    <w:t>生产一车间</w:t>
                  </w:r>
                </w:p>
              </w:tc>
              <w:tc>
                <w:tcPr>
                  <w:tcW w:w="3367" w:type="pct"/>
                  <w:tcBorders>
                    <w:top w:val="single" w:color="auto" w:sz="4" w:space="0"/>
                    <w:left w:val="single" w:color="auto" w:sz="4" w:space="0"/>
                    <w:bottom w:val="single" w:color="auto" w:sz="4" w:space="0"/>
                    <w:right w:val="single" w:color="auto" w:sz="4" w:space="0"/>
                  </w:tcBorders>
                  <w:vAlign w:val="center"/>
                </w:tcPr>
                <w:p w14:paraId="61ED48AD">
                  <w:pPr>
                    <w:pStyle w:val="52"/>
                  </w:pPr>
                  <w:r>
                    <w:rPr>
                      <w:rFonts w:hint="eastAsia"/>
                    </w:rPr>
                    <w:t>利用现有1#库房改造为全封闭生产一车间，建筑面积约750m</w:t>
                  </w:r>
                  <w:r>
                    <w:rPr>
                      <w:rFonts w:hint="eastAsia"/>
                      <w:vertAlign w:val="superscript"/>
                    </w:rPr>
                    <w:t>2</w:t>
                  </w:r>
                  <w:r>
                    <w:rPr>
                      <w:rFonts w:hint="eastAsia"/>
                    </w:rPr>
                    <w:t>，</w:t>
                  </w:r>
                  <w:bookmarkStart w:id="26" w:name="OLE_LINK29"/>
                  <w:r>
                    <w:rPr>
                      <w:rFonts w:hint="eastAsia"/>
                    </w:rPr>
                    <w:t>长53m、宽14米，</w:t>
                  </w:r>
                  <w:bookmarkEnd w:id="26"/>
                  <w:r>
                    <w:rPr>
                      <w:rFonts w:hint="eastAsia"/>
                    </w:rPr>
                    <w:t>一车间东侧与二车间局部连通，一车间东侧内布设有干混砂浆生产线的搅拌、包装、码垛工序，西侧为产品存放区</w:t>
                  </w:r>
                </w:p>
              </w:tc>
              <w:tc>
                <w:tcPr>
                  <w:tcW w:w="549" w:type="pct"/>
                  <w:vMerge w:val="restart"/>
                  <w:tcBorders>
                    <w:top w:val="single" w:color="auto" w:sz="4" w:space="0"/>
                    <w:left w:val="single" w:color="auto" w:sz="4" w:space="0"/>
                    <w:right w:val="single" w:color="auto" w:sz="4" w:space="0"/>
                  </w:tcBorders>
                  <w:vAlign w:val="center"/>
                </w:tcPr>
                <w:p w14:paraId="6709ED09">
                  <w:pPr>
                    <w:pStyle w:val="52"/>
                  </w:pPr>
                  <w:r>
                    <w:rPr>
                      <w:rFonts w:hint="eastAsia"/>
                    </w:rPr>
                    <w:t>厂房利旧改造，设备新建</w:t>
                  </w:r>
                </w:p>
              </w:tc>
            </w:tr>
            <w:tr w14:paraId="39D2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1D1BCB78">
                  <w:pPr>
                    <w:pStyle w:val="52"/>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4E598094">
                  <w:pPr>
                    <w:pStyle w:val="52"/>
                  </w:pPr>
                  <w:r>
                    <w:rPr>
                      <w:rFonts w:hint="eastAsia"/>
                    </w:rPr>
                    <w:t>生产二车间</w:t>
                  </w:r>
                </w:p>
              </w:tc>
              <w:tc>
                <w:tcPr>
                  <w:tcW w:w="3367" w:type="pct"/>
                  <w:tcBorders>
                    <w:top w:val="single" w:color="auto" w:sz="4" w:space="0"/>
                    <w:left w:val="single" w:color="auto" w:sz="4" w:space="0"/>
                    <w:bottom w:val="single" w:color="auto" w:sz="4" w:space="0"/>
                    <w:right w:val="single" w:color="auto" w:sz="4" w:space="0"/>
                  </w:tcBorders>
                  <w:vAlign w:val="center"/>
                </w:tcPr>
                <w:p w14:paraId="5AA69145">
                  <w:pPr>
                    <w:pStyle w:val="52"/>
                  </w:pPr>
                  <w:r>
                    <w:rPr>
                      <w:rFonts w:hint="eastAsia"/>
                    </w:rPr>
                    <w:t>利用现有2#库房改造为全封闭生产二车间，建筑面积约300m</w:t>
                  </w:r>
                  <w:r>
                    <w:rPr>
                      <w:rFonts w:hint="eastAsia"/>
                      <w:vertAlign w:val="superscript"/>
                    </w:rPr>
                    <w:t>2</w:t>
                  </w:r>
                  <w:r>
                    <w:rPr>
                      <w:rFonts w:hint="eastAsia"/>
                    </w:rPr>
                    <w:t>，长30m、宽10米，二车间西侧布设干混砂浆生产线的骨料上料系统，东侧为原料存放区</w:t>
                  </w:r>
                </w:p>
              </w:tc>
              <w:tc>
                <w:tcPr>
                  <w:tcW w:w="549" w:type="pct"/>
                  <w:vMerge w:val="continue"/>
                  <w:tcBorders>
                    <w:top w:val="single" w:color="auto" w:sz="4" w:space="0"/>
                    <w:left w:val="single" w:color="auto" w:sz="4" w:space="0"/>
                    <w:right w:val="single" w:color="auto" w:sz="4" w:space="0"/>
                  </w:tcBorders>
                  <w:vAlign w:val="center"/>
                </w:tcPr>
                <w:p w14:paraId="431FE64C">
                  <w:pPr>
                    <w:pStyle w:val="52"/>
                  </w:pPr>
                </w:p>
              </w:tc>
            </w:tr>
            <w:tr w14:paraId="20D8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679463C8">
                  <w:pPr>
                    <w:widowControl/>
                    <w:jc w:val="center"/>
                    <w:rPr>
                      <w:szCs w:val="21"/>
                    </w:rPr>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42C4E7D7">
                  <w:pPr>
                    <w:pStyle w:val="52"/>
                  </w:pPr>
                  <w:r>
                    <w:rPr>
                      <w:rFonts w:hint="eastAsia"/>
                    </w:rPr>
                    <w:t>干混砂浆生产线</w:t>
                  </w:r>
                </w:p>
              </w:tc>
              <w:tc>
                <w:tcPr>
                  <w:tcW w:w="3367" w:type="pct"/>
                  <w:tcBorders>
                    <w:top w:val="single" w:color="auto" w:sz="4" w:space="0"/>
                    <w:left w:val="single" w:color="auto" w:sz="4" w:space="0"/>
                    <w:bottom w:val="single" w:color="auto" w:sz="4" w:space="0"/>
                    <w:right w:val="single" w:color="auto" w:sz="4" w:space="0"/>
                  </w:tcBorders>
                  <w:vAlign w:val="center"/>
                </w:tcPr>
                <w:p w14:paraId="16FF0A6F">
                  <w:pPr>
                    <w:pStyle w:val="52"/>
                  </w:pPr>
                  <w:r>
                    <w:rPr>
                      <w:rFonts w:hint="eastAsia"/>
                    </w:rPr>
                    <w:t>一车间东侧与二车间西侧连通，布设1条干混砂浆生产线，布置有2个骨料斗、3条皮带机、</w:t>
                  </w:r>
                  <w:r>
                    <w:rPr>
                      <w:rStyle w:val="58"/>
                      <w:rFonts w:hint="eastAsia"/>
                    </w:rPr>
                    <w:t>1台斗式提升机、1台双轴混合机及2台包装机</w:t>
                  </w:r>
                  <w:r>
                    <w:rPr>
                      <w:rFonts w:hint="eastAsia"/>
                    </w:rPr>
                    <w:t>，主要通过上料、混合搅拌、包装等工序生产干混砂浆产品</w:t>
                  </w:r>
                </w:p>
              </w:tc>
              <w:tc>
                <w:tcPr>
                  <w:tcW w:w="549" w:type="pct"/>
                  <w:vMerge w:val="continue"/>
                  <w:tcBorders>
                    <w:left w:val="single" w:color="auto" w:sz="4" w:space="0"/>
                    <w:bottom w:val="single" w:color="auto" w:sz="4" w:space="0"/>
                    <w:right w:val="single" w:color="auto" w:sz="4" w:space="0"/>
                  </w:tcBorders>
                  <w:vAlign w:val="center"/>
                </w:tcPr>
                <w:p w14:paraId="51400A4E">
                  <w:pPr>
                    <w:pStyle w:val="52"/>
                  </w:pPr>
                </w:p>
              </w:tc>
            </w:tr>
            <w:tr w14:paraId="45D4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restart"/>
                  <w:tcBorders>
                    <w:top w:val="single" w:color="auto" w:sz="4" w:space="0"/>
                    <w:left w:val="single" w:color="auto" w:sz="4" w:space="0"/>
                    <w:bottom w:val="single" w:color="auto" w:sz="4" w:space="0"/>
                    <w:right w:val="single" w:color="auto" w:sz="4" w:space="0"/>
                  </w:tcBorders>
                  <w:vAlign w:val="center"/>
                </w:tcPr>
                <w:p w14:paraId="23E3A0D4">
                  <w:pPr>
                    <w:pStyle w:val="52"/>
                  </w:pPr>
                  <w:r>
                    <w:rPr>
                      <w:rFonts w:hint="eastAsia"/>
                    </w:rPr>
                    <w:t>储运</w:t>
                  </w:r>
                </w:p>
                <w:p w14:paraId="6E9D9CAF">
                  <w:pPr>
                    <w:jc w:val="center"/>
                    <w:rPr>
                      <w:szCs w:val="21"/>
                    </w:rPr>
                  </w:pPr>
                  <w:r>
                    <w:rPr>
                      <w:rFonts w:hint="eastAsia"/>
                    </w:rPr>
                    <w:t>工程</w:t>
                  </w:r>
                </w:p>
              </w:tc>
              <w:tc>
                <w:tcPr>
                  <w:tcW w:w="816" w:type="pct"/>
                  <w:gridSpan w:val="2"/>
                  <w:tcBorders>
                    <w:left w:val="single" w:color="auto" w:sz="4" w:space="0"/>
                    <w:right w:val="single" w:color="auto" w:sz="4" w:space="0"/>
                  </w:tcBorders>
                  <w:vAlign w:val="center"/>
                </w:tcPr>
                <w:p w14:paraId="2F90E434">
                  <w:pPr>
                    <w:pStyle w:val="52"/>
                  </w:pPr>
                  <w:r>
                    <w:rPr>
                      <w:rFonts w:hint="eastAsia"/>
                    </w:rPr>
                    <w:t>原料堆放区</w:t>
                  </w:r>
                </w:p>
              </w:tc>
              <w:tc>
                <w:tcPr>
                  <w:tcW w:w="3367" w:type="pct"/>
                  <w:tcBorders>
                    <w:top w:val="single" w:color="auto" w:sz="4" w:space="0"/>
                    <w:left w:val="single" w:color="auto" w:sz="4" w:space="0"/>
                    <w:bottom w:val="single" w:color="auto" w:sz="4" w:space="0"/>
                    <w:right w:val="single" w:color="auto" w:sz="4" w:space="0"/>
                  </w:tcBorders>
                  <w:vAlign w:val="center"/>
                </w:tcPr>
                <w:p w14:paraId="648F77D4">
                  <w:pPr>
                    <w:pStyle w:val="52"/>
                  </w:pPr>
                  <w:r>
                    <w:rPr>
                      <w:rFonts w:hint="eastAsia"/>
                    </w:rPr>
                    <w:t>位于生产二车间东侧，占地面积150m</w:t>
                  </w:r>
                  <w:r>
                    <w:rPr>
                      <w:rFonts w:hint="eastAsia"/>
                      <w:vertAlign w:val="superscript"/>
                    </w:rPr>
                    <w:t>2</w:t>
                  </w:r>
                  <w:r>
                    <w:rPr>
                      <w:rFonts w:hint="eastAsia"/>
                    </w:rPr>
                    <w:t>，用于机制砂、外加剂分区暂存。</w:t>
                  </w:r>
                </w:p>
              </w:tc>
              <w:tc>
                <w:tcPr>
                  <w:tcW w:w="549" w:type="pct"/>
                  <w:tcBorders>
                    <w:left w:val="single" w:color="auto" w:sz="4" w:space="0"/>
                    <w:bottom w:val="single" w:color="auto" w:sz="4" w:space="0"/>
                    <w:right w:val="single" w:color="auto" w:sz="4" w:space="0"/>
                  </w:tcBorders>
                  <w:vAlign w:val="center"/>
                </w:tcPr>
                <w:p w14:paraId="6EF4F128">
                  <w:pPr>
                    <w:pStyle w:val="52"/>
                  </w:pPr>
                  <w:r>
                    <w:rPr>
                      <w:rFonts w:hint="eastAsia"/>
                    </w:rPr>
                    <w:t>新建</w:t>
                  </w:r>
                </w:p>
              </w:tc>
            </w:tr>
            <w:tr w14:paraId="35CD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01D9ECE6">
                  <w:pPr>
                    <w:widowControl/>
                    <w:jc w:val="center"/>
                    <w:rPr>
                      <w:szCs w:val="21"/>
                    </w:rPr>
                  </w:pPr>
                </w:p>
              </w:tc>
              <w:tc>
                <w:tcPr>
                  <w:tcW w:w="816" w:type="pct"/>
                  <w:gridSpan w:val="2"/>
                  <w:tcBorders>
                    <w:left w:val="single" w:color="auto" w:sz="4" w:space="0"/>
                    <w:right w:val="single" w:color="auto" w:sz="4" w:space="0"/>
                  </w:tcBorders>
                  <w:vAlign w:val="center"/>
                </w:tcPr>
                <w:p w14:paraId="2061E3D0">
                  <w:pPr>
                    <w:pStyle w:val="52"/>
                  </w:pPr>
                  <w:r>
                    <w:rPr>
                      <w:rFonts w:hint="eastAsia"/>
                    </w:rPr>
                    <w:t>上料仓</w:t>
                  </w:r>
                </w:p>
              </w:tc>
              <w:tc>
                <w:tcPr>
                  <w:tcW w:w="3367" w:type="pct"/>
                  <w:tcBorders>
                    <w:top w:val="single" w:color="auto" w:sz="4" w:space="0"/>
                    <w:left w:val="single" w:color="auto" w:sz="4" w:space="0"/>
                    <w:bottom w:val="single" w:color="auto" w:sz="4" w:space="0"/>
                    <w:right w:val="single" w:color="auto" w:sz="4" w:space="0"/>
                  </w:tcBorders>
                  <w:vAlign w:val="center"/>
                </w:tcPr>
                <w:p w14:paraId="666D5524">
                  <w:pPr>
                    <w:pStyle w:val="52"/>
                  </w:pPr>
                  <w:r>
                    <w:rPr>
                      <w:rFonts w:hint="eastAsia"/>
                    </w:rPr>
                    <w:t>2个，</w:t>
                  </w:r>
                  <w:r>
                    <w:rPr>
                      <w:rFonts w:hint="eastAsia"/>
                      <w:lang w:bidi="ar"/>
                    </w:rPr>
                    <w:t>储量为6m</w:t>
                  </w:r>
                  <w:r>
                    <w:rPr>
                      <w:rFonts w:hint="eastAsia"/>
                      <w:vertAlign w:val="superscript"/>
                      <w:lang w:bidi="ar"/>
                    </w:rPr>
                    <w:t>3</w:t>
                  </w:r>
                  <w:r>
                    <w:rPr>
                      <w:rFonts w:hint="eastAsia"/>
                      <w:lang w:bidi="ar"/>
                    </w:rPr>
                    <w:t>/个</w:t>
                  </w:r>
                </w:p>
              </w:tc>
              <w:tc>
                <w:tcPr>
                  <w:tcW w:w="549" w:type="pct"/>
                  <w:tcBorders>
                    <w:left w:val="single" w:color="auto" w:sz="4" w:space="0"/>
                    <w:bottom w:val="single" w:color="auto" w:sz="4" w:space="0"/>
                    <w:right w:val="single" w:color="auto" w:sz="4" w:space="0"/>
                  </w:tcBorders>
                  <w:vAlign w:val="center"/>
                </w:tcPr>
                <w:p w14:paraId="0B6827DD">
                  <w:pPr>
                    <w:pStyle w:val="52"/>
                  </w:pPr>
                  <w:r>
                    <w:rPr>
                      <w:rFonts w:hint="eastAsia"/>
                    </w:rPr>
                    <w:t>新建</w:t>
                  </w:r>
                </w:p>
              </w:tc>
            </w:tr>
            <w:tr w14:paraId="329B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3AA2F3CC">
                  <w:pPr>
                    <w:widowControl/>
                    <w:jc w:val="center"/>
                    <w:rPr>
                      <w:szCs w:val="21"/>
                    </w:rPr>
                  </w:pPr>
                </w:p>
              </w:tc>
              <w:tc>
                <w:tcPr>
                  <w:tcW w:w="816" w:type="pct"/>
                  <w:gridSpan w:val="2"/>
                  <w:tcBorders>
                    <w:left w:val="single" w:color="auto" w:sz="4" w:space="0"/>
                    <w:right w:val="single" w:color="auto" w:sz="4" w:space="0"/>
                  </w:tcBorders>
                  <w:vAlign w:val="center"/>
                </w:tcPr>
                <w:p w14:paraId="186FA8B0">
                  <w:pPr>
                    <w:pStyle w:val="52"/>
                  </w:pPr>
                  <w:r>
                    <w:rPr>
                      <w:rFonts w:hint="eastAsia"/>
                    </w:rPr>
                    <w:t>水泥筒仓</w:t>
                  </w:r>
                </w:p>
              </w:tc>
              <w:tc>
                <w:tcPr>
                  <w:tcW w:w="3367" w:type="pct"/>
                  <w:tcBorders>
                    <w:top w:val="single" w:color="auto" w:sz="4" w:space="0"/>
                    <w:left w:val="single" w:color="auto" w:sz="4" w:space="0"/>
                    <w:bottom w:val="single" w:color="auto" w:sz="4" w:space="0"/>
                    <w:right w:val="single" w:color="auto" w:sz="4" w:space="0"/>
                  </w:tcBorders>
                  <w:vAlign w:val="center"/>
                </w:tcPr>
                <w:p w14:paraId="0EA717AC">
                  <w:pPr>
                    <w:pStyle w:val="52"/>
                  </w:pPr>
                  <w:r>
                    <w:rPr>
                      <w:rFonts w:hint="eastAsia"/>
                    </w:rPr>
                    <w:t>布置1座水泥筒仓（r</w:t>
                  </w:r>
                  <w:r>
                    <w:t>=</w:t>
                  </w:r>
                  <w:r>
                    <w:rPr>
                      <w:rFonts w:hint="eastAsia"/>
                    </w:rPr>
                    <w:t>2.9</w:t>
                  </w:r>
                  <w:r>
                    <w:t>m</w:t>
                  </w:r>
                  <w:r>
                    <w:rPr>
                      <w:rFonts w:hint="eastAsia"/>
                    </w:rPr>
                    <w:t>；h=8.5m），可储原料水泥约50t</w:t>
                  </w:r>
                </w:p>
              </w:tc>
              <w:tc>
                <w:tcPr>
                  <w:tcW w:w="549" w:type="pct"/>
                  <w:tcBorders>
                    <w:left w:val="single" w:color="auto" w:sz="4" w:space="0"/>
                    <w:bottom w:val="single" w:color="auto" w:sz="4" w:space="0"/>
                    <w:right w:val="single" w:color="auto" w:sz="4" w:space="0"/>
                  </w:tcBorders>
                  <w:vAlign w:val="center"/>
                </w:tcPr>
                <w:p w14:paraId="3B43C9A6">
                  <w:pPr>
                    <w:pStyle w:val="52"/>
                  </w:pPr>
                  <w:r>
                    <w:rPr>
                      <w:rFonts w:hint="eastAsia"/>
                    </w:rPr>
                    <w:t>新建</w:t>
                  </w:r>
                </w:p>
              </w:tc>
            </w:tr>
            <w:tr w14:paraId="250B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1851EA89">
                  <w:pPr>
                    <w:widowControl/>
                    <w:jc w:val="center"/>
                    <w:rPr>
                      <w:szCs w:val="21"/>
                    </w:rPr>
                  </w:pPr>
                </w:p>
              </w:tc>
              <w:tc>
                <w:tcPr>
                  <w:tcW w:w="816" w:type="pct"/>
                  <w:gridSpan w:val="2"/>
                  <w:tcBorders>
                    <w:left w:val="single" w:color="auto" w:sz="4" w:space="0"/>
                    <w:right w:val="single" w:color="auto" w:sz="4" w:space="0"/>
                  </w:tcBorders>
                  <w:vAlign w:val="center"/>
                </w:tcPr>
                <w:p w14:paraId="199F45CA">
                  <w:pPr>
                    <w:pStyle w:val="52"/>
                  </w:pPr>
                  <w:r>
                    <w:rPr>
                      <w:rFonts w:hint="eastAsia"/>
                    </w:rPr>
                    <w:t>粉煤灰（矿渣粉）仓</w:t>
                  </w:r>
                </w:p>
              </w:tc>
              <w:tc>
                <w:tcPr>
                  <w:tcW w:w="3367" w:type="pct"/>
                  <w:tcBorders>
                    <w:top w:val="single" w:color="auto" w:sz="4" w:space="0"/>
                    <w:left w:val="single" w:color="auto" w:sz="4" w:space="0"/>
                    <w:bottom w:val="single" w:color="auto" w:sz="4" w:space="0"/>
                    <w:right w:val="single" w:color="auto" w:sz="4" w:space="0"/>
                  </w:tcBorders>
                  <w:vAlign w:val="center"/>
                </w:tcPr>
                <w:p w14:paraId="0E451CD2">
                  <w:pPr>
                    <w:pStyle w:val="52"/>
                  </w:pPr>
                  <w:r>
                    <w:rPr>
                      <w:rFonts w:hint="eastAsia"/>
                    </w:rPr>
                    <w:t>布置1座粉煤灰（矿渣粉）仓（r</w:t>
                  </w:r>
                  <w:r>
                    <w:t>=</w:t>
                  </w:r>
                  <w:r>
                    <w:rPr>
                      <w:rFonts w:hint="eastAsia"/>
                    </w:rPr>
                    <w:t>2.9</w:t>
                  </w:r>
                  <w:r>
                    <w:t>m</w:t>
                  </w:r>
                  <w:r>
                    <w:rPr>
                      <w:rFonts w:hint="eastAsia"/>
                    </w:rPr>
                    <w:t>；h=8.5m），最大储存量约50t</w:t>
                  </w:r>
                  <w:r>
                    <w:t xml:space="preserve"> </w:t>
                  </w:r>
                </w:p>
              </w:tc>
              <w:tc>
                <w:tcPr>
                  <w:tcW w:w="549" w:type="pct"/>
                  <w:tcBorders>
                    <w:left w:val="single" w:color="auto" w:sz="4" w:space="0"/>
                    <w:bottom w:val="single" w:color="auto" w:sz="4" w:space="0"/>
                    <w:right w:val="single" w:color="auto" w:sz="4" w:space="0"/>
                  </w:tcBorders>
                  <w:vAlign w:val="center"/>
                </w:tcPr>
                <w:p w14:paraId="0C6F4DE1">
                  <w:pPr>
                    <w:pStyle w:val="52"/>
                  </w:pPr>
                  <w:r>
                    <w:rPr>
                      <w:rFonts w:hint="eastAsia"/>
                    </w:rPr>
                    <w:t>新建</w:t>
                  </w:r>
                </w:p>
              </w:tc>
            </w:tr>
            <w:tr w14:paraId="2C22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3FF99032">
                  <w:pPr>
                    <w:widowControl/>
                    <w:jc w:val="center"/>
                    <w:rPr>
                      <w:szCs w:val="21"/>
                    </w:rPr>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641DB7A9">
                  <w:pPr>
                    <w:pStyle w:val="52"/>
                  </w:pPr>
                  <w:r>
                    <w:rPr>
                      <w:rFonts w:hint="eastAsia"/>
                    </w:rPr>
                    <w:t>成品区</w:t>
                  </w:r>
                </w:p>
              </w:tc>
              <w:tc>
                <w:tcPr>
                  <w:tcW w:w="3367" w:type="pct"/>
                  <w:tcBorders>
                    <w:top w:val="single" w:color="auto" w:sz="4" w:space="0"/>
                    <w:left w:val="single" w:color="auto" w:sz="4" w:space="0"/>
                    <w:bottom w:val="single" w:color="auto" w:sz="4" w:space="0"/>
                    <w:right w:val="single" w:color="auto" w:sz="4" w:space="0"/>
                  </w:tcBorders>
                  <w:vAlign w:val="center"/>
                </w:tcPr>
                <w:p w14:paraId="631BC501">
                  <w:pPr>
                    <w:pStyle w:val="52"/>
                  </w:pPr>
                  <w:r>
                    <w:rPr>
                      <w:rFonts w:hint="eastAsia"/>
                    </w:rPr>
                    <w:t>位于生产一车间西侧，占地面积400m</w:t>
                  </w:r>
                  <w:r>
                    <w:rPr>
                      <w:rFonts w:hint="eastAsia"/>
                      <w:vertAlign w:val="superscript"/>
                    </w:rPr>
                    <w:t>2</w:t>
                  </w:r>
                  <w:r>
                    <w:rPr>
                      <w:rFonts w:hint="eastAsia"/>
                    </w:rPr>
                    <w:t>，位于干粉砂浆生产线西侧，用于包装后的干粉砂浆产品的储存。</w:t>
                  </w:r>
                </w:p>
              </w:tc>
              <w:tc>
                <w:tcPr>
                  <w:tcW w:w="549" w:type="pct"/>
                  <w:tcBorders>
                    <w:left w:val="single" w:color="auto" w:sz="4" w:space="0"/>
                    <w:bottom w:val="single" w:color="auto" w:sz="4" w:space="0"/>
                    <w:right w:val="single" w:color="auto" w:sz="4" w:space="0"/>
                  </w:tcBorders>
                  <w:vAlign w:val="center"/>
                </w:tcPr>
                <w:p w14:paraId="3B61A5CF">
                  <w:pPr>
                    <w:pStyle w:val="52"/>
                  </w:pPr>
                  <w:r>
                    <w:rPr>
                      <w:rFonts w:hint="eastAsia"/>
                    </w:rPr>
                    <w:t xml:space="preserve">新建 </w:t>
                  </w:r>
                </w:p>
              </w:tc>
            </w:tr>
            <w:tr w14:paraId="55A2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4D12B2A2">
                  <w:pPr>
                    <w:widowControl/>
                    <w:jc w:val="center"/>
                    <w:rPr>
                      <w:szCs w:val="21"/>
                    </w:rPr>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615BD960">
                  <w:pPr>
                    <w:pStyle w:val="52"/>
                  </w:pPr>
                  <w:r>
                    <w:rPr>
                      <w:rFonts w:hint="eastAsia"/>
                    </w:rPr>
                    <w:t>运输</w:t>
                  </w:r>
                </w:p>
              </w:tc>
              <w:tc>
                <w:tcPr>
                  <w:tcW w:w="3367" w:type="pct"/>
                  <w:tcBorders>
                    <w:top w:val="single" w:color="auto" w:sz="4" w:space="0"/>
                    <w:left w:val="single" w:color="auto" w:sz="4" w:space="0"/>
                    <w:bottom w:val="single" w:color="auto" w:sz="4" w:space="0"/>
                    <w:right w:val="single" w:color="auto" w:sz="4" w:space="0"/>
                  </w:tcBorders>
                  <w:vAlign w:val="center"/>
                </w:tcPr>
                <w:p w14:paraId="1BAF20A1">
                  <w:pPr>
                    <w:pStyle w:val="52"/>
                  </w:pPr>
                  <w:r>
                    <w:rPr>
                      <w:rFonts w:hint="eastAsia"/>
                    </w:rPr>
                    <w:t>厂内车间之间物料短途运输采用封闭货车，车间内干燥物料通过全封闭皮带、斗式提升机及螺旋输送机运输，厂外以汽车运输为主</w:t>
                  </w:r>
                </w:p>
              </w:tc>
              <w:tc>
                <w:tcPr>
                  <w:tcW w:w="549" w:type="pct"/>
                  <w:tcBorders>
                    <w:top w:val="single" w:color="auto" w:sz="4" w:space="0"/>
                    <w:left w:val="single" w:color="auto" w:sz="4" w:space="0"/>
                    <w:bottom w:val="single" w:color="auto" w:sz="4" w:space="0"/>
                    <w:right w:val="single" w:color="auto" w:sz="4" w:space="0"/>
                  </w:tcBorders>
                  <w:vAlign w:val="center"/>
                </w:tcPr>
                <w:p w14:paraId="2883716B">
                  <w:pPr>
                    <w:pStyle w:val="52"/>
                  </w:pPr>
                  <w:r>
                    <w:rPr>
                      <w:rFonts w:hint="eastAsia"/>
                    </w:rPr>
                    <w:t>新建</w:t>
                  </w:r>
                </w:p>
              </w:tc>
            </w:tr>
            <w:tr w14:paraId="4FEC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restart"/>
                  <w:tcBorders>
                    <w:top w:val="single" w:color="auto" w:sz="4" w:space="0"/>
                    <w:left w:val="single" w:color="auto" w:sz="4" w:space="0"/>
                    <w:bottom w:val="single" w:color="auto" w:sz="4" w:space="0"/>
                    <w:right w:val="single" w:color="auto" w:sz="4" w:space="0"/>
                  </w:tcBorders>
                  <w:vAlign w:val="center"/>
                </w:tcPr>
                <w:p w14:paraId="6496E486">
                  <w:pPr>
                    <w:pStyle w:val="52"/>
                  </w:pPr>
                  <w:r>
                    <w:rPr>
                      <w:rFonts w:hint="eastAsia"/>
                    </w:rPr>
                    <w:t>辅助</w:t>
                  </w:r>
                </w:p>
                <w:p w14:paraId="0BC9D089">
                  <w:pPr>
                    <w:pStyle w:val="52"/>
                  </w:pPr>
                  <w:r>
                    <w:rPr>
                      <w:rFonts w:hint="eastAsia"/>
                    </w:rPr>
                    <w:t>工程</w:t>
                  </w: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5851C1CE">
                  <w:pPr>
                    <w:pStyle w:val="52"/>
                  </w:pPr>
                  <w:r>
                    <w:rPr>
                      <w:rFonts w:hint="eastAsia"/>
                      <w:lang w:bidi="ar"/>
                    </w:rPr>
                    <w:t>办公区</w:t>
                  </w:r>
                </w:p>
              </w:tc>
              <w:tc>
                <w:tcPr>
                  <w:tcW w:w="3367" w:type="pct"/>
                  <w:tcBorders>
                    <w:top w:val="single" w:color="auto" w:sz="4" w:space="0"/>
                    <w:left w:val="single" w:color="auto" w:sz="4" w:space="0"/>
                    <w:bottom w:val="single" w:color="auto" w:sz="4" w:space="0"/>
                    <w:right w:val="single" w:color="auto" w:sz="4" w:space="0"/>
                  </w:tcBorders>
                  <w:vAlign w:val="center"/>
                </w:tcPr>
                <w:p w14:paraId="5384D1DA">
                  <w:pPr>
                    <w:pStyle w:val="52"/>
                  </w:pPr>
                  <w:r>
                    <w:rPr>
                      <w:rFonts w:hint="eastAsia"/>
                      <w:lang w:bidi="ar"/>
                    </w:rPr>
                    <w:t>位于场地东侧，一</w:t>
                  </w:r>
                  <w:r>
                    <w:rPr>
                      <w:lang w:bidi="ar"/>
                    </w:rPr>
                    <w:t>层建筑，面积为</w:t>
                  </w:r>
                  <w:r>
                    <w:rPr>
                      <w:rFonts w:hint="eastAsia"/>
                      <w:lang w:bidi="ar"/>
                    </w:rPr>
                    <w:t>20</w:t>
                  </w:r>
                  <w:r>
                    <w:rPr>
                      <w:lang w:bidi="ar"/>
                    </w:rPr>
                    <w:t>0m</w:t>
                  </w:r>
                  <w:r>
                    <w:rPr>
                      <w:vertAlign w:val="superscript"/>
                      <w:lang w:bidi="ar"/>
                    </w:rPr>
                    <w:t>2</w:t>
                  </w:r>
                  <w:r>
                    <w:rPr>
                      <w:lang w:bidi="ar"/>
                    </w:rPr>
                    <w:t>，砖混结构</w:t>
                  </w:r>
                  <w:r>
                    <w:rPr>
                      <w:rFonts w:hint="eastAsia"/>
                      <w:lang w:bidi="ar"/>
                    </w:rPr>
                    <w:t>，包括办公区及门房等</w:t>
                  </w:r>
                </w:p>
              </w:tc>
              <w:tc>
                <w:tcPr>
                  <w:tcW w:w="549" w:type="pct"/>
                  <w:tcBorders>
                    <w:top w:val="single" w:color="auto" w:sz="4" w:space="0"/>
                    <w:left w:val="single" w:color="auto" w:sz="4" w:space="0"/>
                    <w:bottom w:val="single" w:color="auto" w:sz="4" w:space="0"/>
                    <w:right w:val="single" w:color="auto" w:sz="4" w:space="0"/>
                  </w:tcBorders>
                  <w:vAlign w:val="center"/>
                </w:tcPr>
                <w:p w14:paraId="2973861E">
                  <w:pPr>
                    <w:pStyle w:val="52"/>
                  </w:pPr>
                  <w:r>
                    <w:rPr>
                      <w:rFonts w:hint="eastAsia"/>
                    </w:rPr>
                    <w:t>利旧</w:t>
                  </w:r>
                </w:p>
              </w:tc>
            </w:tr>
            <w:tr w14:paraId="4926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501795A3">
                  <w:pPr>
                    <w:widowControl/>
                    <w:jc w:val="center"/>
                    <w:rPr>
                      <w:szCs w:val="21"/>
                    </w:rPr>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33D4741E">
                  <w:pPr>
                    <w:pStyle w:val="52"/>
                  </w:pPr>
                  <w:r>
                    <w:rPr>
                      <w:rFonts w:hint="eastAsia"/>
                    </w:rPr>
                    <w:t>洗车平台</w:t>
                  </w:r>
                </w:p>
              </w:tc>
              <w:tc>
                <w:tcPr>
                  <w:tcW w:w="3367" w:type="pct"/>
                  <w:tcBorders>
                    <w:top w:val="single" w:color="auto" w:sz="4" w:space="0"/>
                    <w:left w:val="single" w:color="auto" w:sz="4" w:space="0"/>
                    <w:bottom w:val="single" w:color="auto" w:sz="4" w:space="0"/>
                    <w:right w:val="single" w:color="auto" w:sz="4" w:space="0"/>
                  </w:tcBorders>
                  <w:vAlign w:val="center"/>
                </w:tcPr>
                <w:p w14:paraId="78777DEF">
                  <w:pPr>
                    <w:pStyle w:val="52"/>
                  </w:pPr>
                  <w:r>
                    <w:rPr>
                      <w:rFonts w:hint="eastAsia"/>
                    </w:rPr>
                    <w:t>在厂区进出口建设1座标准化洗车平台，对出厂车辆的轮胎、车厢进行清洗。设三级沉淀池，废水沉淀后循环使用</w:t>
                  </w:r>
                </w:p>
              </w:tc>
              <w:tc>
                <w:tcPr>
                  <w:tcW w:w="549" w:type="pct"/>
                  <w:tcBorders>
                    <w:top w:val="single" w:color="auto" w:sz="4" w:space="0"/>
                    <w:left w:val="single" w:color="auto" w:sz="4" w:space="0"/>
                    <w:right w:val="single" w:color="auto" w:sz="4" w:space="0"/>
                  </w:tcBorders>
                  <w:vAlign w:val="center"/>
                </w:tcPr>
                <w:p w14:paraId="1B272E44">
                  <w:pPr>
                    <w:pStyle w:val="52"/>
                  </w:pPr>
                  <w:r>
                    <w:rPr>
                      <w:rFonts w:hint="eastAsia"/>
                    </w:rPr>
                    <w:t>新建</w:t>
                  </w:r>
                </w:p>
              </w:tc>
            </w:tr>
            <w:tr w14:paraId="428F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restart"/>
                  <w:tcBorders>
                    <w:top w:val="single" w:color="auto" w:sz="4" w:space="0"/>
                    <w:left w:val="single" w:color="auto" w:sz="4" w:space="0"/>
                    <w:bottom w:val="single" w:color="auto" w:sz="4" w:space="0"/>
                    <w:right w:val="single" w:color="auto" w:sz="4" w:space="0"/>
                  </w:tcBorders>
                  <w:vAlign w:val="center"/>
                </w:tcPr>
                <w:p w14:paraId="6A881646">
                  <w:pPr>
                    <w:pStyle w:val="52"/>
                  </w:pPr>
                  <w:r>
                    <w:rPr>
                      <w:rFonts w:hint="eastAsia"/>
                    </w:rPr>
                    <w:t>公用</w:t>
                  </w:r>
                </w:p>
                <w:p w14:paraId="01CB79B0">
                  <w:pPr>
                    <w:pStyle w:val="52"/>
                  </w:pPr>
                  <w:r>
                    <w:rPr>
                      <w:rFonts w:hint="eastAsia"/>
                    </w:rPr>
                    <w:t>工程</w:t>
                  </w: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76080AE2">
                  <w:pPr>
                    <w:pStyle w:val="52"/>
                  </w:pPr>
                  <w:r>
                    <w:rPr>
                      <w:rFonts w:hint="eastAsia"/>
                    </w:rPr>
                    <w:t>供电</w:t>
                  </w:r>
                </w:p>
              </w:tc>
              <w:tc>
                <w:tcPr>
                  <w:tcW w:w="3367" w:type="pct"/>
                  <w:tcBorders>
                    <w:top w:val="single" w:color="auto" w:sz="4" w:space="0"/>
                    <w:left w:val="single" w:color="auto" w:sz="4" w:space="0"/>
                    <w:bottom w:val="single" w:color="auto" w:sz="4" w:space="0"/>
                    <w:right w:val="single" w:color="auto" w:sz="4" w:space="0"/>
                  </w:tcBorders>
                  <w:vAlign w:val="center"/>
                </w:tcPr>
                <w:p w14:paraId="2D9677EA">
                  <w:pPr>
                    <w:pStyle w:val="52"/>
                  </w:pPr>
                  <w:r>
                    <w:rPr>
                      <w:rFonts w:hint="eastAsia"/>
                    </w:rPr>
                    <w:t>项目电源接自当地电网，厂区配套变压器</w:t>
                  </w:r>
                </w:p>
              </w:tc>
              <w:tc>
                <w:tcPr>
                  <w:tcW w:w="549" w:type="pct"/>
                  <w:vMerge w:val="restart"/>
                  <w:tcBorders>
                    <w:top w:val="single" w:color="auto" w:sz="4" w:space="0"/>
                    <w:left w:val="single" w:color="auto" w:sz="4" w:space="0"/>
                    <w:right w:val="single" w:color="auto" w:sz="4" w:space="0"/>
                  </w:tcBorders>
                  <w:vAlign w:val="center"/>
                </w:tcPr>
                <w:p w14:paraId="00832780">
                  <w:pPr>
                    <w:pStyle w:val="52"/>
                  </w:pPr>
                  <w:r>
                    <w:rPr>
                      <w:rFonts w:hint="eastAsia"/>
                    </w:rPr>
                    <w:t>新建</w:t>
                  </w:r>
                </w:p>
              </w:tc>
            </w:tr>
            <w:tr w14:paraId="6989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03B292DA">
                  <w:pPr>
                    <w:widowControl/>
                    <w:jc w:val="center"/>
                    <w:rPr>
                      <w:szCs w:val="21"/>
                    </w:rPr>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74B870C3">
                  <w:pPr>
                    <w:pStyle w:val="52"/>
                  </w:pPr>
                  <w:r>
                    <w:rPr>
                      <w:rFonts w:hint="eastAsia"/>
                    </w:rPr>
                    <w:t>供热</w:t>
                  </w:r>
                </w:p>
              </w:tc>
              <w:tc>
                <w:tcPr>
                  <w:tcW w:w="3367" w:type="pct"/>
                  <w:tcBorders>
                    <w:top w:val="single" w:color="auto" w:sz="4" w:space="0"/>
                    <w:left w:val="single" w:color="auto" w:sz="4" w:space="0"/>
                    <w:bottom w:val="single" w:color="auto" w:sz="4" w:space="0"/>
                    <w:right w:val="single" w:color="auto" w:sz="4" w:space="0"/>
                  </w:tcBorders>
                  <w:vAlign w:val="center"/>
                </w:tcPr>
                <w:p w14:paraId="62CAD230">
                  <w:pPr>
                    <w:pStyle w:val="52"/>
                  </w:pPr>
                  <w:r>
                    <w:rPr>
                      <w:rFonts w:hint="eastAsia"/>
                    </w:rPr>
                    <w:t>生产车间不采暖，人员采用电暖设备采暖</w:t>
                  </w:r>
                </w:p>
              </w:tc>
              <w:tc>
                <w:tcPr>
                  <w:tcW w:w="549" w:type="pct"/>
                  <w:vMerge w:val="continue"/>
                  <w:tcBorders>
                    <w:left w:val="single" w:color="auto" w:sz="4" w:space="0"/>
                    <w:right w:val="single" w:color="auto" w:sz="4" w:space="0"/>
                  </w:tcBorders>
                  <w:vAlign w:val="center"/>
                </w:tcPr>
                <w:p w14:paraId="19EE6444">
                  <w:pPr>
                    <w:pStyle w:val="52"/>
                  </w:pPr>
                </w:p>
              </w:tc>
            </w:tr>
            <w:tr w14:paraId="637C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50E6A6C0">
                  <w:pPr>
                    <w:widowControl/>
                    <w:jc w:val="center"/>
                    <w:rPr>
                      <w:szCs w:val="21"/>
                    </w:rPr>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3B98068A">
                  <w:pPr>
                    <w:pStyle w:val="52"/>
                  </w:pPr>
                  <w:r>
                    <w:rPr>
                      <w:rFonts w:hint="eastAsia"/>
                    </w:rPr>
                    <w:t>给水</w:t>
                  </w:r>
                </w:p>
              </w:tc>
              <w:tc>
                <w:tcPr>
                  <w:tcW w:w="3367" w:type="pct"/>
                  <w:tcBorders>
                    <w:top w:val="single" w:color="auto" w:sz="4" w:space="0"/>
                    <w:left w:val="single" w:color="auto" w:sz="4" w:space="0"/>
                    <w:bottom w:val="single" w:color="auto" w:sz="4" w:space="0"/>
                    <w:right w:val="single" w:color="auto" w:sz="4" w:space="0"/>
                  </w:tcBorders>
                  <w:vAlign w:val="center"/>
                </w:tcPr>
                <w:p w14:paraId="523FC076">
                  <w:pPr>
                    <w:pStyle w:val="52"/>
                  </w:pPr>
                  <w:r>
                    <w:rPr>
                      <w:rFonts w:hint="eastAsia"/>
                    </w:rPr>
                    <w:t>项目用水来源于熬子坡村，使用汽车拉水</w:t>
                  </w:r>
                </w:p>
              </w:tc>
              <w:tc>
                <w:tcPr>
                  <w:tcW w:w="549" w:type="pct"/>
                  <w:vMerge w:val="continue"/>
                  <w:tcBorders>
                    <w:left w:val="single" w:color="auto" w:sz="4" w:space="0"/>
                    <w:right w:val="single" w:color="auto" w:sz="4" w:space="0"/>
                  </w:tcBorders>
                  <w:vAlign w:val="center"/>
                </w:tcPr>
                <w:p w14:paraId="72C75105">
                  <w:pPr>
                    <w:pStyle w:val="52"/>
                  </w:pPr>
                </w:p>
              </w:tc>
            </w:tr>
            <w:tr w14:paraId="3305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2D8D2DED">
                  <w:pPr>
                    <w:widowControl/>
                    <w:jc w:val="center"/>
                    <w:rPr>
                      <w:szCs w:val="21"/>
                    </w:rPr>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1C27B584">
                  <w:pPr>
                    <w:pStyle w:val="52"/>
                  </w:pPr>
                  <w:r>
                    <w:rPr>
                      <w:rFonts w:hint="eastAsia"/>
                    </w:rPr>
                    <w:t>排水</w:t>
                  </w:r>
                </w:p>
              </w:tc>
              <w:tc>
                <w:tcPr>
                  <w:tcW w:w="3367" w:type="pct"/>
                  <w:tcBorders>
                    <w:top w:val="single" w:color="auto" w:sz="4" w:space="0"/>
                    <w:left w:val="single" w:color="auto" w:sz="4" w:space="0"/>
                    <w:bottom w:val="single" w:color="auto" w:sz="4" w:space="0"/>
                    <w:right w:val="single" w:color="auto" w:sz="4" w:space="0"/>
                  </w:tcBorders>
                  <w:vAlign w:val="center"/>
                </w:tcPr>
                <w:p w14:paraId="3A6B4951">
                  <w:pPr>
                    <w:pStyle w:val="52"/>
                  </w:pPr>
                  <w:r>
                    <w:rPr>
                      <w:rFonts w:hint="eastAsia"/>
                    </w:rPr>
                    <w:t>生活污水经化粪池处理后定时清掏，农田施肥，不外排；洗车废水设置一座5m</w:t>
                  </w:r>
                  <w:r>
                    <w:rPr>
                      <w:rFonts w:hint="eastAsia"/>
                      <w:vertAlign w:val="superscript"/>
                    </w:rPr>
                    <w:t>3</w:t>
                  </w:r>
                  <w:r>
                    <w:rPr>
                      <w:rFonts w:hint="eastAsia"/>
                    </w:rPr>
                    <w:t>沉淀池收集，沉淀处理后废水循环使用</w:t>
                  </w:r>
                </w:p>
              </w:tc>
              <w:tc>
                <w:tcPr>
                  <w:tcW w:w="549" w:type="pct"/>
                  <w:vMerge w:val="continue"/>
                  <w:tcBorders>
                    <w:left w:val="single" w:color="auto" w:sz="4" w:space="0"/>
                    <w:bottom w:val="single" w:color="auto" w:sz="4" w:space="0"/>
                    <w:right w:val="single" w:color="auto" w:sz="4" w:space="0"/>
                  </w:tcBorders>
                  <w:vAlign w:val="center"/>
                </w:tcPr>
                <w:p w14:paraId="40E88364">
                  <w:pPr>
                    <w:pStyle w:val="52"/>
                  </w:pPr>
                </w:p>
              </w:tc>
            </w:tr>
            <w:tr w14:paraId="18C6E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restart"/>
                  <w:tcBorders>
                    <w:top w:val="single" w:color="auto" w:sz="4" w:space="0"/>
                    <w:left w:val="single" w:color="auto" w:sz="4" w:space="0"/>
                    <w:bottom w:val="single" w:color="auto" w:sz="4" w:space="0"/>
                    <w:right w:val="single" w:color="auto" w:sz="4" w:space="0"/>
                  </w:tcBorders>
                  <w:vAlign w:val="center"/>
                </w:tcPr>
                <w:p w14:paraId="6F6B3C9F">
                  <w:pPr>
                    <w:pStyle w:val="52"/>
                  </w:pPr>
                  <w:r>
                    <w:rPr>
                      <w:rFonts w:hint="eastAsia"/>
                    </w:rPr>
                    <w:t>环保</w:t>
                  </w:r>
                </w:p>
                <w:p w14:paraId="000199F9">
                  <w:pPr>
                    <w:jc w:val="center"/>
                    <w:rPr>
                      <w:szCs w:val="21"/>
                    </w:rPr>
                  </w:pPr>
                  <w:r>
                    <w:rPr>
                      <w:rFonts w:hint="eastAsia"/>
                    </w:rPr>
                    <w:t>工程</w:t>
                  </w:r>
                </w:p>
              </w:tc>
              <w:tc>
                <w:tcPr>
                  <w:tcW w:w="218" w:type="pct"/>
                  <w:vMerge w:val="restart"/>
                  <w:tcBorders>
                    <w:top w:val="single" w:color="auto" w:sz="4" w:space="0"/>
                    <w:left w:val="single" w:color="auto" w:sz="4" w:space="0"/>
                    <w:bottom w:val="single" w:color="auto" w:sz="4" w:space="0"/>
                    <w:right w:val="single" w:color="auto" w:sz="4" w:space="0"/>
                  </w:tcBorders>
                  <w:vAlign w:val="center"/>
                </w:tcPr>
                <w:p w14:paraId="587CA2D2">
                  <w:pPr>
                    <w:jc w:val="center"/>
                    <w:rPr>
                      <w:szCs w:val="21"/>
                    </w:rPr>
                  </w:pPr>
                  <w:r>
                    <w:rPr>
                      <w:rFonts w:hint="eastAsia"/>
                    </w:rPr>
                    <w:t>废气</w:t>
                  </w:r>
                </w:p>
              </w:tc>
              <w:tc>
                <w:tcPr>
                  <w:tcW w:w="598" w:type="pct"/>
                  <w:tcBorders>
                    <w:top w:val="single" w:color="auto" w:sz="4" w:space="0"/>
                    <w:left w:val="single" w:color="auto" w:sz="4" w:space="0"/>
                    <w:bottom w:val="single" w:color="auto" w:sz="4" w:space="0"/>
                    <w:right w:val="single" w:color="auto" w:sz="4" w:space="0"/>
                  </w:tcBorders>
                  <w:vAlign w:val="center"/>
                </w:tcPr>
                <w:p w14:paraId="407F496D">
                  <w:pPr>
                    <w:pStyle w:val="52"/>
                  </w:pPr>
                  <w:r>
                    <w:rPr>
                      <w:rFonts w:hint="eastAsia"/>
                    </w:rPr>
                    <w:t>骨料上料、输送、搅拌、包装系统</w:t>
                  </w:r>
                </w:p>
              </w:tc>
              <w:tc>
                <w:tcPr>
                  <w:tcW w:w="3367" w:type="pct"/>
                  <w:tcBorders>
                    <w:top w:val="single" w:color="auto" w:sz="4" w:space="0"/>
                    <w:left w:val="single" w:color="auto" w:sz="4" w:space="0"/>
                    <w:bottom w:val="single" w:color="auto" w:sz="4" w:space="0"/>
                    <w:right w:val="single" w:color="auto" w:sz="4" w:space="0"/>
                  </w:tcBorders>
                  <w:vAlign w:val="center"/>
                </w:tcPr>
                <w:p w14:paraId="6E30BAF4">
                  <w:pPr>
                    <w:pStyle w:val="52"/>
                  </w:pPr>
                  <w:r>
                    <w:rPr>
                      <w:rFonts w:hint="eastAsia"/>
                    </w:rPr>
                    <w:t>混合机全密闭，上料仓落料点、输送皮带、斗提机全封闭，上料斗上方设置三面封闭集尘罩，上料侧采用软帘遮挡；皮带转载点、配料缓存仓顶、混合机、包装机出料口均设置集尘点。骨料上料、输送、配料、搅拌及包装过程中产生的粉尘经收集后，通过管道以负压方式引入1台布袋除尘器处理后经1根15m排气筒排放</w:t>
                  </w:r>
                </w:p>
              </w:tc>
              <w:tc>
                <w:tcPr>
                  <w:tcW w:w="549" w:type="pct"/>
                  <w:vMerge w:val="restart"/>
                  <w:tcBorders>
                    <w:left w:val="single" w:color="auto" w:sz="4" w:space="0"/>
                    <w:right w:val="single" w:color="auto" w:sz="4" w:space="0"/>
                  </w:tcBorders>
                  <w:vAlign w:val="center"/>
                </w:tcPr>
                <w:p w14:paraId="5E81131B">
                  <w:pPr>
                    <w:pStyle w:val="52"/>
                  </w:pPr>
                  <w:r>
                    <w:rPr>
                      <w:rFonts w:hint="eastAsia"/>
                    </w:rPr>
                    <w:t>新建</w:t>
                  </w:r>
                </w:p>
              </w:tc>
            </w:tr>
            <w:tr w14:paraId="6081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215A634D">
                  <w:pPr>
                    <w:pStyle w:val="52"/>
                  </w:pPr>
                </w:p>
              </w:tc>
              <w:tc>
                <w:tcPr>
                  <w:tcW w:w="218" w:type="pct"/>
                  <w:vMerge w:val="continue"/>
                  <w:tcBorders>
                    <w:top w:val="single" w:color="auto" w:sz="4" w:space="0"/>
                    <w:left w:val="single" w:color="auto" w:sz="4" w:space="0"/>
                    <w:bottom w:val="single" w:color="auto" w:sz="4" w:space="0"/>
                    <w:right w:val="single" w:color="auto" w:sz="4" w:space="0"/>
                  </w:tcBorders>
                  <w:vAlign w:val="center"/>
                </w:tcPr>
                <w:p w14:paraId="23A04921">
                  <w:pPr>
                    <w:jc w:val="center"/>
                  </w:pPr>
                </w:p>
              </w:tc>
              <w:tc>
                <w:tcPr>
                  <w:tcW w:w="598" w:type="pct"/>
                  <w:tcBorders>
                    <w:top w:val="single" w:color="auto" w:sz="4" w:space="0"/>
                    <w:left w:val="single" w:color="auto" w:sz="4" w:space="0"/>
                    <w:bottom w:val="single" w:color="auto" w:sz="4" w:space="0"/>
                    <w:right w:val="single" w:color="auto" w:sz="4" w:space="0"/>
                  </w:tcBorders>
                  <w:vAlign w:val="center"/>
                </w:tcPr>
                <w:p w14:paraId="57224DC1">
                  <w:pPr>
                    <w:pStyle w:val="52"/>
                  </w:pPr>
                  <w:r>
                    <w:rPr>
                      <w:rFonts w:hint="eastAsia"/>
                    </w:rPr>
                    <w:t>水泥筒仓粉尘</w:t>
                  </w:r>
                </w:p>
              </w:tc>
              <w:tc>
                <w:tcPr>
                  <w:tcW w:w="3367" w:type="pct"/>
                  <w:tcBorders>
                    <w:top w:val="single" w:color="auto" w:sz="4" w:space="0"/>
                    <w:left w:val="single" w:color="auto" w:sz="4" w:space="0"/>
                    <w:bottom w:val="single" w:color="auto" w:sz="4" w:space="0"/>
                    <w:right w:val="single" w:color="auto" w:sz="4" w:space="0"/>
                  </w:tcBorders>
                  <w:vAlign w:val="center"/>
                </w:tcPr>
                <w:p w14:paraId="5A0DCBFD">
                  <w:pPr>
                    <w:pStyle w:val="52"/>
                  </w:pPr>
                  <w:bookmarkStart w:id="27" w:name="OLE_LINK74"/>
                  <w:r>
                    <w:rPr>
                      <w:rFonts w:hint="eastAsia"/>
                    </w:rPr>
                    <w:t>筒仓仓顶设置布袋除尘器，处理后废气经仓顶</w:t>
                  </w:r>
                  <w:bookmarkStart w:id="28" w:name="OLE_LINK35"/>
                  <w:r>
                    <w:rPr>
                      <w:rFonts w:hint="eastAsia"/>
                    </w:rPr>
                    <w:t>15m（距地面）高</w:t>
                  </w:r>
                  <w:r>
                    <w:t>排气筒</w:t>
                  </w:r>
                  <w:r>
                    <w:rPr>
                      <w:rFonts w:hint="eastAsia"/>
                    </w:rPr>
                    <w:t>排放</w:t>
                  </w:r>
                  <w:bookmarkEnd w:id="28"/>
                  <w:r>
                    <w:rPr>
                      <w:rFonts w:hint="eastAsia"/>
                    </w:rPr>
                    <w:t>（DA002）</w:t>
                  </w:r>
                  <w:bookmarkEnd w:id="27"/>
                </w:p>
              </w:tc>
              <w:tc>
                <w:tcPr>
                  <w:tcW w:w="549" w:type="pct"/>
                  <w:vMerge w:val="continue"/>
                  <w:tcBorders>
                    <w:left w:val="single" w:color="auto" w:sz="4" w:space="0"/>
                    <w:right w:val="single" w:color="auto" w:sz="4" w:space="0"/>
                  </w:tcBorders>
                  <w:vAlign w:val="center"/>
                </w:tcPr>
                <w:p w14:paraId="5E5791CF">
                  <w:pPr>
                    <w:pStyle w:val="52"/>
                  </w:pPr>
                </w:p>
              </w:tc>
            </w:tr>
            <w:tr w14:paraId="27C5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669B19A5">
                  <w:pPr>
                    <w:widowControl/>
                    <w:jc w:val="center"/>
                    <w:rPr>
                      <w:szCs w:val="21"/>
                    </w:rPr>
                  </w:pPr>
                </w:p>
              </w:tc>
              <w:tc>
                <w:tcPr>
                  <w:tcW w:w="218" w:type="pct"/>
                  <w:vMerge w:val="continue"/>
                  <w:tcBorders>
                    <w:top w:val="single" w:color="auto" w:sz="4" w:space="0"/>
                    <w:left w:val="single" w:color="auto" w:sz="4" w:space="0"/>
                    <w:bottom w:val="single" w:color="auto" w:sz="4" w:space="0"/>
                    <w:right w:val="single" w:color="auto" w:sz="4" w:space="0"/>
                  </w:tcBorders>
                  <w:vAlign w:val="center"/>
                </w:tcPr>
                <w:p w14:paraId="6733C21B">
                  <w:pPr>
                    <w:widowControl/>
                    <w:jc w:val="center"/>
                    <w:rPr>
                      <w:szCs w:val="21"/>
                    </w:rPr>
                  </w:pPr>
                </w:p>
              </w:tc>
              <w:tc>
                <w:tcPr>
                  <w:tcW w:w="598" w:type="pct"/>
                  <w:tcBorders>
                    <w:top w:val="single" w:color="auto" w:sz="4" w:space="0"/>
                    <w:left w:val="single" w:color="auto" w:sz="4" w:space="0"/>
                    <w:bottom w:val="single" w:color="auto" w:sz="4" w:space="0"/>
                    <w:right w:val="single" w:color="auto" w:sz="4" w:space="0"/>
                  </w:tcBorders>
                  <w:vAlign w:val="center"/>
                </w:tcPr>
                <w:p w14:paraId="47AA669E">
                  <w:pPr>
                    <w:pStyle w:val="52"/>
                  </w:pPr>
                  <w:r>
                    <w:rPr>
                      <w:rFonts w:hint="eastAsia"/>
                    </w:rPr>
                    <w:t>粉煤灰（矿渣粉）筒仓粉尘</w:t>
                  </w:r>
                </w:p>
              </w:tc>
              <w:tc>
                <w:tcPr>
                  <w:tcW w:w="3367" w:type="pct"/>
                  <w:tcBorders>
                    <w:top w:val="single" w:color="auto" w:sz="4" w:space="0"/>
                    <w:left w:val="single" w:color="auto" w:sz="4" w:space="0"/>
                    <w:bottom w:val="single" w:color="auto" w:sz="4" w:space="0"/>
                    <w:right w:val="single" w:color="auto" w:sz="4" w:space="0"/>
                  </w:tcBorders>
                  <w:vAlign w:val="center"/>
                </w:tcPr>
                <w:p w14:paraId="6F2F88F2">
                  <w:pPr>
                    <w:pStyle w:val="52"/>
                  </w:pPr>
                  <w:r>
                    <w:rPr>
                      <w:rFonts w:hint="eastAsia"/>
                    </w:rPr>
                    <w:t>筒仓仓顶设置布袋除尘器，处理后废气经仓顶15m（距地面）高</w:t>
                  </w:r>
                  <w:r>
                    <w:t>排气筒</w:t>
                  </w:r>
                  <w:r>
                    <w:rPr>
                      <w:rFonts w:hint="eastAsia"/>
                    </w:rPr>
                    <w:t>排放（DA003）</w:t>
                  </w:r>
                </w:p>
              </w:tc>
              <w:tc>
                <w:tcPr>
                  <w:tcW w:w="549" w:type="pct"/>
                  <w:vMerge w:val="continue"/>
                  <w:tcBorders>
                    <w:left w:val="single" w:color="auto" w:sz="4" w:space="0"/>
                    <w:right w:val="single" w:color="auto" w:sz="4" w:space="0"/>
                  </w:tcBorders>
                  <w:vAlign w:val="center"/>
                </w:tcPr>
                <w:p w14:paraId="0DA5AC0B">
                  <w:pPr>
                    <w:pStyle w:val="52"/>
                  </w:pPr>
                </w:p>
              </w:tc>
            </w:tr>
            <w:tr w14:paraId="240A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6F1C2C47">
                  <w:pPr>
                    <w:widowControl/>
                    <w:jc w:val="center"/>
                    <w:rPr>
                      <w:szCs w:val="21"/>
                    </w:rPr>
                  </w:pPr>
                </w:p>
              </w:tc>
              <w:tc>
                <w:tcPr>
                  <w:tcW w:w="218" w:type="pct"/>
                  <w:vMerge w:val="continue"/>
                  <w:tcBorders>
                    <w:top w:val="single" w:color="auto" w:sz="4" w:space="0"/>
                    <w:left w:val="single" w:color="auto" w:sz="4" w:space="0"/>
                    <w:bottom w:val="single" w:color="auto" w:sz="4" w:space="0"/>
                    <w:right w:val="single" w:color="auto" w:sz="4" w:space="0"/>
                  </w:tcBorders>
                  <w:vAlign w:val="center"/>
                </w:tcPr>
                <w:p w14:paraId="26DB8BC4">
                  <w:pPr>
                    <w:widowControl/>
                    <w:jc w:val="center"/>
                    <w:rPr>
                      <w:szCs w:val="21"/>
                    </w:rPr>
                  </w:pPr>
                </w:p>
              </w:tc>
              <w:tc>
                <w:tcPr>
                  <w:tcW w:w="598" w:type="pct"/>
                  <w:tcBorders>
                    <w:top w:val="single" w:color="auto" w:sz="4" w:space="0"/>
                    <w:left w:val="single" w:color="auto" w:sz="4" w:space="0"/>
                    <w:bottom w:val="single" w:color="auto" w:sz="4" w:space="0"/>
                    <w:right w:val="single" w:color="auto" w:sz="4" w:space="0"/>
                  </w:tcBorders>
                  <w:vAlign w:val="center"/>
                </w:tcPr>
                <w:p w14:paraId="4F8DAE4D">
                  <w:pPr>
                    <w:pStyle w:val="52"/>
                  </w:pPr>
                  <w:r>
                    <w:rPr>
                      <w:rFonts w:hint="eastAsia"/>
                    </w:rPr>
                    <w:t>物料转载粉尘</w:t>
                  </w:r>
                </w:p>
              </w:tc>
              <w:tc>
                <w:tcPr>
                  <w:tcW w:w="3367" w:type="pct"/>
                  <w:tcBorders>
                    <w:top w:val="single" w:color="auto" w:sz="4" w:space="0"/>
                    <w:left w:val="single" w:color="auto" w:sz="4" w:space="0"/>
                    <w:bottom w:val="single" w:color="auto" w:sz="4" w:space="0"/>
                    <w:right w:val="single" w:color="auto" w:sz="4" w:space="0"/>
                  </w:tcBorders>
                  <w:vAlign w:val="center"/>
                </w:tcPr>
                <w:p w14:paraId="0964A07C">
                  <w:pPr>
                    <w:pStyle w:val="52"/>
                  </w:pPr>
                  <w:r>
                    <w:rPr>
                      <w:rFonts w:hint="eastAsia"/>
                    </w:rPr>
                    <w:t>项目使用皮带输送机用于原料及产品在设备间的转载，皮带机设置于封闭厂房内，同时，皮带机进行全封闭处理。</w:t>
                  </w:r>
                </w:p>
              </w:tc>
              <w:tc>
                <w:tcPr>
                  <w:tcW w:w="549" w:type="pct"/>
                  <w:vMerge w:val="continue"/>
                  <w:tcBorders>
                    <w:left w:val="single" w:color="auto" w:sz="4" w:space="0"/>
                    <w:right w:val="single" w:color="auto" w:sz="4" w:space="0"/>
                  </w:tcBorders>
                  <w:vAlign w:val="center"/>
                </w:tcPr>
                <w:p w14:paraId="746D66B9">
                  <w:pPr>
                    <w:pStyle w:val="52"/>
                  </w:pPr>
                </w:p>
              </w:tc>
            </w:tr>
            <w:tr w14:paraId="6A7F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49469EDC">
                  <w:pPr>
                    <w:widowControl/>
                    <w:jc w:val="center"/>
                    <w:rPr>
                      <w:szCs w:val="21"/>
                    </w:rPr>
                  </w:pPr>
                </w:p>
              </w:tc>
              <w:tc>
                <w:tcPr>
                  <w:tcW w:w="218" w:type="pct"/>
                  <w:vMerge w:val="continue"/>
                  <w:tcBorders>
                    <w:top w:val="single" w:color="auto" w:sz="4" w:space="0"/>
                    <w:left w:val="single" w:color="auto" w:sz="4" w:space="0"/>
                    <w:bottom w:val="single" w:color="auto" w:sz="4" w:space="0"/>
                    <w:right w:val="single" w:color="auto" w:sz="4" w:space="0"/>
                  </w:tcBorders>
                  <w:vAlign w:val="center"/>
                </w:tcPr>
                <w:p w14:paraId="35493118">
                  <w:pPr>
                    <w:widowControl/>
                    <w:jc w:val="center"/>
                    <w:rPr>
                      <w:szCs w:val="21"/>
                    </w:rPr>
                  </w:pPr>
                </w:p>
              </w:tc>
              <w:tc>
                <w:tcPr>
                  <w:tcW w:w="598" w:type="pct"/>
                  <w:tcBorders>
                    <w:top w:val="single" w:color="auto" w:sz="4" w:space="0"/>
                    <w:left w:val="single" w:color="auto" w:sz="4" w:space="0"/>
                    <w:bottom w:val="single" w:color="auto" w:sz="4" w:space="0"/>
                    <w:right w:val="single" w:color="auto" w:sz="4" w:space="0"/>
                  </w:tcBorders>
                  <w:vAlign w:val="center"/>
                </w:tcPr>
                <w:p w14:paraId="53ED3105">
                  <w:pPr>
                    <w:pStyle w:val="52"/>
                  </w:pPr>
                  <w:r>
                    <w:rPr>
                      <w:rFonts w:hint="eastAsia"/>
                    </w:rPr>
                    <w:t>车辆运输扬尘</w:t>
                  </w:r>
                </w:p>
              </w:tc>
              <w:tc>
                <w:tcPr>
                  <w:tcW w:w="3367" w:type="pct"/>
                  <w:tcBorders>
                    <w:top w:val="single" w:color="auto" w:sz="4" w:space="0"/>
                    <w:left w:val="single" w:color="auto" w:sz="4" w:space="0"/>
                    <w:bottom w:val="single" w:color="auto" w:sz="4" w:space="0"/>
                    <w:right w:val="single" w:color="auto" w:sz="4" w:space="0"/>
                  </w:tcBorders>
                  <w:vAlign w:val="center"/>
                </w:tcPr>
                <w:p w14:paraId="4D7E7BB6">
                  <w:pPr>
                    <w:pStyle w:val="52"/>
                  </w:pPr>
                  <w:r>
                    <w:rPr>
                      <w:rFonts w:hint="eastAsia"/>
                    </w:rPr>
                    <w:t>厂区出口设1座洗车平台，对出场车辆车身、轮胎进行冲洗；运输车辆限制车速、限制超载，并采用固定苫盖车辆运输；运输道路及时清扫，并设洒水车定期洒水</w:t>
                  </w:r>
                </w:p>
              </w:tc>
              <w:tc>
                <w:tcPr>
                  <w:tcW w:w="549" w:type="pct"/>
                  <w:vMerge w:val="continue"/>
                  <w:tcBorders>
                    <w:left w:val="single" w:color="auto" w:sz="4" w:space="0"/>
                    <w:right w:val="single" w:color="auto" w:sz="4" w:space="0"/>
                  </w:tcBorders>
                  <w:vAlign w:val="center"/>
                </w:tcPr>
                <w:p w14:paraId="085CC85E">
                  <w:pPr>
                    <w:pStyle w:val="52"/>
                  </w:pPr>
                </w:p>
              </w:tc>
            </w:tr>
            <w:tr w14:paraId="05CD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351485DC">
                  <w:pPr>
                    <w:widowControl/>
                    <w:jc w:val="center"/>
                    <w:rPr>
                      <w:szCs w:val="21"/>
                    </w:rPr>
                  </w:pPr>
                </w:p>
              </w:tc>
              <w:tc>
                <w:tcPr>
                  <w:tcW w:w="218" w:type="pct"/>
                  <w:vMerge w:val="restart"/>
                  <w:tcBorders>
                    <w:top w:val="single" w:color="auto" w:sz="4" w:space="0"/>
                    <w:left w:val="single" w:color="auto" w:sz="4" w:space="0"/>
                    <w:right w:val="single" w:color="auto" w:sz="4" w:space="0"/>
                  </w:tcBorders>
                  <w:vAlign w:val="center"/>
                </w:tcPr>
                <w:p w14:paraId="6F601C8A">
                  <w:pPr>
                    <w:pStyle w:val="52"/>
                  </w:pPr>
                  <w:r>
                    <w:rPr>
                      <w:rFonts w:hint="eastAsia"/>
                    </w:rPr>
                    <w:t>废水</w:t>
                  </w:r>
                </w:p>
              </w:tc>
              <w:tc>
                <w:tcPr>
                  <w:tcW w:w="598" w:type="pct"/>
                  <w:tcBorders>
                    <w:top w:val="single" w:color="auto" w:sz="4" w:space="0"/>
                    <w:left w:val="single" w:color="auto" w:sz="4" w:space="0"/>
                    <w:bottom w:val="single" w:color="auto" w:sz="4" w:space="0"/>
                    <w:right w:val="single" w:color="auto" w:sz="4" w:space="0"/>
                  </w:tcBorders>
                  <w:vAlign w:val="center"/>
                </w:tcPr>
                <w:p w14:paraId="5533CF3F">
                  <w:pPr>
                    <w:pStyle w:val="52"/>
                  </w:pPr>
                  <w:r>
                    <w:rPr>
                      <w:rFonts w:hint="eastAsia"/>
                    </w:rPr>
                    <w:t>生活污水</w:t>
                  </w:r>
                </w:p>
              </w:tc>
              <w:tc>
                <w:tcPr>
                  <w:tcW w:w="3367" w:type="pct"/>
                  <w:tcBorders>
                    <w:top w:val="single" w:color="auto" w:sz="4" w:space="0"/>
                    <w:left w:val="single" w:color="auto" w:sz="4" w:space="0"/>
                    <w:bottom w:val="single" w:color="auto" w:sz="4" w:space="0"/>
                    <w:right w:val="single" w:color="auto" w:sz="4" w:space="0"/>
                  </w:tcBorders>
                  <w:vAlign w:val="center"/>
                </w:tcPr>
                <w:p w14:paraId="3FA27A21">
                  <w:pPr>
                    <w:pStyle w:val="52"/>
                  </w:pPr>
                  <w:r>
                    <w:rPr>
                      <w:rFonts w:hint="eastAsia"/>
                    </w:rPr>
                    <w:t>生活废水经化粪池处理后定时清掏，农田施肥，不外排。</w:t>
                  </w:r>
                </w:p>
              </w:tc>
              <w:tc>
                <w:tcPr>
                  <w:tcW w:w="549" w:type="pct"/>
                  <w:vMerge w:val="continue"/>
                  <w:tcBorders>
                    <w:left w:val="single" w:color="auto" w:sz="4" w:space="0"/>
                    <w:right w:val="single" w:color="auto" w:sz="4" w:space="0"/>
                  </w:tcBorders>
                  <w:vAlign w:val="center"/>
                </w:tcPr>
                <w:p w14:paraId="57342073">
                  <w:pPr>
                    <w:pStyle w:val="52"/>
                  </w:pPr>
                </w:p>
              </w:tc>
            </w:tr>
            <w:tr w14:paraId="378F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4091F680">
                  <w:pPr>
                    <w:widowControl/>
                    <w:jc w:val="center"/>
                    <w:rPr>
                      <w:szCs w:val="21"/>
                    </w:rPr>
                  </w:pPr>
                </w:p>
              </w:tc>
              <w:tc>
                <w:tcPr>
                  <w:tcW w:w="218" w:type="pct"/>
                  <w:vMerge w:val="continue"/>
                  <w:tcBorders>
                    <w:left w:val="single" w:color="auto" w:sz="4" w:space="0"/>
                    <w:right w:val="single" w:color="auto" w:sz="4" w:space="0"/>
                  </w:tcBorders>
                  <w:vAlign w:val="center"/>
                </w:tcPr>
                <w:p w14:paraId="3AAA67D7">
                  <w:pPr>
                    <w:widowControl/>
                    <w:jc w:val="center"/>
                    <w:rPr>
                      <w:szCs w:val="21"/>
                    </w:rPr>
                  </w:pPr>
                </w:p>
              </w:tc>
              <w:tc>
                <w:tcPr>
                  <w:tcW w:w="598" w:type="pct"/>
                  <w:tcBorders>
                    <w:top w:val="single" w:color="auto" w:sz="4" w:space="0"/>
                    <w:left w:val="single" w:color="auto" w:sz="4" w:space="0"/>
                    <w:bottom w:val="single" w:color="auto" w:sz="4" w:space="0"/>
                    <w:right w:val="single" w:color="auto" w:sz="4" w:space="0"/>
                  </w:tcBorders>
                  <w:vAlign w:val="center"/>
                </w:tcPr>
                <w:p w14:paraId="365E66B1">
                  <w:pPr>
                    <w:pStyle w:val="52"/>
                  </w:pPr>
                  <w:r>
                    <w:rPr>
                      <w:rFonts w:hint="eastAsia"/>
                    </w:rPr>
                    <w:t>洗车废水</w:t>
                  </w:r>
                </w:p>
              </w:tc>
              <w:tc>
                <w:tcPr>
                  <w:tcW w:w="3367" w:type="pct"/>
                  <w:tcBorders>
                    <w:top w:val="single" w:color="auto" w:sz="4" w:space="0"/>
                    <w:left w:val="single" w:color="auto" w:sz="4" w:space="0"/>
                    <w:bottom w:val="single" w:color="auto" w:sz="4" w:space="0"/>
                    <w:right w:val="single" w:color="auto" w:sz="4" w:space="0"/>
                  </w:tcBorders>
                  <w:vAlign w:val="center"/>
                </w:tcPr>
                <w:p w14:paraId="5E9667FF">
                  <w:pPr>
                    <w:pStyle w:val="52"/>
                  </w:pPr>
                  <w:r>
                    <w:rPr>
                      <w:rFonts w:hint="eastAsia"/>
                    </w:rPr>
                    <w:t>洗车废水经三级沉淀池收集沉淀处理后回用</w:t>
                  </w:r>
                </w:p>
              </w:tc>
              <w:tc>
                <w:tcPr>
                  <w:tcW w:w="549" w:type="pct"/>
                  <w:vMerge w:val="continue"/>
                  <w:tcBorders>
                    <w:left w:val="single" w:color="auto" w:sz="4" w:space="0"/>
                    <w:right w:val="single" w:color="auto" w:sz="4" w:space="0"/>
                  </w:tcBorders>
                  <w:vAlign w:val="center"/>
                </w:tcPr>
                <w:p w14:paraId="4B20775B">
                  <w:pPr>
                    <w:pStyle w:val="52"/>
                  </w:pPr>
                </w:p>
              </w:tc>
            </w:tr>
            <w:tr w14:paraId="3056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1E63D1AE">
                  <w:pPr>
                    <w:widowControl/>
                    <w:jc w:val="center"/>
                    <w:rPr>
                      <w:szCs w:val="21"/>
                    </w:rPr>
                  </w:pPr>
                </w:p>
              </w:tc>
              <w:tc>
                <w:tcPr>
                  <w:tcW w:w="218" w:type="pct"/>
                  <w:vMerge w:val="continue"/>
                  <w:tcBorders>
                    <w:left w:val="single" w:color="auto" w:sz="4" w:space="0"/>
                    <w:bottom w:val="single" w:color="auto" w:sz="4" w:space="0"/>
                    <w:right w:val="single" w:color="auto" w:sz="4" w:space="0"/>
                  </w:tcBorders>
                  <w:vAlign w:val="center"/>
                </w:tcPr>
                <w:p w14:paraId="766FB9D4">
                  <w:pPr>
                    <w:widowControl/>
                    <w:jc w:val="center"/>
                    <w:rPr>
                      <w:szCs w:val="21"/>
                    </w:rPr>
                  </w:pPr>
                </w:p>
              </w:tc>
              <w:tc>
                <w:tcPr>
                  <w:tcW w:w="598" w:type="pct"/>
                  <w:tcBorders>
                    <w:top w:val="single" w:color="auto" w:sz="4" w:space="0"/>
                    <w:left w:val="single" w:color="auto" w:sz="4" w:space="0"/>
                    <w:bottom w:val="single" w:color="auto" w:sz="4" w:space="0"/>
                    <w:right w:val="single" w:color="auto" w:sz="4" w:space="0"/>
                  </w:tcBorders>
                  <w:vAlign w:val="center"/>
                </w:tcPr>
                <w:p w14:paraId="3738EE01">
                  <w:pPr>
                    <w:pStyle w:val="52"/>
                  </w:pPr>
                  <w:r>
                    <w:rPr>
                      <w:rFonts w:hint="eastAsia"/>
                    </w:rPr>
                    <w:t>初期雨水池</w:t>
                  </w:r>
                </w:p>
              </w:tc>
              <w:tc>
                <w:tcPr>
                  <w:tcW w:w="3367" w:type="pct"/>
                  <w:tcBorders>
                    <w:top w:val="single" w:color="auto" w:sz="4" w:space="0"/>
                    <w:left w:val="single" w:color="auto" w:sz="4" w:space="0"/>
                    <w:bottom w:val="single" w:color="auto" w:sz="4" w:space="0"/>
                    <w:right w:val="single" w:color="auto" w:sz="4" w:space="0"/>
                  </w:tcBorders>
                  <w:vAlign w:val="center"/>
                </w:tcPr>
                <w:p w14:paraId="1E0F7D19">
                  <w:pPr>
                    <w:pStyle w:val="52"/>
                  </w:pPr>
                  <w:bookmarkStart w:id="29" w:name="OLE_LINK17"/>
                  <w:r>
                    <w:rPr>
                      <w:rFonts w:ascii="Times New Roman Regular" w:hAnsi="Times New Roman Regular" w:cs="Times New Roman Regular"/>
                      <w:szCs w:val="18"/>
                    </w:rPr>
                    <w:t>设置</w:t>
                  </w:r>
                  <w:r>
                    <w:rPr>
                      <w:rFonts w:hint="eastAsia" w:ascii="Times New Roman Regular" w:hAnsi="Times New Roman Regular" w:cs="Times New Roman Regular"/>
                      <w:szCs w:val="18"/>
                    </w:rPr>
                    <w:t>1座100m</w:t>
                  </w:r>
                  <w:r>
                    <w:rPr>
                      <w:rFonts w:hint="eastAsia" w:ascii="Times New Roman Regular" w:hAnsi="Times New Roman Regular" w:cs="Times New Roman Regular"/>
                      <w:szCs w:val="18"/>
                      <w:vertAlign w:val="superscript"/>
                    </w:rPr>
                    <w:t>3</w:t>
                  </w:r>
                  <w:r>
                    <w:rPr>
                      <w:rFonts w:ascii="Times New Roman Regular" w:hAnsi="Times New Roman Regular" w:cs="Times New Roman Regular"/>
                      <w:szCs w:val="18"/>
                    </w:rPr>
                    <w:t>初期雨水收集池收集初期雨水，初期雨水用于厂区抑尘洒水，</w:t>
                  </w:r>
                  <w:bookmarkEnd w:id="29"/>
                  <w:r>
                    <w:rPr>
                      <w:rFonts w:ascii="Times New Roman Regular" w:hAnsi="Times New Roman Regular" w:cs="Times New Roman Regular"/>
                      <w:szCs w:val="18"/>
                    </w:rPr>
                    <w:t>底泥定期清理，晾干后外售</w:t>
                  </w:r>
                </w:p>
              </w:tc>
              <w:tc>
                <w:tcPr>
                  <w:tcW w:w="549" w:type="pct"/>
                  <w:vMerge w:val="continue"/>
                  <w:tcBorders>
                    <w:left w:val="single" w:color="auto" w:sz="4" w:space="0"/>
                    <w:right w:val="single" w:color="auto" w:sz="4" w:space="0"/>
                  </w:tcBorders>
                  <w:vAlign w:val="center"/>
                </w:tcPr>
                <w:p w14:paraId="533EEEAA">
                  <w:pPr>
                    <w:pStyle w:val="52"/>
                  </w:pPr>
                </w:p>
              </w:tc>
            </w:tr>
            <w:tr w14:paraId="7E51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0D1BFD46">
                  <w:pPr>
                    <w:widowControl/>
                    <w:jc w:val="center"/>
                    <w:rPr>
                      <w:szCs w:val="21"/>
                    </w:rPr>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05D0211A">
                  <w:pPr>
                    <w:pStyle w:val="52"/>
                  </w:pPr>
                  <w:r>
                    <w:rPr>
                      <w:lang w:bidi="ar"/>
                    </w:rPr>
                    <w:t>噪声防治</w:t>
                  </w:r>
                </w:p>
              </w:tc>
              <w:tc>
                <w:tcPr>
                  <w:tcW w:w="3367" w:type="pct"/>
                  <w:tcBorders>
                    <w:top w:val="single" w:color="auto" w:sz="4" w:space="0"/>
                    <w:left w:val="single" w:color="auto" w:sz="4" w:space="0"/>
                    <w:bottom w:val="single" w:color="auto" w:sz="4" w:space="0"/>
                    <w:right w:val="single" w:color="auto" w:sz="4" w:space="0"/>
                  </w:tcBorders>
                  <w:vAlign w:val="center"/>
                </w:tcPr>
                <w:p w14:paraId="1C929E8A">
                  <w:pPr>
                    <w:pStyle w:val="52"/>
                  </w:pPr>
                  <w:r>
                    <w:rPr>
                      <w:lang w:bidi="ar"/>
                    </w:rPr>
                    <w:t>选用低噪声设备、基础减</w:t>
                  </w:r>
                  <w:r>
                    <w:rPr>
                      <w:rFonts w:hint="eastAsia"/>
                      <w:lang w:bidi="ar"/>
                    </w:rPr>
                    <w:t>振</w:t>
                  </w:r>
                  <w:r>
                    <w:rPr>
                      <w:lang w:bidi="ar"/>
                    </w:rPr>
                    <w:t>、厂房隔声</w:t>
                  </w:r>
                  <w:r>
                    <w:rPr>
                      <w:rFonts w:hint="eastAsia"/>
                      <w:lang w:bidi="ar"/>
                    </w:rPr>
                    <w:t>、加消音器等措施</w:t>
                  </w:r>
                </w:p>
              </w:tc>
              <w:tc>
                <w:tcPr>
                  <w:tcW w:w="549" w:type="pct"/>
                  <w:vMerge w:val="continue"/>
                  <w:tcBorders>
                    <w:left w:val="single" w:color="auto" w:sz="4" w:space="0"/>
                    <w:right w:val="single" w:color="auto" w:sz="4" w:space="0"/>
                  </w:tcBorders>
                  <w:vAlign w:val="center"/>
                </w:tcPr>
                <w:p w14:paraId="3FD8E189">
                  <w:pPr>
                    <w:pStyle w:val="52"/>
                  </w:pPr>
                </w:p>
              </w:tc>
            </w:tr>
            <w:tr w14:paraId="7CFCC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06F69088">
                  <w:pPr>
                    <w:widowControl/>
                    <w:jc w:val="center"/>
                    <w:rPr>
                      <w:szCs w:val="21"/>
                    </w:rPr>
                  </w:pPr>
                </w:p>
              </w:tc>
              <w:tc>
                <w:tcPr>
                  <w:tcW w:w="218" w:type="pct"/>
                  <w:vMerge w:val="restart"/>
                  <w:tcBorders>
                    <w:top w:val="single" w:color="auto" w:sz="4" w:space="0"/>
                    <w:left w:val="single" w:color="auto" w:sz="4" w:space="0"/>
                    <w:bottom w:val="single" w:color="auto" w:sz="4" w:space="0"/>
                    <w:right w:val="single" w:color="auto" w:sz="4" w:space="0"/>
                  </w:tcBorders>
                  <w:vAlign w:val="center"/>
                </w:tcPr>
                <w:p w14:paraId="3C1367E1">
                  <w:pPr>
                    <w:pStyle w:val="52"/>
                  </w:pPr>
                  <w:r>
                    <w:rPr>
                      <w:rFonts w:hint="eastAsia"/>
                    </w:rPr>
                    <w:t>固体</w:t>
                  </w:r>
                </w:p>
                <w:p w14:paraId="4F84FE9A">
                  <w:pPr>
                    <w:pStyle w:val="52"/>
                  </w:pPr>
                  <w:r>
                    <w:rPr>
                      <w:rFonts w:hint="eastAsia"/>
                    </w:rPr>
                    <w:t>废物</w:t>
                  </w:r>
                </w:p>
              </w:tc>
              <w:tc>
                <w:tcPr>
                  <w:tcW w:w="598" w:type="pct"/>
                  <w:tcBorders>
                    <w:top w:val="single" w:color="auto" w:sz="4" w:space="0"/>
                    <w:left w:val="single" w:color="auto" w:sz="4" w:space="0"/>
                    <w:bottom w:val="single" w:color="auto" w:sz="4" w:space="0"/>
                    <w:right w:val="single" w:color="auto" w:sz="4" w:space="0"/>
                  </w:tcBorders>
                  <w:vAlign w:val="center"/>
                </w:tcPr>
                <w:p w14:paraId="3C2827F2">
                  <w:pPr>
                    <w:pStyle w:val="52"/>
                  </w:pPr>
                  <w:r>
                    <w:rPr>
                      <w:rFonts w:hint="eastAsia"/>
                    </w:rPr>
                    <w:t>生活垃圾</w:t>
                  </w:r>
                </w:p>
              </w:tc>
              <w:tc>
                <w:tcPr>
                  <w:tcW w:w="3367" w:type="pct"/>
                  <w:tcBorders>
                    <w:top w:val="single" w:color="auto" w:sz="4" w:space="0"/>
                    <w:left w:val="single" w:color="auto" w:sz="4" w:space="0"/>
                    <w:bottom w:val="single" w:color="auto" w:sz="4" w:space="0"/>
                    <w:right w:val="single" w:color="auto" w:sz="4" w:space="0"/>
                  </w:tcBorders>
                  <w:vAlign w:val="center"/>
                </w:tcPr>
                <w:p w14:paraId="6B914C1F">
                  <w:pPr>
                    <w:pStyle w:val="52"/>
                  </w:pPr>
                  <w:r>
                    <w:rPr>
                      <w:rFonts w:hint="eastAsia"/>
                    </w:rPr>
                    <w:t>厂区设封闭式垃圾箱，收集后由环卫部门统一处理。</w:t>
                  </w:r>
                </w:p>
              </w:tc>
              <w:tc>
                <w:tcPr>
                  <w:tcW w:w="549" w:type="pct"/>
                  <w:vMerge w:val="continue"/>
                  <w:tcBorders>
                    <w:left w:val="single" w:color="auto" w:sz="4" w:space="0"/>
                    <w:right w:val="single" w:color="auto" w:sz="4" w:space="0"/>
                  </w:tcBorders>
                  <w:vAlign w:val="center"/>
                </w:tcPr>
                <w:p w14:paraId="40223FF7">
                  <w:pPr>
                    <w:pStyle w:val="52"/>
                  </w:pPr>
                </w:p>
              </w:tc>
            </w:tr>
            <w:tr w14:paraId="2490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085A685E">
                  <w:pPr>
                    <w:widowControl/>
                    <w:jc w:val="center"/>
                    <w:rPr>
                      <w:szCs w:val="21"/>
                    </w:rPr>
                  </w:pPr>
                </w:p>
              </w:tc>
              <w:tc>
                <w:tcPr>
                  <w:tcW w:w="218" w:type="pct"/>
                  <w:vMerge w:val="continue"/>
                  <w:tcBorders>
                    <w:top w:val="single" w:color="auto" w:sz="4" w:space="0"/>
                    <w:left w:val="single" w:color="auto" w:sz="4" w:space="0"/>
                    <w:bottom w:val="single" w:color="auto" w:sz="4" w:space="0"/>
                    <w:right w:val="single" w:color="auto" w:sz="4" w:space="0"/>
                  </w:tcBorders>
                  <w:vAlign w:val="center"/>
                </w:tcPr>
                <w:p w14:paraId="0F62A0EA">
                  <w:pPr>
                    <w:widowControl/>
                    <w:jc w:val="center"/>
                    <w:rPr>
                      <w:szCs w:val="21"/>
                    </w:rPr>
                  </w:pPr>
                </w:p>
              </w:tc>
              <w:tc>
                <w:tcPr>
                  <w:tcW w:w="598" w:type="pct"/>
                  <w:tcBorders>
                    <w:top w:val="single" w:color="auto" w:sz="4" w:space="0"/>
                    <w:left w:val="single" w:color="auto" w:sz="4" w:space="0"/>
                    <w:bottom w:val="single" w:color="auto" w:sz="4" w:space="0"/>
                    <w:right w:val="single" w:color="auto" w:sz="4" w:space="0"/>
                  </w:tcBorders>
                  <w:vAlign w:val="center"/>
                </w:tcPr>
                <w:p w14:paraId="55C3DE6A">
                  <w:pPr>
                    <w:pStyle w:val="55"/>
                  </w:pPr>
                  <w:r>
                    <w:rPr>
                      <w:rFonts w:hint="eastAsia"/>
                    </w:rPr>
                    <w:t>除尘灰</w:t>
                  </w:r>
                </w:p>
              </w:tc>
              <w:tc>
                <w:tcPr>
                  <w:tcW w:w="3367" w:type="pct"/>
                  <w:tcBorders>
                    <w:top w:val="single" w:color="auto" w:sz="4" w:space="0"/>
                    <w:left w:val="single" w:color="auto" w:sz="4" w:space="0"/>
                    <w:bottom w:val="single" w:color="auto" w:sz="4" w:space="0"/>
                    <w:right w:val="single" w:color="auto" w:sz="4" w:space="0"/>
                  </w:tcBorders>
                  <w:vAlign w:val="center"/>
                </w:tcPr>
                <w:p w14:paraId="56386531">
                  <w:pPr>
                    <w:pStyle w:val="55"/>
                  </w:pPr>
                  <w:r>
                    <w:rPr>
                      <w:rFonts w:hint="eastAsia"/>
                    </w:rPr>
                    <w:t>除尘灰定期收集后回用于各自产品生产。</w:t>
                  </w:r>
                </w:p>
              </w:tc>
              <w:tc>
                <w:tcPr>
                  <w:tcW w:w="549" w:type="pct"/>
                  <w:vMerge w:val="continue"/>
                  <w:tcBorders>
                    <w:left w:val="single" w:color="auto" w:sz="4" w:space="0"/>
                    <w:right w:val="single" w:color="auto" w:sz="4" w:space="0"/>
                  </w:tcBorders>
                  <w:vAlign w:val="center"/>
                </w:tcPr>
                <w:p w14:paraId="4C8EFD17">
                  <w:pPr>
                    <w:pStyle w:val="55"/>
                  </w:pPr>
                </w:p>
              </w:tc>
            </w:tr>
            <w:tr w14:paraId="5036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4ACB970B">
                  <w:pPr>
                    <w:widowControl/>
                    <w:jc w:val="center"/>
                    <w:rPr>
                      <w:szCs w:val="21"/>
                    </w:rPr>
                  </w:pPr>
                </w:p>
              </w:tc>
              <w:tc>
                <w:tcPr>
                  <w:tcW w:w="218" w:type="pct"/>
                  <w:vMerge w:val="continue"/>
                  <w:tcBorders>
                    <w:top w:val="single" w:color="auto" w:sz="4" w:space="0"/>
                    <w:left w:val="single" w:color="auto" w:sz="4" w:space="0"/>
                    <w:bottom w:val="single" w:color="auto" w:sz="4" w:space="0"/>
                    <w:right w:val="single" w:color="auto" w:sz="4" w:space="0"/>
                  </w:tcBorders>
                  <w:vAlign w:val="center"/>
                </w:tcPr>
                <w:p w14:paraId="7F6E6060">
                  <w:pPr>
                    <w:widowControl/>
                    <w:jc w:val="center"/>
                    <w:rPr>
                      <w:szCs w:val="21"/>
                    </w:rPr>
                  </w:pPr>
                </w:p>
              </w:tc>
              <w:tc>
                <w:tcPr>
                  <w:tcW w:w="598" w:type="pct"/>
                  <w:tcBorders>
                    <w:top w:val="single" w:color="auto" w:sz="4" w:space="0"/>
                    <w:left w:val="single" w:color="auto" w:sz="4" w:space="0"/>
                    <w:bottom w:val="single" w:color="auto" w:sz="4" w:space="0"/>
                    <w:right w:val="single" w:color="auto" w:sz="4" w:space="0"/>
                  </w:tcBorders>
                  <w:vAlign w:val="center"/>
                </w:tcPr>
                <w:p w14:paraId="48744BD8">
                  <w:pPr>
                    <w:jc w:val="center"/>
                  </w:pPr>
                  <w:r>
                    <w:rPr>
                      <w:rFonts w:hint="eastAsia"/>
                    </w:rPr>
                    <w:t>底泥</w:t>
                  </w:r>
                </w:p>
              </w:tc>
              <w:tc>
                <w:tcPr>
                  <w:tcW w:w="3367" w:type="pct"/>
                  <w:tcBorders>
                    <w:top w:val="single" w:color="auto" w:sz="4" w:space="0"/>
                    <w:left w:val="single" w:color="auto" w:sz="4" w:space="0"/>
                    <w:bottom w:val="single" w:color="auto" w:sz="4" w:space="0"/>
                    <w:right w:val="single" w:color="auto" w:sz="4" w:space="0"/>
                  </w:tcBorders>
                  <w:vAlign w:val="center"/>
                </w:tcPr>
                <w:p w14:paraId="308E78CF">
                  <w:pPr>
                    <w:pStyle w:val="52"/>
                  </w:pPr>
                  <w:r>
                    <w:rPr>
                      <w:rFonts w:hint="eastAsia"/>
                    </w:rPr>
                    <w:t>底泥定期清理，晾干后外售。</w:t>
                  </w:r>
                </w:p>
              </w:tc>
              <w:tc>
                <w:tcPr>
                  <w:tcW w:w="549" w:type="pct"/>
                  <w:vMerge w:val="continue"/>
                  <w:tcBorders>
                    <w:left w:val="single" w:color="auto" w:sz="4" w:space="0"/>
                    <w:right w:val="single" w:color="auto" w:sz="4" w:space="0"/>
                  </w:tcBorders>
                  <w:vAlign w:val="center"/>
                </w:tcPr>
                <w:p w14:paraId="64BD60C8">
                  <w:pPr>
                    <w:pStyle w:val="52"/>
                  </w:pPr>
                </w:p>
              </w:tc>
            </w:tr>
            <w:tr w14:paraId="1F07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623E8C32">
                  <w:pPr>
                    <w:widowControl/>
                    <w:jc w:val="center"/>
                    <w:rPr>
                      <w:szCs w:val="21"/>
                    </w:rPr>
                  </w:pPr>
                </w:p>
              </w:tc>
              <w:tc>
                <w:tcPr>
                  <w:tcW w:w="218" w:type="pct"/>
                  <w:vMerge w:val="continue"/>
                  <w:tcBorders>
                    <w:top w:val="single" w:color="auto" w:sz="4" w:space="0"/>
                    <w:left w:val="single" w:color="auto" w:sz="4" w:space="0"/>
                    <w:bottom w:val="single" w:color="auto" w:sz="4" w:space="0"/>
                    <w:right w:val="single" w:color="auto" w:sz="4" w:space="0"/>
                  </w:tcBorders>
                  <w:vAlign w:val="center"/>
                </w:tcPr>
                <w:p w14:paraId="14955294">
                  <w:pPr>
                    <w:widowControl/>
                    <w:jc w:val="center"/>
                    <w:rPr>
                      <w:szCs w:val="21"/>
                    </w:rPr>
                  </w:pPr>
                </w:p>
              </w:tc>
              <w:tc>
                <w:tcPr>
                  <w:tcW w:w="598" w:type="pct"/>
                  <w:tcBorders>
                    <w:top w:val="single" w:color="auto" w:sz="4" w:space="0"/>
                    <w:left w:val="single" w:color="auto" w:sz="4" w:space="0"/>
                    <w:bottom w:val="single" w:color="auto" w:sz="4" w:space="0"/>
                    <w:right w:val="single" w:color="auto" w:sz="4" w:space="0"/>
                  </w:tcBorders>
                  <w:vAlign w:val="center"/>
                </w:tcPr>
                <w:p w14:paraId="3F8DA745">
                  <w:pPr>
                    <w:pStyle w:val="52"/>
                  </w:pPr>
                  <w:r>
                    <w:rPr>
                      <w:rFonts w:hint="eastAsia"/>
                    </w:rPr>
                    <w:t>危险废物</w:t>
                  </w:r>
                </w:p>
              </w:tc>
              <w:tc>
                <w:tcPr>
                  <w:tcW w:w="3367" w:type="pct"/>
                  <w:tcBorders>
                    <w:top w:val="single" w:color="auto" w:sz="4" w:space="0"/>
                    <w:left w:val="single" w:color="auto" w:sz="4" w:space="0"/>
                    <w:bottom w:val="single" w:color="auto" w:sz="4" w:space="0"/>
                    <w:right w:val="single" w:color="auto" w:sz="4" w:space="0"/>
                  </w:tcBorders>
                  <w:vAlign w:val="center"/>
                </w:tcPr>
                <w:p w14:paraId="3856E20D">
                  <w:pPr>
                    <w:pStyle w:val="52"/>
                  </w:pPr>
                  <w:r>
                    <w:rPr>
                      <w:rFonts w:hint="eastAsia"/>
                    </w:rPr>
                    <w:t>建设一座10m</w:t>
                  </w:r>
                  <w:r>
                    <w:rPr>
                      <w:rFonts w:hint="eastAsia"/>
                      <w:vertAlign w:val="superscript"/>
                    </w:rPr>
                    <w:t>2</w:t>
                  </w:r>
                  <w:r>
                    <w:rPr>
                      <w:rFonts w:hint="eastAsia"/>
                    </w:rPr>
                    <w:t>危废贮存点，本项目产生的废机油、废油桶等暂存于危废贮存点暂存，定期交由资质单位处理</w:t>
                  </w:r>
                </w:p>
              </w:tc>
              <w:tc>
                <w:tcPr>
                  <w:tcW w:w="549" w:type="pct"/>
                  <w:vMerge w:val="continue"/>
                  <w:tcBorders>
                    <w:left w:val="single" w:color="auto" w:sz="4" w:space="0"/>
                    <w:right w:val="single" w:color="auto" w:sz="4" w:space="0"/>
                  </w:tcBorders>
                  <w:vAlign w:val="center"/>
                </w:tcPr>
                <w:p w14:paraId="782ADA58">
                  <w:pPr>
                    <w:pStyle w:val="52"/>
                  </w:pPr>
                </w:p>
              </w:tc>
            </w:tr>
            <w:tr w14:paraId="511F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14:paraId="7A5677D4">
                  <w:pPr>
                    <w:widowControl/>
                    <w:jc w:val="center"/>
                    <w:rPr>
                      <w:szCs w:val="21"/>
                    </w:rPr>
                  </w:pPr>
                </w:p>
              </w:tc>
              <w:tc>
                <w:tcPr>
                  <w:tcW w:w="816" w:type="pct"/>
                  <w:gridSpan w:val="2"/>
                  <w:tcBorders>
                    <w:top w:val="single" w:color="auto" w:sz="4" w:space="0"/>
                    <w:left w:val="single" w:color="auto" w:sz="4" w:space="0"/>
                    <w:bottom w:val="single" w:color="auto" w:sz="4" w:space="0"/>
                    <w:right w:val="single" w:color="auto" w:sz="4" w:space="0"/>
                  </w:tcBorders>
                  <w:vAlign w:val="center"/>
                </w:tcPr>
                <w:p w14:paraId="62400B3B">
                  <w:pPr>
                    <w:pStyle w:val="52"/>
                  </w:pPr>
                  <w:r>
                    <w:rPr>
                      <w:rFonts w:hint="eastAsia"/>
                    </w:rPr>
                    <w:t>硬化及绿化</w:t>
                  </w:r>
                </w:p>
              </w:tc>
              <w:tc>
                <w:tcPr>
                  <w:tcW w:w="3367" w:type="pct"/>
                  <w:tcBorders>
                    <w:top w:val="single" w:color="auto" w:sz="4" w:space="0"/>
                    <w:left w:val="single" w:color="auto" w:sz="4" w:space="0"/>
                    <w:bottom w:val="single" w:color="auto" w:sz="4" w:space="0"/>
                    <w:right w:val="single" w:color="auto" w:sz="4" w:space="0"/>
                  </w:tcBorders>
                  <w:vAlign w:val="center"/>
                </w:tcPr>
                <w:p w14:paraId="4DFBC327">
                  <w:pPr>
                    <w:pStyle w:val="52"/>
                  </w:pPr>
                  <w:r>
                    <w:rPr>
                      <w:rFonts w:hint="eastAsia"/>
                    </w:rPr>
                    <w:t>厂房范围内硬化，无裸露地表，厂区空地及进厂道路两侧布置绿化，起到美化及防污的作用。</w:t>
                  </w:r>
                </w:p>
              </w:tc>
              <w:tc>
                <w:tcPr>
                  <w:tcW w:w="549" w:type="pct"/>
                  <w:vMerge w:val="continue"/>
                  <w:tcBorders>
                    <w:left w:val="single" w:color="auto" w:sz="4" w:space="0"/>
                    <w:bottom w:val="single" w:color="auto" w:sz="4" w:space="0"/>
                    <w:right w:val="single" w:color="auto" w:sz="4" w:space="0"/>
                  </w:tcBorders>
                  <w:vAlign w:val="center"/>
                </w:tcPr>
                <w:p w14:paraId="4E7A9E83">
                  <w:pPr>
                    <w:pStyle w:val="52"/>
                  </w:pPr>
                </w:p>
              </w:tc>
            </w:tr>
            <w:bookmarkEnd w:id="23"/>
            <w:bookmarkEnd w:id="25"/>
          </w:tbl>
          <w:p w14:paraId="4E9F5010">
            <w:pPr>
              <w:pStyle w:val="91"/>
            </w:pPr>
            <w:r>
              <w:rPr>
                <w:rFonts w:hint="eastAsia"/>
              </w:rPr>
              <w:t>二、主要产品方案</w:t>
            </w:r>
          </w:p>
          <w:p w14:paraId="50CF62D5">
            <w:pPr>
              <w:pStyle w:val="72"/>
              <w:spacing w:line="400" w:lineRule="exact"/>
              <w:ind w:firstLine="480"/>
              <w:rPr>
                <w:lang w:val="en-US"/>
              </w:rPr>
            </w:pPr>
            <w:r>
              <w:rPr>
                <w:rFonts w:hint="eastAsia"/>
                <w:sz w:val="24"/>
                <w:szCs w:val="22"/>
              </w:rPr>
              <w:t>本项目生产干混砂浆产品5万吨/年，全部外售。主要产品方案见下表。</w:t>
            </w:r>
          </w:p>
          <w:p w14:paraId="3F0F6A3C">
            <w:pPr>
              <w:pStyle w:val="45"/>
              <w:rPr>
                <w:rFonts w:ascii="Times New Roman" w:hAnsi="Times New Roman"/>
                <w:sz w:val="24"/>
                <w:szCs w:val="24"/>
              </w:rPr>
            </w:pPr>
            <w:r>
              <w:rPr>
                <w:rFonts w:hint="eastAsia" w:ascii="Times New Roman" w:hAnsi="Times New Roman"/>
                <w:sz w:val="24"/>
                <w:szCs w:val="24"/>
              </w:rPr>
              <w:t>表2-2  本项目产品方案表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16"/>
              <w:gridCol w:w="1841"/>
              <w:gridCol w:w="3033"/>
              <w:gridCol w:w="1220"/>
              <w:gridCol w:w="1654"/>
            </w:tblGrid>
            <w:tr w14:paraId="16B3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2" w:type="pct"/>
                  <w:tcBorders>
                    <w:top w:val="single" w:color="auto" w:sz="4" w:space="0"/>
                    <w:left w:val="single" w:color="auto" w:sz="4" w:space="0"/>
                    <w:bottom w:val="single" w:color="auto" w:sz="4" w:space="0"/>
                    <w:right w:val="single" w:color="auto" w:sz="4" w:space="0"/>
                  </w:tcBorders>
                  <w:vAlign w:val="center"/>
                </w:tcPr>
                <w:p w14:paraId="4D6B4601">
                  <w:pPr>
                    <w:pStyle w:val="52"/>
                  </w:pPr>
                  <w:r>
                    <w:rPr>
                      <w:rFonts w:hint="eastAsia"/>
                    </w:rPr>
                    <w:t>序号</w:t>
                  </w:r>
                </w:p>
              </w:tc>
              <w:tc>
                <w:tcPr>
                  <w:tcW w:w="1114" w:type="pct"/>
                  <w:tcBorders>
                    <w:top w:val="single" w:color="auto" w:sz="4" w:space="0"/>
                    <w:left w:val="single" w:color="auto" w:sz="4" w:space="0"/>
                    <w:bottom w:val="single" w:color="auto" w:sz="4" w:space="0"/>
                    <w:right w:val="single" w:color="auto" w:sz="4" w:space="0"/>
                  </w:tcBorders>
                  <w:vAlign w:val="center"/>
                </w:tcPr>
                <w:p w14:paraId="276975C6">
                  <w:pPr>
                    <w:pStyle w:val="52"/>
                  </w:pPr>
                  <w:r>
                    <w:rPr>
                      <w:rFonts w:hint="eastAsia"/>
                    </w:rPr>
                    <w:t>主要产品种类</w:t>
                  </w:r>
                </w:p>
              </w:tc>
              <w:tc>
                <w:tcPr>
                  <w:tcW w:w="1835" w:type="pct"/>
                  <w:tcBorders>
                    <w:top w:val="single" w:color="auto" w:sz="4" w:space="0"/>
                    <w:left w:val="single" w:color="auto" w:sz="4" w:space="0"/>
                    <w:bottom w:val="single" w:color="auto" w:sz="4" w:space="0"/>
                    <w:right w:val="single" w:color="auto" w:sz="4" w:space="0"/>
                  </w:tcBorders>
                  <w:vAlign w:val="center"/>
                </w:tcPr>
                <w:p w14:paraId="13D7E581">
                  <w:pPr>
                    <w:pStyle w:val="52"/>
                  </w:pPr>
                  <w:r>
                    <w:rPr>
                      <w:rFonts w:hint="eastAsia"/>
                    </w:rPr>
                    <w:t>产品标准</w:t>
                  </w:r>
                </w:p>
              </w:tc>
              <w:tc>
                <w:tcPr>
                  <w:tcW w:w="738" w:type="pct"/>
                  <w:vAlign w:val="center"/>
                </w:tcPr>
                <w:p w14:paraId="5C8C3EA8">
                  <w:pPr>
                    <w:pStyle w:val="52"/>
                  </w:pPr>
                  <w:r>
                    <w:rPr>
                      <w:rFonts w:hint="eastAsia"/>
                    </w:rPr>
                    <w:t>指标要求</w:t>
                  </w:r>
                </w:p>
              </w:tc>
              <w:tc>
                <w:tcPr>
                  <w:tcW w:w="1001" w:type="pct"/>
                  <w:tcBorders>
                    <w:top w:val="single" w:color="auto" w:sz="4" w:space="0"/>
                    <w:left w:val="single" w:color="auto" w:sz="4" w:space="0"/>
                    <w:bottom w:val="single" w:color="auto" w:sz="4" w:space="0"/>
                    <w:right w:val="single" w:color="auto" w:sz="4" w:space="0"/>
                  </w:tcBorders>
                  <w:vAlign w:val="center"/>
                </w:tcPr>
                <w:p w14:paraId="0B4CA719">
                  <w:pPr>
                    <w:pStyle w:val="52"/>
                  </w:pPr>
                  <w:r>
                    <w:rPr>
                      <w:rFonts w:hint="eastAsia"/>
                    </w:rPr>
                    <w:t>年产量（万吨）</w:t>
                  </w:r>
                </w:p>
              </w:tc>
            </w:tr>
            <w:tr w14:paraId="217E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2" w:type="pct"/>
                  <w:tcBorders>
                    <w:top w:val="single" w:color="auto" w:sz="4" w:space="0"/>
                    <w:left w:val="single" w:color="auto" w:sz="4" w:space="0"/>
                    <w:bottom w:val="single" w:color="auto" w:sz="4" w:space="0"/>
                    <w:right w:val="single" w:color="auto" w:sz="4" w:space="0"/>
                  </w:tcBorders>
                  <w:vAlign w:val="center"/>
                </w:tcPr>
                <w:p w14:paraId="729590B1">
                  <w:pPr>
                    <w:pStyle w:val="52"/>
                  </w:pPr>
                  <w:r>
                    <w:rPr>
                      <w:rFonts w:hint="eastAsia"/>
                    </w:rPr>
                    <w:t>1</w:t>
                  </w:r>
                </w:p>
              </w:tc>
              <w:tc>
                <w:tcPr>
                  <w:tcW w:w="1114" w:type="pct"/>
                  <w:tcBorders>
                    <w:top w:val="single" w:color="auto" w:sz="4" w:space="0"/>
                    <w:left w:val="single" w:color="auto" w:sz="4" w:space="0"/>
                    <w:bottom w:val="single" w:color="auto" w:sz="4" w:space="0"/>
                    <w:right w:val="single" w:color="auto" w:sz="4" w:space="0"/>
                  </w:tcBorders>
                  <w:vAlign w:val="center"/>
                </w:tcPr>
                <w:p w14:paraId="6EDCDAEC">
                  <w:pPr>
                    <w:pStyle w:val="52"/>
                  </w:pPr>
                  <w:r>
                    <w:rPr>
                      <w:rFonts w:hint="eastAsia"/>
                    </w:rPr>
                    <w:t>矿用喷射干粉砂浆</w:t>
                  </w:r>
                </w:p>
              </w:tc>
              <w:tc>
                <w:tcPr>
                  <w:tcW w:w="1835" w:type="pct"/>
                  <w:vMerge w:val="restart"/>
                  <w:tcBorders>
                    <w:top w:val="single" w:color="auto" w:sz="4" w:space="0"/>
                    <w:left w:val="single" w:color="auto" w:sz="4" w:space="0"/>
                    <w:right w:val="single" w:color="auto" w:sz="4" w:space="0"/>
                  </w:tcBorders>
                  <w:vAlign w:val="center"/>
                </w:tcPr>
                <w:p w14:paraId="29C77D0E">
                  <w:pPr>
                    <w:pStyle w:val="52"/>
                  </w:pPr>
                  <w:bookmarkStart w:id="30" w:name="OLE_LINK38"/>
                  <w:r>
                    <w:rPr>
                      <w:rFonts w:hint="eastAsia"/>
                    </w:rPr>
                    <w:t>《</w:t>
                  </w:r>
                  <w:r>
                    <w:t>GB/T 25181-2019</w:t>
                  </w:r>
                  <w:r>
                    <w:rPr>
                      <w:rFonts w:hint="eastAsia"/>
                    </w:rPr>
                    <w:t>预拌砂浆》</w:t>
                  </w:r>
                  <w:bookmarkEnd w:id="30"/>
                </w:p>
              </w:tc>
              <w:tc>
                <w:tcPr>
                  <w:tcW w:w="738" w:type="pct"/>
                  <w:vMerge w:val="restart"/>
                  <w:vAlign w:val="center"/>
                </w:tcPr>
                <w:p w14:paraId="65155C86">
                  <w:pPr>
                    <w:pStyle w:val="52"/>
                  </w:pPr>
                  <w:r>
                    <w:rPr>
                      <w:rFonts w:hint="eastAsia"/>
                    </w:rPr>
                    <w:t>强度等级M</w:t>
                  </w:r>
                  <w:r>
                    <w:rPr>
                      <w:rFonts w:hint="eastAsia"/>
                      <w:vertAlign w:val="subscript"/>
                    </w:rPr>
                    <w:t>5</w:t>
                  </w:r>
                  <w:r>
                    <w:rPr>
                      <w:rFonts w:hint="eastAsia"/>
                    </w:rPr>
                    <w:t>-M</w:t>
                  </w:r>
                  <w:r>
                    <w:rPr>
                      <w:rFonts w:hint="eastAsia"/>
                      <w:vertAlign w:val="subscript"/>
                    </w:rPr>
                    <w:t>10</w:t>
                  </w:r>
                </w:p>
              </w:tc>
              <w:tc>
                <w:tcPr>
                  <w:tcW w:w="1001" w:type="pct"/>
                  <w:tcBorders>
                    <w:top w:val="single" w:color="auto" w:sz="4" w:space="0"/>
                    <w:left w:val="single" w:color="auto" w:sz="4" w:space="0"/>
                    <w:bottom w:val="single" w:color="auto" w:sz="4" w:space="0"/>
                    <w:right w:val="single" w:color="auto" w:sz="4" w:space="0"/>
                  </w:tcBorders>
                  <w:vAlign w:val="center"/>
                </w:tcPr>
                <w:p w14:paraId="7F8B63BB">
                  <w:pPr>
                    <w:pStyle w:val="52"/>
                  </w:pPr>
                  <w:r>
                    <w:rPr>
                      <w:rFonts w:hint="eastAsia"/>
                    </w:rPr>
                    <w:t>2</w:t>
                  </w:r>
                </w:p>
              </w:tc>
            </w:tr>
            <w:tr w14:paraId="39C1B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2" w:type="pct"/>
                  <w:tcBorders>
                    <w:top w:val="single" w:color="auto" w:sz="4" w:space="0"/>
                    <w:left w:val="single" w:color="auto" w:sz="4" w:space="0"/>
                    <w:bottom w:val="single" w:color="auto" w:sz="4" w:space="0"/>
                    <w:right w:val="single" w:color="auto" w:sz="4" w:space="0"/>
                  </w:tcBorders>
                  <w:vAlign w:val="center"/>
                </w:tcPr>
                <w:p w14:paraId="7A22B0EC">
                  <w:pPr>
                    <w:pStyle w:val="52"/>
                  </w:pPr>
                  <w:r>
                    <w:rPr>
                      <w:rFonts w:hint="eastAsia"/>
                    </w:rPr>
                    <w:t>2</w:t>
                  </w:r>
                </w:p>
              </w:tc>
              <w:tc>
                <w:tcPr>
                  <w:tcW w:w="1114" w:type="pct"/>
                  <w:tcBorders>
                    <w:top w:val="single" w:color="auto" w:sz="4" w:space="0"/>
                    <w:left w:val="single" w:color="auto" w:sz="4" w:space="0"/>
                    <w:bottom w:val="single" w:color="auto" w:sz="4" w:space="0"/>
                    <w:right w:val="single" w:color="auto" w:sz="4" w:space="0"/>
                  </w:tcBorders>
                  <w:vAlign w:val="center"/>
                </w:tcPr>
                <w:p w14:paraId="1FEA5103">
                  <w:pPr>
                    <w:pStyle w:val="52"/>
                  </w:pPr>
                  <w:r>
                    <w:rPr>
                      <w:rFonts w:hint="eastAsia"/>
                    </w:rPr>
                    <w:t>砌筑砂浆</w:t>
                  </w:r>
                </w:p>
              </w:tc>
              <w:tc>
                <w:tcPr>
                  <w:tcW w:w="1835" w:type="pct"/>
                  <w:vMerge w:val="continue"/>
                  <w:tcBorders>
                    <w:left w:val="single" w:color="auto" w:sz="4" w:space="0"/>
                    <w:right w:val="single" w:color="auto" w:sz="4" w:space="0"/>
                  </w:tcBorders>
                  <w:vAlign w:val="center"/>
                </w:tcPr>
                <w:p w14:paraId="7B329C8E">
                  <w:pPr>
                    <w:pStyle w:val="52"/>
                  </w:pPr>
                </w:p>
              </w:tc>
              <w:tc>
                <w:tcPr>
                  <w:tcW w:w="738" w:type="pct"/>
                  <w:vMerge w:val="continue"/>
                  <w:vAlign w:val="center"/>
                </w:tcPr>
                <w:p w14:paraId="5FACE3D4">
                  <w:pPr>
                    <w:pStyle w:val="52"/>
                  </w:pPr>
                </w:p>
              </w:tc>
              <w:tc>
                <w:tcPr>
                  <w:tcW w:w="1001" w:type="pct"/>
                  <w:tcBorders>
                    <w:top w:val="single" w:color="auto" w:sz="4" w:space="0"/>
                    <w:left w:val="single" w:color="auto" w:sz="4" w:space="0"/>
                    <w:bottom w:val="single" w:color="auto" w:sz="4" w:space="0"/>
                    <w:right w:val="single" w:color="auto" w:sz="4" w:space="0"/>
                  </w:tcBorders>
                  <w:vAlign w:val="center"/>
                </w:tcPr>
                <w:p w14:paraId="06AD19C1">
                  <w:pPr>
                    <w:pStyle w:val="52"/>
                  </w:pPr>
                  <w:r>
                    <w:rPr>
                      <w:rFonts w:hint="eastAsia"/>
                    </w:rPr>
                    <w:t>1</w:t>
                  </w:r>
                </w:p>
              </w:tc>
            </w:tr>
            <w:tr w14:paraId="0F90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2" w:type="pct"/>
                  <w:tcBorders>
                    <w:top w:val="single" w:color="auto" w:sz="4" w:space="0"/>
                    <w:left w:val="single" w:color="auto" w:sz="4" w:space="0"/>
                    <w:bottom w:val="single" w:color="auto" w:sz="4" w:space="0"/>
                    <w:right w:val="single" w:color="auto" w:sz="4" w:space="0"/>
                  </w:tcBorders>
                  <w:vAlign w:val="center"/>
                </w:tcPr>
                <w:p w14:paraId="588FE723">
                  <w:pPr>
                    <w:pStyle w:val="52"/>
                  </w:pPr>
                  <w:r>
                    <w:rPr>
                      <w:rFonts w:hint="eastAsia"/>
                    </w:rPr>
                    <w:t>3</w:t>
                  </w:r>
                </w:p>
              </w:tc>
              <w:tc>
                <w:tcPr>
                  <w:tcW w:w="1114" w:type="pct"/>
                  <w:tcBorders>
                    <w:top w:val="single" w:color="auto" w:sz="4" w:space="0"/>
                    <w:left w:val="single" w:color="auto" w:sz="4" w:space="0"/>
                    <w:bottom w:val="single" w:color="auto" w:sz="4" w:space="0"/>
                    <w:right w:val="single" w:color="auto" w:sz="4" w:space="0"/>
                  </w:tcBorders>
                  <w:vAlign w:val="center"/>
                </w:tcPr>
                <w:p w14:paraId="23A30B6C">
                  <w:pPr>
                    <w:pStyle w:val="52"/>
                  </w:pPr>
                  <w:r>
                    <w:rPr>
                      <w:rFonts w:hint="eastAsia"/>
                    </w:rPr>
                    <w:t>抹面砂浆</w:t>
                  </w:r>
                </w:p>
              </w:tc>
              <w:tc>
                <w:tcPr>
                  <w:tcW w:w="1835" w:type="pct"/>
                  <w:vMerge w:val="continue"/>
                  <w:tcBorders>
                    <w:left w:val="single" w:color="auto" w:sz="4" w:space="0"/>
                    <w:right w:val="single" w:color="auto" w:sz="4" w:space="0"/>
                  </w:tcBorders>
                  <w:vAlign w:val="center"/>
                </w:tcPr>
                <w:p w14:paraId="40FA02AE">
                  <w:pPr>
                    <w:pStyle w:val="52"/>
                  </w:pPr>
                </w:p>
              </w:tc>
              <w:tc>
                <w:tcPr>
                  <w:tcW w:w="738" w:type="pct"/>
                  <w:vMerge w:val="continue"/>
                  <w:vAlign w:val="center"/>
                </w:tcPr>
                <w:p w14:paraId="52459BE3">
                  <w:pPr>
                    <w:pStyle w:val="52"/>
                  </w:pPr>
                </w:p>
              </w:tc>
              <w:tc>
                <w:tcPr>
                  <w:tcW w:w="1001" w:type="pct"/>
                  <w:tcBorders>
                    <w:top w:val="single" w:color="auto" w:sz="4" w:space="0"/>
                    <w:left w:val="single" w:color="auto" w:sz="4" w:space="0"/>
                    <w:bottom w:val="single" w:color="auto" w:sz="4" w:space="0"/>
                    <w:right w:val="single" w:color="auto" w:sz="4" w:space="0"/>
                  </w:tcBorders>
                  <w:vAlign w:val="center"/>
                </w:tcPr>
                <w:p w14:paraId="537A22AA">
                  <w:pPr>
                    <w:pStyle w:val="52"/>
                  </w:pPr>
                  <w:r>
                    <w:rPr>
                      <w:rFonts w:hint="eastAsia"/>
                    </w:rPr>
                    <w:t>1</w:t>
                  </w:r>
                </w:p>
              </w:tc>
            </w:tr>
            <w:tr w14:paraId="693F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2" w:type="pct"/>
                  <w:tcBorders>
                    <w:top w:val="single" w:color="auto" w:sz="4" w:space="0"/>
                    <w:left w:val="single" w:color="auto" w:sz="4" w:space="0"/>
                    <w:bottom w:val="single" w:color="auto" w:sz="4" w:space="0"/>
                    <w:right w:val="single" w:color="auto" w:sz="4" w:space="0"/>
                  </w:tcBorders>
                  <w:vAlign w:val="center"/>
                </w:tcPr>
                <w:p w14:paraId="3C57F8A4">
                  <w:pPr>
                    <w:pStyle w:val="52"/>
                  </w:pPr>
                  <w:r>
                    <w:rPr>
                      <w:rFonts w:hint="eastAsia"/>
                    </w:rPr>
                    <w:t>4</w:t>
                  </w:r>
                </w:p>
              </w:tc>
              <w:tc>
                <w:tcPr>
                  <w:tcW w:w="1114" w:type="pct"/>
                  <w:tcBorders>
                    <w:top w:val="single" w:color="auto" w:sz="4" w:space="0"/>
                    <w:left w:val="single" w:color="auto" w:sz="4" w:space="0"/>
                    <w:bottom w:val="single" w:color="auto" w:sz="4" w:space="0"/>
                    <w:right w:val="single" w:color="auto" w:sz="4" w:space="0"/>
                  </w:tcBorders>
                  <w:vAlign w:val="center"/>
                </w:tcPr>
                <w:p w14:paraId="15EA9155">
                  <w:pPr>
                    <w:pStyle w:val="52"/>
                  </w:pPr>
                  <w:r>
                    <w:rPr>
                      <w:rFonts w:hint="eastAsia"/>
                    </w:rPr>
                    <w:t>特定砂浆</w:t>
                  </w:r>
                </w:p>
              </w:tc>
              <w:tc>
                <w:tcPr>
                  <w:tcW w:w="1835" w:type="pct"/>
                  <w:vMerge w:val="continue"/>
                  <w:tcBorders>
                    <w:left w:val="single" w:color="auto" w:sz="4" w:space="0"/>
                    <w:right w:val="single" w:color="auto" w:sz="4" w:space="0"/>
                  </w:tcBorders>
                  <w:vAlign w:val="center"/>
                </w:tcPr>
                <w:p w14:paraId="62D636FA">
                  <w:pPr>
                    <w:pStyle w:val="52"/>
                  </w:pPr>
                </w:p>
              </w:tc>
              <w:tc>
                <w:tcPr>
                  <w:tcW w:w="738" w:type="pct"/>
                  <w:vMerge w:val="continue"/>
                  <w:vAlign w:val="center"/>
                </w:tcPr>
                <w:p w14:paraId="4F081180">
                  <w:pPr>
                    <w:pStyle w:val="52"/>
                  </w:pPr>
                </w:p>
              </w:tc>
              <w:tc>
                <w:tcPr>
                  <w:tcW w:w="1001" w:type="pct"/>
                  <w:tcBorders>
                    <w:top w:val="single" w:color="auto" w:sz="4" w:space="0"/>
                    <w:left w:val="single" w:color="auto" w:sz="4" w:space="0"/>
                    <w:bottom w:val="single" w:color="auto" w:sz="4" w:space="0"/>
                    <w:right w:val="single" w:color="auto" w:sz="4" w:space="0"/>
                  </w:tcBorders>
                  <w:vAlign w:val="center"/>
                </w:tcPr>
                <w:p w14:paraId="03943EEF">
                  <w:pPr>
                    <w:pStyle w:val="52"/>
                  </w:pPr>
                  <w:r>
                    <w:rPr>
                      <w:rFonts w:hint="eastAsia"/>
                    </w:rPr>
                    <w:t>1</w:t>
                  </w:r>
                </w:p>
              </w:tc>
            </w:tr>
          </w:tbl>
          <w:p w14:paraId="32B19B30">
            <w:pPr>
              <w:pStyle w:val="91"/>
              <w:spacing w:before="0" w:after="0" w:line="440" w:lineRule="exact"/>
            </w:pPr>
            <w:r>
              <w:rPr>
                <w:rFonts w:hint="eastAsia"/>
              </w:rPr>
              <w:t>三、主要原辅材料的种类和用量</w:t>
            </w:r>
          </w:p>
          <w:p w14:paraId="629B5840">
            <w:pPr>
              <w:pStyle w:val="72"/>
              <w:adjustRightInd w:val="0"/>
              <w:snapToGrid w:val="0"/>
              <w:spacing w:line="400" w:lineRule="exact"/>
              <w:ind w:firstLine="480"/>
              <w:rPr>
                <w:sz w:val="24"/>
                <w:szCs w:val="22"/>
                <w:lang w:val="en-US"/>
              </w:rPr>
            </w:pPr>
            <w:r>
              <w:rPr>
                <w:rFonts w:hint="eastAsia"/>
                <w:sz w:val="24"/>
                <w:szCs w:val="22"/>
                <w:lang w:val="en-US"/>
              </w:rPr>
              <w:t>1）原辅材料用量</w:t>
            </w:r>
          </w:p>
          <w:p w14:paraId="7C958AF4">
            <w:pPr>
              <w:pStyle w:val="72"/>
              <w:adjustRightInd w:val="0"/>
              <w:snapToGrid w:val="0"/>
              <w:spacing w:line="400" w:lineRule="exact"/>
              <w:ind w:firstLine="480"/>
              <w:rPr>
                <w:sz w:val="24"/>
                <w:szCs w:val="22"/>
                <w:lang w:val="en-US"/>
              </w:rPr>
            </w:pPr>
            <w:r>
              <w:rPr>
                <w:rFonts w:hint="eastAsia"/>
                <w:sz w:val="24"/>
                <w:szCs w:val="22"/>
                <w:lang w:val="en-US"/>
              </w:rPr>
              <w:t>本项目各产品原辅材料清单详见下表。</w:t>
            </w:r>
          </w:p>
          <w:p w14:paraId="1000AE93">
            <w:pPr>
              <w:pStyle w:val="45"/>
              <w:rPr>
                <w:rFonts w:ascii="Times New Roman" w:hAnsi="Times New Roman"/>
                <w:sz w:val="24"/>
                <w:szCs w:val="24"/>
              </w:rPr>
            </w:pPr>
            <w:r>
              <w:rPr>
                <w:rFonts w:hint="eastAsia" w:ascii="Times New Roman" w:hAnsi="Times New Roman"/>
                <w:sz w:val="24"/>
                <w:szCs w:val="24"/>
              </w:rPr>
              <w:t>表2-3  本项目原辅材料一览表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44"/>
              <w:gridCol w:w="2215"/>
              <w:gridCol w:w="3299"/>
              <w:gridCol w:w="906"/>
            </w:tblGrid>
            <w:tr w14:paraId="06A4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Align w:val="center"/>
                </w:tcPr>
                <w:p w14:paraId="053601AA">
                  <w:pPr>
                    <w:widowControl/>
                    <w:jc w:val="center"/>
                    <w:rPr>
                      <w:rFonts w:cs="宋体"/>
                      <w:kern w:val="0"/>
                      <w:szCs w:val="21"/>
                    </w:rPr>
                  </w:pPr>
                  <w:bookmarkStart w:id="31" w:name="_Hlk233990185"/>
                  <w:r>
                    <w:rPr>
                      <w:rFonts w:hint="eastAsia" w:cs="宋体"/>
                      <w:kern w:val="0"/>
                      <w:szCs w:val="21"/>
                    </w:rPr>
                    <w:t>产品种类</w:t>
                  </w:r>
                </w:p>
              </w:tc>
              <w:tc>
                <w:tcPr>
                  <w:tcW w:w="1340" w:type="pct"/>
                  <w:vAlign w:val="center"/>
                </w:tcPr>
                <w:p w14:paraId="03EA9C72">
                  <w:pPr>
                    <w:widowControl/>
                    <w:jc w:val="center"/>
                    <w:rPr>
                      <w:rFonts w:cs="宋体"/>
                      <w:kern w:val="0"/>
                      <w:szCs w:val="21"/>
                    </w:rPr>
                  </w:pPr>
                  <w:r>
                    <w:rPr>
                      <w:rFonts w:hint="eastAsia" w:cs="宋体"/>
                      <w:kern w:val="0"/>
                      <w:szCs w:val="21"/>
                    </w:rPr>
                    <w:t>原辅料名称</w:t>
                  </w:r>
                </w:p>
              </w:tc>
              <w:tc>
                <w:tcPr>
                  <w:tcW w:w="1996" w:type="pct"/>
                  <w:vAlign w:val="center"/>
                </w:tcPr>
                <w:p w14:paraId="5A80720B">
                  <w:pPr>
                    <w:widowControl/>
                    <w:jc w:val="center"/>
                    <w:rPr>
                      <w:rFonts w:cs="宋体"/>
                      <w:kern w:val="0"/>
                      <w:szCs w:val="21"/>
                    </w:rPr>
                  </w:pPr>
                  <w:r>
                    <w:rPr>
                      <w:rFonts w:hint="eastAsia" w:cs="宋体"/>
                      <w:kern w:val="0"/>
                      <w:szCs w:val="21"/>
                    </w:rPr>
                    <w:t>年用量（吨）</w:t>
                  </w:r>
                </w:p>
              </w:tc>
              <w:tc>
                <w:tcPr>
                  <w:tcW w:w="548" w:type="pct"/>
                  <w:vAlign w:val="center"/>
                </w:tcPr>
                <w:p w14:paraId="0CA3E56B">
                  <w:pPr>
                    <w:widowControl/>
                    <w:jc w:val="center"/>
                    <w:rPr>
                      <w:rFonts w:cs="宋体"/>
                      <w:kern w:val="0"/>
                      <w:szCs w:val="21"/>
                    </w:rPr>
                  </w:pPr>
                  <w:r>
                    <w:rPr>
                      <w:rFonts w:hint="eastAsia" w:cs="宋体"/>
                      <w:kern w:val="0"/>
                      <w:szCs w:val="21"/>
                    </w:rPr>
                    <w:t>来源</w:t>
                  </w:r>
                </w:p>
              </w:tc>
            </w:tr>
            <w:tr w14:paraId="3DF1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restart"/>
                  <w:vAlign w:val="center"/>
                </w:tcPr>
                <w:p w14:paraId="0099BC5A">
                  <w:pPr>
                    <w:widowControl/>
                    <w:jc w:val="center"/>
                    <w:rPr>
                      <w:rFonts w:cs="宋体"/>
                      <w:kern w:val="0"/>
                      <w:szCs w:val="21"/>
                    </w:rPr>
                  </w:pPr>
                  <w:r>
                    <w:rPr>
                      <w:rFonts w:hint="eastAsia" w:cs="宋体"/>
                      <w:kern w:val="0"/>
                      <w:szCs w:val="21"/>
                    </w:rPr>
                    <w:t>矿用喷射干粉砂浆</w:t>
                  </w:r>
                </w:p>
              </w:tc>
              <w:tc>
                <w:tcPr>
                  <w:tcW w:w="1340" w:type="pct"/>
                  <w:vAlign w:val="center"/>
                </w:tcPr>
                <w:p w14:paraId="24DB80D2">
                  <w:pPr>
                    <w:widowControl/>
                    <w:jc w:val="center"/>
                    <w:rPr>
                      <w:rFonts w:cs="宋体"/>
                      <w:kern w:val="0"/>
                      <w:szCs w:val="21"/>
                    </w:rPr>
                  </w:pPr>
                  <w:r>
                    <w:rPr>
                      <w:rFonts w:hint="eastAsia" w:cs="宋体"/>
                      <w:kern w:val="0"/>
                      <w:szCs w:val="21"/>
                    </w:rPr>
                    <w:t>水泥</w:t>
                  </w:r>
                </w:p>
              </w:tc>
              <w:tc>
                <w:tcPr>
                  <w:tcW w:w="1996" w:type="pct"/>
                </w:tcPr>
                <w:p w14:paraId="13E9ADA4">
                  <w:pPr>
                    <w:widowControl/>
                    <w:jc w:val="center"/>
                    <w:rPr>
                      <w:kern w:val="0"/>
                      <w:szCs w:val="21"/>
                    </w:rPr>
                  </w:pPr>
                  <w:r>
                    <w:t>5200</w:t>
                  </w:r>
                </w:p>
              </w:tc>
              <w:tc>
                <w:tcPr>
                  <w:tcW w:w="548" w:type="pct"/>
                </w:tcPr>
                <w:p w14:paraId="06B73826">
                  <w:pPr>
                    <w:widowControl/>
                    <w:jc w:val="center"/>
                    <w:rPr>
                      <w:rFonts w:cs="宋体"/>
                      <w:kern w:val="0"/>
                      <w:szCs w:val="21"/>
                    </w:rPr>
                  </w:pPr>
                  <w:r>
                    <w:rPr>
                      <w:rFonts w:hint="eastAsia"/>
                      <w:szCs w:val="21"/>
                    </w:rPr>
                    <w:t>外购</w:t>
                  </w:r>
                </w:p>
              </w:tc>
            </w:tr>
            <w:tr w14:paraId="413C0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7C2709B6">
                  <w:pPr>
                    <w:widowControl/>
                    <w:jc w:val="left"/>
                    <w:rPr>
                      <w:rFonts w:cs="宋体"/>
                      <w:kern w:val="0"/>
                      <w:szCs w:val="21"/>
                    </w:rPr>
                  </w:pPr>
                </w:p>
              </w:tc>
              <w:tc>
                <w:tcPr>
                  <w:tcW w:w="1340" w:type="pct"/>
                  <w:vAlign w:val="center"/>
                </w:tcPr>
                <w:p w14:paraId="00AC851B">
                  <w:pPr>
                    <w:widowControl/>
                    <w:jc w:val="center"/>
                    <w:rPr>
                      <w:rFonts w:cs="宋体"/>
                      <w:kern w:val="0"/>
                      <w:szCs w:val="21"/>
                    </w:rPr>
                  </w:pPr>
                  <w:r>
                    <w:rPr>
                      <w:rFonts w:hint="eastAsia" w:cs="宋体"/>
                      <w:kern w:val="0"/>
                      <w:szCs w:val="21"/>
                    </w:rPr>
                    <w:t>机制砂0-2.36mm</w:t>
                  </w:r>
                </w:p>
              </w:tc>
              <w:tc>
                <w:tcPr>
                  <w:tcW w:w="1996" w:type="pct"/>
                </w:tcPr>
                <w:p w14:paraId="757B0531">
                  <w:pPr>
                    <w:widowControl/>
                    <w:jc w:val="center"/>
                    <w:rPr>
                      <w:kern w:val="0"/>
                      <w:szCs w:val="21"/>
                    </w:rPr>
                  </w:pPr>
                  <w:r>
                    <w:t>13000</w:t>
                  </w:r>
                </w:p>
              </w:tc>
              <w:tc>
                <w:tcPr>
                  <w:tcW w:w="548" w:type="pct"/>
                </w:tcPr>
                <w:p w14:paraId="0B832556">
                  <w:pPr>
                    <w:widowControl/>
                    <w:jc w:val="center"/>
                    <w:rPr>
                      <w:rFonts w:cs="宋体"/>
                      <w:kern w:val="0"/>
                      <w:szCs w:val="21"/>
                    </w:rPr>
                  </w:pPr>
                  <w:r>
                    <w:rPr>
                      <w:rFonts w:hint="eastAsia"/>
                      <w:szCs w:val="21"/>
                    </w:rPr>
                    <w:t>外购</w:t>
                  </w:r>
                </w:p>
              </w:tc>
            </w:tr>
            <w:tr w14:paraId="7503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3814E31A">
                  <w:pPr>
                    <w:widowControl/>
                    <w:jc w:val="left"/>
                    <w:rPr>
                      <w:rFonts w:cs="宋体"/>
                      <w:kern w:val="0"/>
                      <w:szCs w:val="21"/>
                    </w:rPr>
                  </w:pPr>
                </w:p>
              </w:tc>
              <w:tc>
                <w:tcPr>
                  <w:tcW w:w="1340" w:type="pct"/>
                  <w:vAlign w:val="center"/>
                </w:tcPr>
                <w:p w14:paraId="145929D9">
                  <w:pPr>
                    <w:widowControl/>
                    <w:jc w:val="center"/>
                    <w:rPr>
                      <w:rFonts w:cs="宋体"/>
                      <w:kern w:val="0"/>
                      <w:szCs w:val="21"/>
                    </w:rPr>
                  </w:pPr>
                  <w:r>
                    <w:rPr>
                      <w:rFonts w:hint="eastAsia" w:cs="宋体"/>
                      <w:kern w:val="0"/>
                      <w:szCs w:val="21"/>
                    </w:rPr>
                    <w:t>矿渣粉（S95级）</w:t>
                  </w:r>
                </w:p>
              </w:tc>
              <w:tc>
                <w:tcPr>
                  <w:tcW w:w="1996" w:type="pct"/>
                </w:tcPr>
                <w:p w14:paraId="3BA735A9">
                  <w:pPr>
                    <w:widowControl/>
                    <w:jc w:val="center"/>
                    <w:rPr>
                      <w:kern w:val="0"/>
                      <w:szCs w:val="21"/>
                    </w:rPr>
                  </w:pPr>
                  <w:r>
                    <w:t>1200</w:t>
                  </w:r>
                </w:p>
              </w:tc>
              <w:tc>
                <w:tcPr>
                  <w:tcW w:w="548" w:type="pct"/>
                  <w:vAlign w:val="center"/>
                </w:tcPr>
                <w:p w14:paraId="18C26758">
                  <w:pPr>
                    <w:widowControl/>
                    <w:jc w:val="center"/>
                    <w:rPr>
                      <w:rFonts w:cs="宋体"/>
                      <w:kern w:val="0"/>
                      <w:szCs w:val="21"/>
                    </w:rPr>
                  </w:pPr>
                  <w:r>
                    <w:rPr>
                      <w:rFonts w:hint="eastAsia"/>
                      <w:szCs w:val="21"/>
                    </w:rPr>
                    <w:t>外购</w:t>
                  </w:r>
                </w:p>
              </w:tc>
            </w:tr>
            <w:tr w14:paraId="6D63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1B55580B">
                  <w:pPr>
                    <w:widowControl/>
                    <w:jc w:val="left"/>
                    <w:rPr>
                      <w:rFonts w:cs="宋体"/>
                      <w:kern w:val="0"/>
                      <w:szCs w:val="21"/>
                    </w:rPr>
                  </w:pPr>
                </w:p>
              </w:tc>
              <w:tc>
                <w:tcPr>
                  <w:tcW w:w="1340" w:type="pct"/>
                  <w:vAlign w:val="center"/>
                </w:tcPr>
                <w:p w14:paraId="341F7032">
                  <w:pPr>
                    <w:widowControl/>
                    <w:jc w:val="center"/>
                    <w:rPr>
                      <w:rFonts w:cs="宋体"/>
                      <w:kern w:val="0"/>
                      <w:szCs w:val="21"/>
                    </w:rPr>
                  </w:pPr>
                  <w:r>
                    <w:rPr>
                      <w:rFonts w:hint="eastAsia" w:cs="宋体"/>
                      <w:kern w:val="0"/>
                      <w:szCs w:val="21"/>
                    </w:rPr>
                    <w:t>外加剂</w:t>
                  </w:r>
                </w:p>
              </w:tc>
              <w:tc>
                <w:tcPr>
                  <w:tcW w:w="1996" w:type="pct"/>
                </w:tcPr>
                <w:p w14:paraId="351FEB9B">
                  <w:pPr>
                    <w:widowControl/>
                    <w:jc w:val="center"/>
                    <w:rPr>
                      <w:kern w:val="0"/>
                      <w:szCs w:val="21"/>
                    </w:rPr>
                  </w:pPr>
                  <w:r>
                    <w:t>600</w:t>
                  </w:r>
                </w:p>
              </w:tc>
              <w:tc>
                <w:tcPr>
                  <w:tcW w:w="548" w:type="pct"/>
                  <w:vAlign w:val="center"/>
                </w:tcPr>
                <w:p w14:paraId="249E710D">
                  <w:pPr>
                    <w:widowControl/>
                    <w:jc w:val="center"/>
                    <w:rPr>
                      <w:rFonts w:cs="宋体"/>
                      <w:kern w:val="0"/>
                      <w:szCs w:val="21"/>
                    </w:rPr>
                  </w:pPr>
                  <w:r>
                    <w:rPr>
                      <w:rFonts w:hint="eastAsia"/>
                      <w:szCs w:val="21"/>
                    </w:rPr>
                    <w:t>外购</w:t>
                  </w:r>
                </w:p>
              </w:tc>
            </w:tr>
            <w:tr w14:paraId="24A0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28E66EC6">
                  <w:pPr>
                    <w:widowControl/>
                    <w:jc w:val="left"/>
                    <w:rPr>
                      <w:rFonts w:cs="宋体"/>
                      <w:kern w:val="0"/>
                      <w:szCs w:val="21"/>
                    </w:rPr>
                  </w:pPr>
                </w:p>
              </w:tc>
              <w:tc>
                <w:tcPr>
                  <w:tcW w:w="1340" w:type="pct"/>
                  <w:vAlign w:val="center"/>
                </w:tcPr>
                <w:p w14:paraId="2B3465BE">
                  <w:pPr>
                    <w:widowControl/>
                    <w:jc w:val="center"/>
                    <w:rPr>
                      <w:rFonts w:cs="宋体"/>
                      <w:kern w:val="0"/>
                      <w:szCs w:val="21"/>
                    </w:rPr>
                  </w:pPr>
                  <w:r>
                    <w:rPr>
                      <w:rFonts w:hint="eastAsia" w:cs="宋体"/>
                      <w:kern w:val="0"/>
                      <w:szCs w:val="21"/>
                    </w:rPr>
                    <w:t>合计</w:t>
                  </w:r>
                </w:p>
              </w:tc>
              <w:tc>
                <w:tcPr>
                  <w:tcW w:w="1996" w:type="pct"/>
                  <w:vAlign w:val="center"/>
                </w:tcPr>
                <w:p w14:paraId="142FEC43">
                  <w:pPr>
                    <w:widowControl/>
                    <w:jc w:val="center"/>
                    <w:rPr>
                      <w:kern w:val="0"/>
                      <w:szCs w:val="21"/>
                    </w:rPr>
                  </w:pPr>
                  <w:r>
                    <w:rPr>
                      <w:rFonts w:hint="eastAsia"/>
                      <w:kern w:val="0"/>
                      <w:szCs w:val="21"/>
                    </w:rPr>
                    <w:t>20000</w:t>
                  </w:r>
                </w:p>
              </w:tc>
              <w:tc>
                <w:tcPr>
                  <w:tcW w:w="548" w:type="pct"/>
                  <w:vAlign w:val="center"/>
                </w:tcPr>
                <w:p w14:paraId="0D878FB3">
                  <w:pPr>
                    <w:widowControl/>
                    <w:jc w:val="center"/>
                    <w:rPr>
                      <w:rFonts w:cs="宋体"/>
                      <w:kern w:val="0"/>
                      <w:szCs w:val="21"/>
                    </w:rPr>
                  </w:pPr>
                  <w:r>
                    <w:rPr>
                      <w:rFonts w:hint="eastAsia" w:cs="宋体"/>
                      <w:kern w:val="0"/>
                      <w:szCs w:val="21"/>
                    </w:rPr>
                    <w:t>/</w:t>
                  </w:r>
                </w:p>
              </w:tc>
            </w:tr>
            <w:tr w14:paraId="4A47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restart"/>
                  <w:vAlign w:val="center"/>
                </w:tcPr>
                <w:p w14:paraId="3A62470C">
                  <w:pPr>
                    <w:widowControl/>
                    <w:jc w:val="center"/>
                    <w:rPr>
                      <w:rFonts w:cs="宋体"/>
                      <w:kern w:val="0"/>
                      <w:szCs w:val="21"/>
                    </w:rPr>
                  </w:pPr>
                  <w:r>
                    <w:rPr>
                      <w:rFonts w:hint="eastAsia"/>
                    </w:rPr>
                    <w:t>砌筑砂浆</w:t>
                  </w:r>
                </w:p>
              </w:tc>
              <w:tc>
                <w:tcPr>
                  <w:tcW w:w="1340" w:type="pct"/>
                </w:tcPr>
                <w:p w14:paraId="674C5FE3">
                  <w:pPr>
                    <w:widowControl/>
                    <w:jc w:val="center"/>
                    <w:rPr>
                      <w:rFonts w:cs="宋体"/>
                      <w:kern w:val="0"/>
                      <w:szCs w:val="21"/>
                    </w:rPr>
                  </w:pPr>
                  <w:r>
                    <w:rPr>
                      <w:rFonts w:hint="eastAsia"/>
                    </w:rPr>
                    <w:t>水泥</w:t>
                  </w:r>
                </w:p>
              </w:tc>
              <w:tc>
                <w:tcPr>
                  <w:tcW w:w="1996" w:type="pct"/>
                </w:tcPr>
                <w:p w14:paraId="78078112">
                  <w:pPr>
                    <w:widowControl/>
                    <w:jc w:val="center"/>
                    <w:rPr>
                      <w:kern w:val="0"/>
                      <w:szCs w:val="21"/>
                    </w:rPr>
                  </w:pPr>
                  <w:r>
                    <w:t>2100</w:t>
                  </w:r>
                </w:p>
              </w:tc>
              <w:tc>
                <w:tcPr>
                  <w:tcW w:w="548" w:type="pct"/>
                </w:tcPr>
                <w:p w14:paraId="52EF882C">
                  <w:pPr>
                    <w:widowControl/>
                    <w:jc w:val="center"/>
                    <w:rPr>
                      <w:rFonts w:cs="宋体"/>
                      <w:kern w:val="0"/>
                      <w:szCs w:val="21"/>
                    </w:rPr>
                  </w:pPr>
                  <w:r>
                    <w:rPr>
                      <w:rFonts w:hint="eastAsia" w:cs="宋体"/>
                      <w:kern w:val="0"/>
                      <w:szCs w:val="21"/>
                    </w:rPr>
                    <w:t>外购</w:t>
                  </w:r>
                </w:p>
              </w:tc>
            </w:tr>
            <w:tr w14:paraId="0155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440BA7D7">
                  <w:pPr>
                    <w:widowControl/>
                    <w:jc w:val="left"/>
                    <w:rPr>
                      <w:rFonts w:cs="宋体"/>
                      <w:kern w:val="0"/>
                      <w:szCs w:val="21"/>
                    </w:rPr>
                  </w:pPr>
                </w:p>
              </w:tc>
              <w:tc>
                <w:tcPr>
                  <w:tcW w:w="1340" w:type="pct"/>
                </w:tcPr>
                <w:p w14:paraId="0E32A99E">
                  <w:pPr>
                    <w:widowControl/>
                    <w:jc w:val="center"/>
                    <w:rPr>
                      <w:rFonts w:cs="宋体"/>
                      <w:kern w:val="0"/>
                      <w:szCs w:val="21"/>
                    </w:rPr>
                  </w:pPr>
                  <w:r>
                    <w:rPr>
                      <w:rFonts w:hint="eastAsia" w:cs="宋体"/>
                      <w:kern w:val="0"/>
                      <w:szCs w:val="21"/>
                    </w:rPr>
                    <w:t>机制砂0-4.75mm</w:t>
                  </w:r>
                </w:p>
              </w:tc>
              <w:tc>
                <w:tcPr>
                  <w:tcW w:w="1996" w:type="pct"/>
                </w:tcPr>
                <w:p w14:paraId="48A1C2F4">
                  <w:pPr>
                    <w:widowControl/>
                    <w:jc w:val="center"/>
                    <w:rPr>
                      <w:kern w:val="0"/>
                      <w:szCs w:val="21"/>
                    </w:rPr>
                  </w:pPr>
                  <w:r>
                    <w:t>7080</w:t>
                  </w:r>
                </w:p>
              </w:tc>
              <w:tc>
                <w:tcPr>
                  <w:tcW w:w="548" w:type="pct"/>
                </w:tcPr>
                <w:p w14:paraId="00C0D918">
                  <w:pPr>
                    <w:widowControl/>
                    <w:jc w:val="center"/>
                    <w:rPr>
                      <w:rFonts w:cs="宋体"/>
                      <w:kern w:val="0"/>
                      <w:szCs w:val="21"/>
                    </w:rPr>
                  </w:pPr>
                  <w:r>
                    <w:rPr>
                      <w:rFonts w:hint="eastAsia" w:cs="宋体"/>
                      <w:kern w:val="0"/>
                      <w:szCs w:val="21"/>
                    </w:rPr>
                    <w:t>外购</w:t>
                  </w:r>
                </w:p>
              </w:tc>
            </w:tr>
            <w:tr w14:paraId="4ED6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3AECE112">
                  <w:pPr>
                    <w:widowControl/>
                    <w:jc w:val="left"/>
                    <w:rPr>
                      <w:rFonts w:cs="宋体"/>
                      <w:kern w:val="0"/>
                      <w:szCs w:val="21"/>
                    </w:rPr>
                  </w:pPr>
                </w:p>
              </w:tc>
              <w:tc>
                <w:tcPr>
                  <w:tcW w:w="1340" w:type="pct"/>
                </w:tcPr>
                <w:p w14:paraId="2C8336AF">
                  <w:pPr>
                    <w:widowControl/>
                    <w:jc w:val="center"/>
                    <w:rPr>
                      <w:rFonts w:cs="宋体"/>
                      <w:kern w:val="0"/>
                      <w:szCs w:val="21"/>
                    </w:rPr>
                  </w:pPr>
                  <w:r>
                    <w:rPr>
                      <w:rFonts w:hint="eastAsia"/>
                    </w:rPr>
                    <w:t>粉煤灰</w:t>
                  </w:r>
                </w:p>
              </w:tc>
              <w:tc>
                <w:tcPr>
                  <w:tcW w:w="1996" w:type="pct"/>
                </w:tcPr>
                <w:p w14:paraId="40D59936">
                  <w:pPr>
                    <w:widowControl/>
                    <w:jc w:val="center"/>
                    <w:rPr>
                      <w:kern w:val="0"/>
                      <w:szCs w:val="21"/>
                    </w:rPr>
                  </w:pPr>
                  <w:r>
                    <w:t>800</w:t>
                  </w:r>
                </w:p>
              </w:tc>
              <w:tc>
                <w:tcPr>
                  <w:tcW w:w="548" w:type="pct"/>
                </w:tcPr>
                <w:p w14:paraId="5D638AF3">
                  <w:pPr>
                    <w:widowControl/>
                    <w:jc w:val="center"/>
                    <w:rPr>
                      <w:rFonts w:cs="宋体"/>
                      <w:kern w:val="0"/>
                      <w:szCs w:val="21"/>
                    </w:rPr>
                  </w:pPr>
                  <w:r>
                    <w:rPr>
                      <w:rFonts w:hint="eastAsia" w:cs="宋体"/>
                      <w:kern w:val="0"/>
                      <w:szCs w:val="21"/>
                    </w:rPr>
                    <w:t>外购</w:t>
                  </w:r>
                </w:p>
              </w:tc>
            </w:tr>
            <w:tr w14:paraId="1773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1609512E">
                  <w:pPr>
                    <w:widowControl/>
                    <w:jc w:val="left"/>
                    <w:rPr>
                      <w:rFonts w:cs="宋体"/>
                      <w:kern w:val="0"/>
                      <w:szCs w:val="21"/>
                    </w:rPr>
                  </w:pPr>
                </w:p>
              </w:tc>
              <w:tc>
                <w:tcPr>
                  <w:tcW w:w="1340" w:type="pct"/>
                </w:tcPr>
                <w:p w14:paraId="7E7C100C">
                  <w:pPr>
                    <w:widowControl/>
                    <w:jc w:val="center"/>
                    <w:rPr>
                      <w:rFonts w:cs="宋体"/>
                      <w:kern w:val="0"/>
                      <w:szCs w:val="21"/>
                    </w:rPr>
                  </w:pPr>
                  <w:r>
                    <w:rPr>
                      <w:rFonts w:hint="eastAsia"/>
                    </w:rPr>
                    <w:t>外加剂</w:t>
                  </w:r>
                </w:p>
              </w:tc>
              <w:tc>
                <w:tcPr>
                  <w:tcW w:w="1996" w:type="pct"/>
                </w:tcPr>
                <w:p w14:paraId="7880A15B">
                  <w:pPr>
                    <w:widowControl/>
                    <w:jc w:val="center"/>
                    <w:rPr>
                      <w:kern w:val="0"/>
                      <w:szCs w:val="21"/>
                    </w:rPr>
                  </w:pPr>
                  <w:r>
                    <w:t>20</w:t>
                  </w:r>
                </w:p>
              </w:tc>
              <w:tc>
                <w:tcPr>
                  <w:tcW w:w="548" w:type="pct"/>
                </w:tcPr>
                <w:p w14:paraId="79BB09C7">
                  <w:pPr>
                    <w:widowControl/>
                    <w:jc w:val="center"/>
                    <w:rPr>
                      <w:rFonts w:cs="宋体"/>
                      <w:kern w:val="0"/>
                      <w:szCs w:val="21"/>
                    </w:rPr>
                  </w:pPr>
                  <w:r>
                    <w:rPr>
                      <w:rFonts w:hint="eastAsia" w:cs="宋体"/>
                      <w:kern w:val="0"/>
                      <w:szCs w:val="21"/>
                    </w:rPr>
                    <w:t>外购</w:t>
                  </w:r>
                </w:p>
              </w:tc>
            </w:tr>
            <w:tr w14:paraId="52D4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370E213A">
                  <w:pPr>
                    <w:widowControl/>
                    <w:jc w:val="left"/>
                    <w:rPr>
                      <w:rFonts w:cs="宋体"/>
                      <w:kern w:val="0"/>
                      <w:szCs w:val="21"/>
                    </w:rPr>
                  </w:pPr>
                </w:p>
              </w:tc>
              <w:tc>
                <w:tcPr>
                  <w:tcW w:w="1340" w:type="pct"/>
                  <w:vAlign w:val="center"/>
                </w:tcPr>
                <w:p w14:paraId="341D81D7">
                  <w:pPr>
                    <w:widowControl/>
                    <w:jc w:val="center"/>
                    <w:rPr>
                      <w:rFonts w:cs="宋体"/>
                      <w:kern w:val="0"/>
                      <w:szCs w:val="21"/>
                    </w:rPr>
                  </w:pPr>
                  <w:r>
                    <w:rPr>
                      <w:rFonts w:hint="eastAsia" w:cs="宋体"/>
                      <w:kern w:val="0"/>
                      <w:szCs w:val="21"/>
                    </w:rPr>
                    <w:t>合计</w:t>
                  </w:r>
                </w:p>
              </w:tc>
              <w:tc>
                <w:tcPr>
                  <w:tcW w:w="1996" w:type="pct"/>
                  <w:vAlign w:val="center"/>
                </w:tcPr>
                <w:p w14:paraId="6B0AF1CA">
                  <w:pPr>
                    <w:widowControl/>
                    <w:jc w:val="center"/>
                    <w:rPr>
                      <w:kern w:val="0"/>
                      <w:szCs w:val="21"/>
                    </w:rPr>
                  </w:pPr>
                  <w:r>
                    <w:rPr>
                      <w:rFonts w:hint="eastAsia"/>
                      <w:kern w:val="0"/>
                      <w:szCs w:val="21"/>
                    </w:rPr>
                    <w:t>10000</w:t>
                  </w:r>
                </w:p>
              </w:tc>
              <w:tc>
                <w:tcPr>
                  <w:tcW w:w="548" w:type="pct"/>
                  <w:vAlign w:val="center"/>
                </w:tcPr>
                <w:p w14:paraId="1DEAC6AD">
                  <w:pPr>
                    <w:widowControl/>
                    <w:jc w:val="center"/>
                    <w:rPr>
                      <w:rFonts w:cs="宋体"/>
                      <w:kern w:val="0"/>
                      <w:szCs w:val="21"/>
                    </w:rPr>
                  </w:pPr>
                  <w:r>
                    <w:rPr>
                      <w:rFonts w:hint="eastAsia" w:cs="宋体"/>
                      <w:kern w:val="0"/>
                      <w:szCs w:val="21"/>
                    </w:rPr>
                    <w:t>/</w:t>
                  </w:r>
                </w:p>
              </w:tc>
            </w:tr>
            <w:tr w14:paraId="60E6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restart"/>
                  <w:vAlign w:val="center"/>
                </w:tcPr>
                <w:p w14:paraId="3EDADE08">
                  <w:pPr>
                    <w:widowControl/>
                    <w:jc w:val="center"/>
                    <w:rPr>
                      <w:rFonts w:cs="宋体"/>
                      <w:kern w:val="0"/>
                      <w:szCs w:val="21"/>
                    </w:rPr>
                  </w:pPr>
                  <w:r>
                    <w:rPr>
                      <w:rFonts w:hint="eastAsia"/>
                    </w:rPr>
                    <w:t>抹面砂浆</w:t>
                  </w:r>
                </w:p>
              </w:tc>
              <w:tc>
                <w:tcPr>
                  <w:tcW w:w="1340" w:type="pct"/>
                </w:tcPr>
                <w:p w14:paraId="6D84B84A">
                  <w:pPr>
                    <w:widowControl/>
                    <w:jc w:val="center"/>
                    <w:rPr>
                      <w:rFonts w:cs="宋体"/>
                      <w:kern w:val="0"/>
                      <w:szCs w:val="21"/>
                    </w:rPr>
                  </w:pPr>
                  <w:r>
                    <w:rPr>
                      <w:rFonts w:hint="eastAsia"/>
                    </w:rPr>
                    <w:t>水泥</w:t>
                  </w:r>
                </w:p>
              </w:tc>
              <w:tc>
                <w:tcPr>
                  <w:tcW w:w="1996" w:type="pct"/>
                </w:tcPr>
                <w:p w14:paraId="179ED17E">
                  <w:pPr>
                    <w:widowControl/>
                    <w:jc w:val="center"/>
                    <w:rPr>
                      <w:kern w:val="0"/>
                      <w:szCs w:val="21"/>
                    </w:rPr>
                  </w:pPr>
                  <w:r>
                    <w:t>2500</w:t>
                  </w:r>
                </w:p>
              </w:tc>
              <w:tc>
                <w:tcPr>
                  <w:tcW w:w="548" w:type="pct"/>
                </w:tcPr>
                <w:p w14:paraId="42D783BF">
                  <w:pPr>
                    <w:widowControl/>
                    <w:jc w:val="center"/>
                    <w:rPr>
                      <w:rFonts w:cs="宋体"/>
                      <w:kern w:val="0"/>
                      <w:szCs w:val="21"/>
                    </w:rPr>
                  </w:pPr>
                  <w:r>
                    <w:rPr>
                      <w:rFonts w:hint="eastAsia" w:cs="宋体"/>
                      <w:kern w:val="0"/>
                      <w:szCs w:val="21"/>
                    </w:rPr>
                    <w:t>外购</w:t>
                  </w:r>
                </w:p>
              </w:tc>
            </w:tr>
            <w:tr w14:paraId="1591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777356EF">
                  <w:pPr>
                    <w:widowControl/>
                    <w:jc w:val="left"/>
                    <w:rPr>
                      <w:rFonts w:cs="宋体"/>
                      <w:kern w:val="0"/>
                      <w:szCs w:val="21"/>
                    </w:rPr>
                  </w:pPr>
                </w:p>
              </w:tc>
              <w:tc>
                <w:tcPr>
                  <w:tcW w:w="1340" w:type="pct"/>
                </w:tcPr>
                <w:p w14:paraId="1EDB0AE8">
                  <w:pPr>
                    <w:widowControl/>
                    <w:jc w:val="center"/>
                    <w:rPr>
                      <w:rFonts w:cs="宋体"/>
                      <w:kern w:val="0"/>
                      <w:szCs w:val="21"/>
                    </w:rPr>
                  </w:pPr>
                  <w:r>
                    <w:rPr>
                      <w:rFonts w:hint="eastAsia" w:cs="宋体"/>
                      <w:kern w:val="0"/>
                      <w:szCs w:val="21"/>
                    </w:rPr>
                    <w:t>机制砂0-2.36mm</w:t>
                  </w:r>
                </w:p>
              </w:tc>
              <w:tc>
                <w:tcPr>
                  <w:tcW w:w="1996" w:type="pct"/>
                </w:tcPr>
                <w:p w14:paraId="543E3854">
                  <w:pPr>
                    <w:widowControl/>
                    <w:jc w:val="center"/>
                    <w:rPr>
                      <w:kern w:val="0"/>
                      <w:szCs w:val="21"/>
                    </w:rPr>
                  </w:pPr>
                  <w:r>
                    <w:t>7000</w:t>
                  </w:r>
                </w:p>
              </w:tc>
              <w:tc>
                <w:tcPr>
                  <w:tcW w:w="548" w:type="pct"/>
                </w:tcPr>
                <w:p w14:paraId="7203C461">
                  <w:pPr>
                    <w:widowControl/>
                    <w:jc w:val="center"/>
                    <w:rPr>
                      <w:rFonts w:cs="宋体"/>
                      <w:kern w:val="0"/>
                      <w:szCs w:val="21"/>
                    </w:rPr>
                  </w:pPr>
                  <w:r>
                    <w:rPr>
                      <w:rFonts w:hint="eastAsia" w:cs="宋体"/>
                      <w:kern w:val="0"/>
                      <w:szCs w:val="21"/>
                    </w:rPr>
                    <w:t>外购</w:t>
                  </w:r>
                </w:p>
              </w:tc>
            </w:tr>
            <w:tr w14:paraId="0797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14091F32">
                  <w:pPr>
                    <w:widowControl/>
                    <w:jc w:val="left"/>
                    <w:rPr>
                      <w:rFonts w:cs="宋体"/>
                      <w:kern w:val="0"/>
                      <w:szCs w:val="21"/>
                    </w:rPr>
                  </w:pPr>
                </w:p>
              </w:tc>
              <w:tc>
                <w:tcPr>
                  <w:tcW w:w="1340" w:type="pct"/>
                </w:tcPr>
                <w:p w14:paraId="3CFE8281">
                  <w:pPr>
                    <w:widowControl/>
                    <w:jc w:val="center"/>
                    <w:rPr>
                      <w:rFonts w:cs="宋体"/>
                      <w:kern w:val="0"/>
                      <w:szCs w:val="21"/>
                    </w:rPr>
                  </w:pPr>
                  <w:r>
                    <w:rPr>
                      <w:rFonts w:hint="eastAsia"/>
                    </w:rPr>
                    <w:t>粉煤灰</w:t>
                  </w:r>
                </w:p>
              </w:tc>
              <w:tc>
                <w:tcPr>
                  <w:tcW w:w="1996" w:type="pct"/>
                </w:tcPr>
                <w:p w14:paraId="0AE15154">
                  <w:pPr>
                    <w:widowControl/>
                    <w:jc w:val="center"/>
                    <w:rPr>
                      <w:kern w:val="0"/>
                      <w:szCs w:val="21"/>
                    </w:rPr>
                  </w:pPr>
                  <w:r>
                    <w:t>450</w:t>
                  </w:r>
                </w:p>
              </w:tc>
              <w:tc>
                <w:tcPr>
                  <w:tcW w:w="548" w:type="pct"/>
                </w:tcPr>
                <w:p w14:paraId="00F9BB6B">
                  <w:pPr>
                    <w:widowControl/>
                    <w:jc w:val="center"/>
                    <w:rPr>
                      <w:rFonts w:cs="宋体"/>
                      <w:kern w:val="0"/>
                      <w:szCs w:val="21"/>
                    </w:rPr>
                  </w:pPr>
                  <w:r>
                    <w:rPr>
                      <w:rFonts w:hint="eastAsia" w:cs="宋体"/>
                      <w:kern w:val="0"/>
                      <w:szCs w:val="21"/>
                    </w:rPr>
                    <w:t>外购</w:t>
                  </w:r>
                </w:p>
              </w:tc>
            </w:tr>
            <w:tr w14:paraId="720D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5DBB27DA">
                  <w:pPr>
                    <w:widowControl/>
                    <w:jc w:val="left"/>
                    <w:rPr>
                      <w:rFonts w:cs="宋体"/>
                      <w:kern w:val="0"/>
                      <w:szCs w:val="21"/>
                    </w:rPr>
                  </w:pPr>
                </w:p>
              </w:tc>
              <w:tc>
                <w:tcPr>
                  <w:tcW w:w="1340" w:type="pct"/>
                </w:tcPr>
                <w:p w14:paraId="6FF4C606">
                  <w:pPr>
                    <w:widowControl/>
                    <w:jc w:val="center"/>
                    <w:rPr>
                      <w:rFonts w:cs="宋体"/>
                      <w:kern w:val="0"/>
                      <w:szCs w:val="21"/>
                    </w:rPr>
                  </w:pPr>
                  <w:r>
                    <w:rPr>
                      <w:rFonts w:hint="eastAsia"/>
                    </w:rPr>
                    <w:t>外加剂</w:t>
                  </w:r>
                </w:p>
              </w:tc>
              <w:tc>
                <w:tcPr>
                  <w:tcW w:w="1996" w:type="pct"/>
                </w:tcPr>
                <w:p w14:paraId="1C5DC506">
                  <w:pPr>
                    <w:widowControl/>
                    <w:jc w:val="center"/>
                    <w:rPr>
                      <w:kern w:val="0"/>
                      <w:szCs w:val="21"/>
                    </w:rPr>
                  </w:pPr>
                  <w:r>
                    <w:t>50</w:t>
                  </w:r>
                </w:p>
              </w:tc>
              <w:tc>
                <w:tcPr>
                  <w:tcW w:w="548" w:type="pct"/>
                </w:tcPr>
                <w:p w14:paraId="545C3FEF">
                  <w:pPr>
                    <w:widowControl/>
                    <w:jc w:val="center"/>
                    <w:rPr>
                      <w:rFonts w:cs="宋体"/>
                      <w:kern w:val="0"/>
                      <w:szCs w:val="21"/>
                    </w:rPr>
                  </w:pPr>
                  <w:r>
                    <w:rPr>
                      <w:rFonts w:hint="eastAsia" w:cs="宋体"/>
                      <w:kern w:val="0"/>
                      <w:szCs w:val="21"/>
                    </w:rPr>
                    <w:t>外购</w:t>
                  </w:r>
                </w:p>
              </w:tc>
            </w:tr>
            <w:tr w14:paraId="6315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0F258BBB">
                  <w:pPr>
                    <w:widowControl/>
                    <w:jc w:val="left"/>
                    <w:rPr>
                      <w:rFonts w:cs="宋体"/>
                      <w:kern w:val="0"/>
                      <w:szCs w:val="21"/>
                    </w:rPr>
                  </w:pPr>
                </w:p>
              </w:tc>
              <w:tc>
                <w:tcPr>
                  <w:tcW w:w="1340" w:type="pct"/>
                  <w:vAlign w:val="center"/>
                </w:tcPr>
                <w:p w14:paraId="2E6E4A8B">
                  <w:pPr>
                    <w:widowControl/>
                    <w:jc w:val="center"/>
                    <w:rPr>
                      <w:rFonts w:cs="宋体"/>
                      <w:kern w:val="0"/>
                      <w:szCs w:val="21"/>
                    </w:rPr>
                  </w:pPr>
                  <w:r>
                    <w:rPr>
                      <w:rFonts w:hint="eastAsia" w:cs="宋体"/>
                      <w:kern w:val="0"/>
                      <w:szCs w:val="21"/>
                    </w:rPr>
                    <w:t>合计</w:t>
                  </w:r>
                </w:p>
              </w:tc>
              <w:tc>
                <w:tcPr>
                  <w:tcW w:w="1996" w:type="pct"/>
                  <w:vAlign w:val="center"/>
                </w:tcPr>
                <w:p w14:paraId="582E8685">
                  <w:pPr>
                    <w:widowControl/>
                    <w:jc w:val="center"/>
                    <w:rPr>
                      <w:kern w:val="0"/>
                      <w:szCs w:val="21"/>
                    </w:rPr>
                  </w:pPr>
                  <w:r>
                    <w:rPr>
                      <w:rFonts w:hint="eastAsia"/>
                      <w:kern w:val="0"/>
                      <w:szCs w:val="21"/>
                    </w:rPr>
                    <w:t>10000</w:t>
                  </w:r>
                </w:p>
              </w:tc>
              <w:tc>
                <w:tcPr>
                  <w:tcW w:w="548" w:type="pct"/>
                  <w:vAlign w:val="center"/>
                </w:tcPr>
                <w:p w14:paraId="0BEB75DC">
                  <w:pPr>
                    <w:widowControl/>
                    <w:jc w:val="center"/>
                    <w:rPr>
                      <w:rFonts w:cs="宋体"/>
                      <w:kern w:val="0"/>
                      <w:szCs w:val="21"/>
                    </w:rPr>
                  </w:pPr>
                  <w:r>
                    <w:rPr>
                      <w:rFonts w:hint="eastAsia" w:cs="宋体"/>
                      <w:kern w:val="0"/>
                      <w:szCs w:val="22"/>
                    </w:rPr>
                    <w:t>/</w:t>
                  </w:r>
                </w:p>
              </w:tc>
            </w:tr>
            <w:tr w14:paraId="7C47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restart"/>
                  <w:vAlign w:val="center"/>
                </w:tcPr>
                <w:p w14:paraId="3EAE32B8">
                  <w:pPr>
                    <w:widowControl/>
                    <w:jc w:val="center"/>
                    <w:rPr>
                      <w:rFonts w:cs="宋体"/>
                      <w:kern w:val="0"/>
                      <w:szCs w:val="21"/>
                    </w:rPr>
                  </w:pPr>
                  <w:r>
                    <w:rPr>
                      <w:rFonts w:hint="eastAsia" w:cs="宋体"/>
                      <w:kern w:val="0"/>
                      <w:szCs w:val="21"/>
                    </w:rPr>
                    <w:t>特种砂浆</w:t>
                  </w:r>
                </w:p>
              </w:tc>
              <w:tc>
                <w:tcPr>
                  <w:tcW w:w="1340" w:type="pct"/>
                </w:tcPr>
                <w:p w14:paraId="3BDC8992">
                  <w:pPr>
                    <w:widowControl/>
                    <w:jc w:val="center"/>
                    <w:rPr>
                      <w:rFonts w:cs="宋体"/>
                      <w:kern w:val="0"/>
                      <w:szCs w:val="21"/>
                    </w:rPr>
                  </w:pPr>
                  <w:bookmarkStart w:id="32" w:name="OLE_LINK40"/>
                  <w:r>
                    <w:rPr>
                      <w:rFonts w:hint="eastAsia"/>
                    </w:rPr>
                    <w:t>水泥</w:t>
                  </w:r>
                  <w:bookmarkEnd w:id="32"/>
                </w:p>
              </w:tc>
              <w:tc>
                <w:tcPr>
                  <w:tcW w:w="1996" w:type="pct"/>
                </w:tcPr>
                <w:p w14:paraId="16967FE2">
                  <w:pPr>
                    <w:widowControl/>
                    <w:jc w:val="center"/>
                    <w:rPr>
                      <w:kern w:val="0"/>
                      <w:szCs w:val="21"/>
                    </w:rPr>
                  </w:pPr>
                  <w:r>
                    <w:t>2650</w:t>
                  </w:r>
                </w:p>
              </w:tc>
              <w:tc>
                <w:tcPr>
                  <w:tcW w:w="548" w:type="pct"/>
                </w:tcPr>
                <w:p w14:paraId="26B4AC69">
                  <w:pPr>
                    <w:widowControl/>
                    <w:jc w:val="center"/>
                    <w:rPr>
                      <w:rFonts w:cs="宋体"/>
                      <w:kern w:val="0"/>
                      <w:szCs w:val="22"/>
                    </w:rPr>
                  </w:pPr>
                  <w:r>
                    <w:rPr>
                      <w:rFonts w:hint="eastAsia" w:cs="宋体"/>
                      <w:kern w:val="0"/>
                      <w:szCs w:val="21"/>
                    </w:rPr>
                    <w:t>外购</w:t>
                  </w:r>
                </w:p>
              </w:tc>
            </w:tr>
            <w:tr w14:paraId="1F3F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4D7882FF">
                  <w:pPr>
                    <w:widowControl/>
                    <w:jc w:val="left"/>
                    <w:rPr>
                      <w:rFonts w:cs="宋体"/>
                      <w:kern w:val="0"/>
                      <w:szCs w:val="21"/>
                    </w:rPr>
                  </w:pPr>
                </w:p>
              </w:tc>
              <w:tc>
                <w:tcPr>
                  <w:tcW w:w="1340" w:type="pct"/>
                </w:tcPr>
                <w:p w14:paraId="23463C64">
                  <w:pPr>
                    <w:widowControl/>
                    <w:jc w:val="center"/>
                    <w:rPr>
                      <w:rFonts w:cs="宋体"/>
                      <w:kern w:val="0"/>
                      <w:szCs w:val="21"/>
                    </w:rPr>
                  </w:pPr>
                  <w:r>
                    <w:rPr>
                      <w:rFonts w:hint="eastAsia" w:cs="宋体"/>
                      <w:kern w:val="0"/>
                      <w:szCs w:val="21"/>
                    </w:rPr>
                    <w:t>机制砂0-2.36mm</w:t>
                  </w:r>
                </w:p>
              </w:tc>
              <w:tc>
                <w:tcPr>
                  <w:tcW w:w="1996" w:type="pct"/>
                </w:tcPr>
                <w:p w14:paraId="5887944E">
                  <w:pPr>
                    <w:widowControl/>
                    <w:jc w:val="center"/>
                    <w:rPr>
                      <w:kern w:val="0"/>
                      <w:szCs w:val="21"/>
                    </w:rPr>
                  </w:pPr>
                  <w:r>
                    <w:t>6700</w:t>
                  </w:r>
                </w:p>
              </w:tc>
              <w:tc>
                <w:tcPr>
                  <w:tcW w:w="548" w:type="pct"/>
                </w:tcPr>
                <w:p w14:paraId="64515537">
                  <w:pPr>
                    <w:widowControl/>
                    <w:jc w:val="center"/>
                    <w:rPr>
                      <w:rFonts w:cs="宋体"/>
                      <w:kern w:val="0"/>
                      <w:szCs w:val="22"/>
                    </w:rPr>
                  </w:pPr>
                  <w:r>
                    <w:rPr>
                      <w:rFonts w:hint="eastAsia" w:cs="宋体"/>
                      <w:kern w:val="0"/>
                      <w:szCs w:val="21"/>
                    </w:rPr>
                    <w:t>外购</w:t>
                  </w:r>
                </w:p>
              </w:tc>
            </w:tr>
            <w:tr w14:paraId="3247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52D008ED">
                  <w:pPr>
                    <w:widowControl/>
                    <w:jc w:val="left"/>
                    <w:rPr>
                      <w:rFonts w:cs="宋体"/>
                      <w:kern w:val="0"/>
                      <w:szCs w:val="21"/>
                    </w:rPr>
                  </w:pPr>
                </w:p>
              </w:tc>
              <w:tc>
                <w:tcPr>
                  <w:tcW w:w="1340" w:type="pct"/>
                </w:tcPr>
                <w:p w14:paraId="11F35D8B">
                  <w:pPr>
                    <w:widowControl/>
                    <w:jc w:val="center"/>
                    <w:rPr>
                      <w:rFonts w:cs="宋体"/>
                      <w:kern w:val="0"/>
                      <w:szCs w:val="21"/>
                    </w:rPr>
                  </w:pPr>
                  <w:r>
                    <w:rPr>
                      <w:rFonts w:hint="eastAsia"/>
                    </w:rPr>
                    <w:t>粉煤灰</w:t>
                  </w:r>
                </w:p>
              </w:tc>
              <w:tc>
                <w:tcPr>
                  <w:tcW w:w="1996" w:type="pct"/>
                </w:tcPr>
                <w:p w14:paraId="4058511F">
                  <w:pPr>
                    <w:widowControl/>
                    <w:jc w:val="center"/>
                    <w:rPr>
                      <w:kern w:val="0"/>
                      <w:szCs w:val="21"/>
                    </w:rPr>
                  </w:pPr>
                  <w:r>
                    <w:t>400</w:t>
                  </w:r>
                </w:p>
              </w:tc>
              <w:tc>
                <w:tcPr>
                  <w:tcW w:w="548" w:type="pct"/>
                </w:tcPr>
                <w:p w14:paraId="172CF1DF">
                  <w:pPr>
                    <w:widowControl/>
                    <w:jc w:val="center"/>
                    <w:rPr>
                      <w:rFonts w:cs="宋体"/>
                      <w:kern w:val="0"/>
                      <w:szCs w:val="22"/>
                    </w:rPr>
                  </w:pPr>
                  <w:r>
                    <w:rPr>
                      <w:rFonts w:hint="eastAsia" w:cs="宋体"/>
                      <w:kern w:val="0"/>
                      <w:szCs w:val="21"/>
                    </w:rPr>
                    <w:t>外购</w:t>
                  </w:r>
                </w:p>
              </w:tc>
            </w:tr>
            <w:tr w14:paraId="55CB0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06FCF8DF">
                  <w:pPr>
                    <w:widowControl/>
                    <w:jc w:val="left"/>
                    <w:rPr>
                      <w:rFonts w:cs="宋体"/>
                      <w:kern w:val="0"/>
                      <w:szCs w:val="21"/>
                    </w:rPr>
                  </w:pPr>
                </w:p>
              </w:tc>
              <w:tc>
                <w:tcPr>
                  <w:tcW w:w="1340" w:type="pct"/>
                </w:tcPr>
                <w:p w14:paraId="31E447B9">
                  <w:pPr>
                    <w:widowControl/>
                    <w:jc w:val="center"/>
                    <w:rPr>
                      <w:rFonts w:cs="宋体"/>
                      <w:kern w:val="0"/>
                      <w:szCs w:val="21"/>
                    </w:rPr>
                  </w:pPr>
                  <w:r>
                    <w:rPr>
                      <w:rFonts w:hint="eastAsia"/>
                    </w:rPr>
                    <w:t>外加剂</w:t>
                  </w:r>
                </w:p>
              </w:tc>
              <w:tc>
                <w:tcPr>
                  <w:tcW w:w="1996" w:type="pct"/>
                </w:tcPr>
                <w:p w14:paraId="1DA04D57">
                  <w:pPr>
                    <w:widowControl/>
                    <w:jc w:val="center"/>
                    <w:rPr>
                      <w:kern w:val="0"/>
                      <w:szCs w:val="21"/>
                    </w:rPr>
                  </w:pPr>
                  <w:r>
                    <w:t>250</w:t>
                  </w:r>
                </w:p>
              </w:tc>
              <w:tc>
                <w:tcPr>
                  <w:tcW w:w="548" w:type="pct"/>
                </w:tcPr>
                <w:p w14:paraId="29C3C0DF">
                  <w:pPr>
                    <w:widowControl/>
                    <w:jc w:val="center"/>
                    <w:rPr>
                      <w:rFonts w:cs="宋体"/>
                      <w:kern w:val="0"/>
                      <w:szCs w:val="22"/>
                    </w:rPr>
                  </w:pPr>
                  <w:r>
                    <w:rPr>
                      <w:rFonts w:hint="eastAsia" w:cs="宋体"/>
                      <w:kern w:val="0"/>
                      <w:szCs w:val="21"/>
                    </w:rPr>
                    <w:t>外购</w:t>
                  </w:r>
                </w:p>
              </w:tc>
            </w:tr>
            <w:tr w14:paraId="5478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6832949E">
                  <w:pPr>
                    <w:widowControl/>
                    <w:jc w:val="left"/>
                    <w:rPr>
                      <w:rFonts w:cs="宋体"/>
                      <w:kern w:val="0"/>
                      <w:szCs w:val="21"/>
                    </w:rPr>
                  </w:pPr>
                </w:p>
              </w:tc>
              <w:tc>
                <w:tcPr>
                  <w:tcW w:w="1340" w:type="pct"/>
                  <w:vAlign w:val="center"/>
                </w:tcPr>
                <w:p w14:paraId="777C4F35">
                  <w:pPr>
                    <w:widowControl/>
                    <w:jc w:val="center"/>
                    <w:rPr>
                      <w:rFonts w:cs="宋体"/>
                      <w:kern w:val="0"/>
                      <w:szCs w:val="21"/>
                    </w:rPr>
                  </w:pPr>
                  <w:r>
                    <w:rPr>
                      <w:rFonts w:hint="eastAsia" w:cs="宋体"/>
                      <w:kern w:val="0"/>
                      <w:szCs w:val="21"/>
                    </w:rPr>
                    <w:t>合计</w:t>
                  </w:r>
                </w:p>
              </w:tc>
              <w:tc>
                <w:tcPr>
                  <w:tcW w:w="1996" w:type="pct"/>
                  <w:vAlign w:val="center"/>
                </w:tcPr>
                <w:p w14:paraId="76F78DFA">
                  <w:pPr>
                    <w:widowControl/>
                    <w:jc w:val="center"/>
                    <w:rPr>
                      <w:kern w:val="0"/>
                      <w:szCs w:val="21"/>
                    </w:rPr>
                  </w:pPr>
                  <w:r>
                    <w:rPr>
                      <w:rFonts w:hint="eastAsia"/>
                      <w:kern w:val="0"/>
                      <w:szCs w:val="21"/>
                    </w:rPr>
                    <w:t>10000</w:t>
                  </w:r>
                </w:p>
              </w:tc>
              <w:tc>
                <w:tcPr>
                  <w:tcW w:w="548" w:type="pct"/>
                  <w:vAlign w:val="center"/>
                </w:tcPr>
                <w:p w14:paraId="120E950D">
                  <w:pPr>
                    <w:widowControl/>
                    <w:jc w:val="center"/>
                    <w:rPr>
                      <w:rFonts w:cs="宋体"/>
                      <w:kern w:val="0"/>
                      <w:szCs w:val="22"/>
                    </w:rPr>
                  </w:pPr>
                  <w:r>
                    <w:rPr>
                      <w:rFonts w:hint="eastAsia" w:cs="宋体"/>
                      <w:kern w:val="0"/>
                      <w:szCs w:val="22"/>
                    </w:rPr>
                    <w:t>/</w:t>
                  </w:r>
                </w:p>
              </w:tc>
            </w:tr>
            <w:tr w14:paraId="4C9D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restart"/>
                  <w:vAlign w:val="center"/>
                </w:tcPr>
                <w:p w14:paraId="3AC926D1">
                  <w:pPr>
                    <w:widowControl/>
                    <w:jc w:val="center"/>
                    <w:rPr>
                      <w:rFonts w:cs="宋体"/>
                      <w:kern w:val="0"/>
                      <w:szCs w:val="21"/>
                    </w:rPr>
                  </w:pPr>
                  <w:r>
                    <w:rPr>
                      <w:rFonts w:hint="eastAsia" w:cs="宋体"/>
                      <w:kern w:val="0"/>
                      <w:szCs w:val="21"/>
                    </w:rPr>
                    <w:t>合计</w:t>
                  </w:r>
                </w:p>
              </w:tc>
              <w:tc>
                <w:tcPr>
                  <w:tcW w:w="1340" w:type="pct"/>
                  <w:vAlign w:val="center"/>
                </w:tcPr>
                <w:p w14:paraId="51E2FC9C">
                  <w:pPr>
                    <w:widowControl/>
                    <w:jc w:val="center"/>
                    <w:rPr>
                      <w:rFonts w:cs="宋体"/>
                      <w:kern w:val="0"/>
                      <w:szCs w:val="21"/>
                    </w:rPr>
                  </w:pPr>
                  <w:r>
                    <w:rPr>
                      <w:rFonts w:hint="eastAsia"/>
                    </w:rPr>
                    <w:t>水泥</w:t>
                  </w:r>
                </w:p>
              </w:tc>
              <w:tc>
                <w:tcPr>
                  <w:tcW w:w="1996" w:type="pct"/>
                  <w:vAlign w:val="center"/>
                </w:tcPr>
                <w:p w14:paraId="0C01E0F7">
                  <w:pPr>
                    <w:widowControl/>
                    <w:jc w:val="center"/>
                    <w:rPr>
                      <w:kern w:val="0"/>
                      <w:szCs w:val="21"/>
                    </w:rPr>
                  </w:pPr>
                  <w:r>
                    <w:rPr>
                      <w:rFonts w:hint="eastAsia"/>
                      <w:kern w:val="0"/>
                      <w:szCs w:val="21"/>
                    </w:rPr>
                    <w:t>12450</w:t>
                  </w:r>
                </w:p>
              </w:tc>
              <w:tc>
                <w:tcPr>
                  <w:tcW w:w="548" w:type="pct"/>
                  <w:vAlign w:val="center"/>
                </w:tcPr>
                <w:p w14:paraId="3F20139C">
                  <w:pPr>
                    <w:widowControl/>
                    <w:jc w:val="center"/>
                    <w:rPr>
                      <w:rFonts w:cs="宋体"/>
                      <w:kern w:val="0"/>
                      <w:szCs w:val="22"/>
                    </w:rPr>
                  </w:pPr>
                  <w:bookmarkStart w:id="33" w:name="OLE_LINK41"/>
                  <w:r>
                    <w:rPr>
                      <w:rFonts w:hint="eastAsia" w:cs="宋体"/>
                      <w:kern w:val="0"/>
                      <w:szCs w:val="22"/>
                    </w:rPr>
                    <w:t>/</w:t>
                  </w:r>
                  <w:bookmarkEnd w:id="33"/>
                </w:p>
              </w:tc>
            </w:tr>
            <w:tr w14:paraId="1F75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43800BBC">
                  <w:pPr>
                    <w:widowControl/>
                    <w:jc w:val="center"/>
                    <w:rPr>
                      <w:rFonts w:cs="宋体"/>
                      <w:kern w:val="0"/>
                      <w:szCs w:val="21"/>
                    </w:rPr>
                  </w:pPr>
                </w:p>
              </w:tc>
              <w:tc>
                <w:tcPr>
                  <w:tcW w:w="1340" w:type="pct"/>
                  <w:vAlign w:val="center"/>
                </w:tcPr>
                <w:p w14:paraId="224F0DE8">
                  <w:pPr>
                    <w:widowControl/>
                    <w:jc w:val="center"/>
                    <w:rPr>
                      <w:rFonts w:cs="宋体"/>
                      <w:kern w:val="0"/>
                      <w:szCs w:val="21"/>
                    </w:rPr>
                  </w:pPr>
                  <w:r>
                    <w:rPr>
                      <w:rFonts w:hint="eastAsia" w:cs="宋体"/>
                      <w:kern w:val="0"/>
                      <w:szCs w:val="21"/>
                    </w:rPr>
                    <w:t>机制砂</w:t>
                  </w:r>
                </w:p>
              </w:tc>
              <w:tc>
                <w:tcPr>
                  <w:tcW w:w="1996" w:type="pct"/>
                  <w:vAlign w:val="center"/>
                </w:tcPr>
                <w:p w14:paraId="4DD53241">
                  <w:pPr>
                    <w:widowControl/>
                    <w:jc w:val="center"/>
                    <w:rPr>
                      <w:kern w:val="0"/>
                      <w:szCs w:val="21"/>
                    </w:rPr>
                  </w:pPr>
                  <w:r>
                    <w:rPr>
                      <w:rFonts w:hint="eastAsia"/>
                      <w:kern w:val="0"/>
                      <w:szCs w:val="21"/>
                    </w:rPr>
                    <w:t>33780</w:t>
                  </w:r>
                </w:p>
              </w:tc>
              <w:tc>
                <w:tcPr>
                  <w:tcW w:w="548" w:type="pct"/>
                </w:tcPr>
                <w:p w14:paraId="06F5D191">
                  <w:pPr>
                    <w:widowControl/>
                    <w:jc w:val="center"/>
                    <w:rPr>
                      <w:rFonts w:cs="宋体"/>
                      <w:kern w:val="0"/>
                      <w:szCs w:val="22"/>
                    </w:rPr>
                  </w:pPr>
                  <w:r>
                    <w:rPr>
                      <w:rFonts w:hint="eastAsia" w:cs="宋体"/>
                      <w:kern w:val="0"/>
                      <w:szCs w:val="22"/>
                    </w:rPr>
                    <w:t>/</w:t>
                  </w:r>
                </w:p>
              </w:tc>
            </w:tr>
            <w:tr w14:paraId="44F8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734B0371">
                  <w:pPr>
                    <w:widowControl/>
                    <w:jc w:val="center"/>
                    <w:rPr>
                      <w:rFonts w:cs="宋体"/>
                      <w:kern w:val="0"/>
                      <w:szCs w:val="21"/>
                    </w:rPr>
                  </w:pPr>
                </w:p>
              </w:tc>
              <w:tc>
                <w:tcPr>
                  <w:tcW w:w="1340" w:type="pct"/>
                  <w:vAlign w:val="center"/>
                </w:tcPr>
                <w:p w14:paraId="1FCFFE76">
                  <w:pPr>
                    <w:widowControl/>
                    <w:jc w:val="center"/>
                    <w:rPr>
                      <w:rFonts w:cs="宋体"/>
                      <w:kern w:val="0"/>
                      <w:szCs w:val="21"/>
                    </w:rPr>
                  </w:pPr>
                  <w:r>
                    <w:rPr>
                      <w:rFonts w:hint="eastAsia" w:cs="宋体"/>
                      <w:kern w:val="0"/>
                      <w:szCs w:val="21"/>
                    </w:rPr>
                    <w:t>矿渣粉</w:t>
                  </w:r>
                </w:p>
              </w:tc>
              <w:tc>
                <w:tcPr>
                  <w:tcW w:w="1996" w:type="pct"/>
                  <w:vAlign w:val="center"/>
                </w:tcPr>
                <w:p w14:paraId="0961CAD0">
                  <w:pPr>
                    <w:widowControl/>
                    <w:jc w:val="center"/>
                    <w:rPr>
                      <w:kern w:val="0"/>
                      <w:szCs w:val="21"/>
                    </w:rPr>
                  </w:pPr>
                  <w:r>
                    <w:rPr>
                      <w:rFonts w:hint="eastAsia"/>
                      <w:kern w:val="0"/>
                      <w:szCs w:val="21"/>
                    </w:rPr>
                    <w:t>1200</w:t>
                  </w:r>
                </w:p>
              </w:tc>
              <w:tc>
                <w:tcPr>
                  <w:tcW w:w="548" w:type="pct"/>
                </w:tcPr>
                <w:p w14:paraId="07AE4E28">
                  <w:pPr>
                    <w:widowControl/>
                    <w:jc w:val="center"/>
                    <w:rPr>
                      <w:rFonts w:cs="宋体"/>
                      <w:kern w:val="0"/>
                      <w:szCs w:val="22"/>
                    </w:rPr>
                  </w:pPr>
                  <w:r>
                    <w:rPr>
                      <w:rFonts w:hint="eastAsia" w:cs="宋体"/>
                      <w:kern w:val="0"/>
                      <w:szCs w:val="22"/>
                    </w:rPr>
                    <w:t>/</w:t>
                  </w:r>
                </w:p>
              </w:tc>
            </w:tr>
            <w:tr w14:paraId="6616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1E426298">
                  <w:pPr>
                    <w:widowControl/>
                    <w:jc w:val="center"/>
                    <w:rPr>
                      <w:rFonts w:cs="宋体"/>
                      <w:kern w:val="0"/>
                      <w:szCs w:val="21"/>
                    </w:rPr>
                  </w:pPr>
                </w:p>
              </w:tc>
              <w:tc>
                <w:tcPr>
                  <w:tcW w:w="1340" w:type="pct"/>
                  <w:vAlign w:val="center"/>
                </w:tcPr>
                <w:p w14:paraId="73CD2447">
                  <w:pPr>
                    <w:widowControl/>
                    <w:jc w:val="center"/>
                    <w:rPr>
                      <w:rFonts w:cs="宋体"/>
                      <w:kern w:val="0"/>
                      <w:szCs w:val="21"/>
                    </w:rPr>
                  </w:pPr>
                  <w:r>
                    <w:rPr>
                      <w:rFonts w:hint="eastAsia" w:cs="宋体"/>
                      <w:kern w:val="0"/>
                      <w:szCs w:val="21"/>
                    </w:rPr>
                    <w:t>粉煤灰</w:t>
                  </w:r>
                </w:p>
              </w:tc>
              <w:tc>
                <w:tcPr>
                  <w:tcW w:w="1996" w:type="pct"/>
                  <w:vAlign w:val="center"/>
                </w:tcPr>
                <w:p w14:paraId="1FF5A770">
                  <w:pPr>
                    <w:widowControl/>
                    <w:jc w:val="center"/>
                    <w:rPr>
                      <w:kern w:val="0"/>
                      <w:szCs w:val="21"/>
                    </w:rPr>
                  </w:pPr>
                  <w:r>
                    <w:rPr>
                      <w:rFonts w:hint="eastAsia"/>
                      <w:kern w:val="0"/>
                      <w:szCs w:val="21"/>
                    </w:rPr>
                    <w:t>1650</w:t>
                  </w:r>
                </w:p>
              </w:tc>
              <w:tc>
                <w:tcPr>
                  <w:tcW w:w="548" w:type="pct"/>
                </w:tcPr>
                <w:p w14:paraId="2E25400A">
                  <w:pPr>
                    <w:widowControl/>
                    <w:jc w:val="center"/>
                    <w:rPr>
                      <w:rFonts w:cs="宋体"/>
                      <w:kern w:val="0"/>
                      <w:szCs w:val="22"/>
                    </w:rPr>
                  </w:pPr>
                  <w:r>
                    <w:rPr>
                      <w:rFonts w:hint="eastAsia" w:cs="宋体"/>
                      <w:kern w:val="0"/>
                      <w:szCs w:val="22"/>
                    </w:rPr>
                    <w:t>/</w:t>
                  </w:r>
                </w:p>
              </w:tc>
            </w:tr>
            <w:tr w14:paraId="4D01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0C91A28E">
                  <w:pPr>
                    <w:widowControl/>
                    <w:jc w:val="center"/>
                    <w:rPr>
                      <w:rFonts w:cs="宋体"/>
                      <w:kern w:val="0"/>
                      <w:szCs w:val="21"/>
                    </w:rPr>
                  </w:pPr>
                </w:p>
              </w:tc>
              <w:tc>
                <w:tcPr>
                  <w:tcW w:w="1340" w:type="pct"/>
                  <w:vAlign w:val="center"/>
                </w:tcPr>
                <w:p w14:paraId="4A15D2BD">
                  <w:pPr>
                    <w:widowControl/>
                    <w:jc w:val="center"/>
                    <w:rPr>
                      <w:rFonts w:cs="宋体"/>
                      <w:kern w:val="0"/>
                      <w:szCs w:val="21"/>
                    </w:rPr>
                  </w:pPr>
                  <w:r>
                    <w:rPr>
                      <w:rFonts w:hint="eastAsia" w:cs="宋体"/>
                      <w:kern w:val="0"/>
                      <w:szCs w:val="21"/>
                    </w:rPr>
                    <w:t>外加剂</w:t>
                  </w:r>
                </w:p>
              </w:tc>
              <w:tc>
                <w:tcPr>
                  <w:tcW w:w="1996" w:type="pct"/>
                  <w:vAlign w:val="center"/>
                </w:tcPr>
                <w:p w14:paraId="42427C7E">
                  <w:pPr>
                    <w:widowControl/>
                    <w:jc w:val="center"/>
                    <w:rPr>
                      <w:kern w:val="0"/>
                      <w:szCs w:val="21"/>
                    </w:rPr>
                  </w:pPr>
                  <w:r>
                    <w:rPr>
                      <w:rFonts w:hint="eastAsia"/>
                      <w:kern w:val="0"/>
                      <w:szCs w:val="21"/>
                    </w:rPr>
                    <w:t>920</w:t>
                  </w:r>
                </w:p>
              </w:tc>
              <w:tc>
                <w:tcPr>
                  <w:tcW w:w="548" w:type="pct"/>
                </w:tcPr>
                <w:p w14:paraId="0BAED3D4">
                  <w:pPr>
                    <w:widowControl/>
                    <w:jc w:val="center"/>
                    <w:rPr>
                      <w:rFonts w:cs="宋体"/>
                      <w:kern w:val="0"/>
                      <w:szCs w:val="22"/>
                    </w:rPr>
                  </w:pPr>
                  <w:r>
                    <w:rPr>
                      <w:rFonts w:hint="eastAsia" w:cs="宋体"/>
                      <w:kern w:val="0"/>
                      <w:szCs w:val="22"/>
                    </w:rPr>
                    <w:t>/</w:t>
                  </w:r>
                </w:p>
              </w:tc>
            </w:tr>
            <w:tr w14:paraId="00DB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116" w:type="pct"/>
                  <w:vMerge w:val="continue"/>
                  <w:vAlign w:val="center"/>
                </w:tcPr>
                <w:p w14:paraId="41669C52">
                  <w:pPr>
                    <w:widowControl/>
                    <w:jc w:val="center"/>
                    <w:rPr>
                      <w:rFonts w:cs="宋体"/>
                      <w:kern w:val="0"/>
                      <w:szCs w:val="21"/>
                    </w:rPr>
                  </w:pPr>
                </w:p>
              </w:tc>
              <w:tc>
                <w:tcPr>
                  <w:tcW w:w="1340" w:type="pct"/>
                  <w:vAlign w:val="center"/>
                </w:tcPr>
                <w:p w14:paraId="1887DAB8">
                  <w:pPr>
                    <w:widowControl/>
                    <w:jc w:val="center"/>
                    <w:rPr>
                      <w:rFonts w:cs="宋体"/>
                      <w:kern w:val="0"/>
                      <w:szCs w:val="21"/>
                    </w:rPr>
                  </w:pPr>
                  <w:r>
                    <w:rPr>
                      <w:rFonts w:hint="eastAsia" w:cs="宋体"/>
                      <w:kern w:val="0"/>
                      <w:szCs w:val="21"/>
                    </w:rPr>
                    <w:t>合计</w:t>
                  </w:r>
                </w:p>
              </w:tc>
              <w:tc>
                <w:tcPr>
                  <w:tcW w:w="1996" w:type="pct"/>
                  <w:vAlign w:val="center"/>
                </w:tcPr>
                <w:p w14:paraId="2EDE9205">
                  <w:pPr>
                    <w:widowControl/>
                    <w:jc w:val="center"/>
                    <w:rPr>
                      <w:kern w:val="0"/>
                      <w:szCs w:val="21"/>
                    </w:rPr>
                  </w:pPr>
                  <w:r>
                    <w:rPr>
                      <w:rFonts w:hint="eastAsia"/>
                      <w:kern w:val="0"/>
                      <w:szCs w:val="21"/>
                    </w:rPr>
                    <w:t>50000</w:t>
                  </w:r>
                </w:p>
              </w:tc>
              <w:tc>
                <w:tcPr>
                  <w:tcW w:w="548" w:type="pct"/>
                </w:tcPr>
                <w:p w14:paraId="2B94A71B">
                  <w:pPr>
                    <w:widowControl/>
                    <w:jc w:val="center"/>
                    <w:rPr>
                      <w:rFonts w:cs="宋体"/>
                      <w:kern w:val="0"/>
                      <w:szCs w:val="22"/>
                    </w:rPr>
                  </w:pPr>
                  <w:r>
                    <w:rPr>
                      <w:rFonts w:hint="eastAsia" w:cs="宋体"/>
                      <w:kern w:val="0"/>
                      <w:szCs w:val="22"/>
                    </w:rPr>
                    <w:t>/</w:t>
                  </w:r>
                </w:p>
              </w:tc>
            </w:tr>
            <w:bookmarkEnd w:id="31"/>
          </w:tbl>
          <w:p w14:paraId="7D5B1ABF">
            <w:pPr>
              <w:pStyle w:val="72"/>
              <w:adjustRightInd w:val="0"/>
              <w:snapToGrid w:val="0"/>
              <w:spacing w:line="440" w:lineRule="exact"/>
              <w:ind w:firstLine="480"/>
              <w:rPr>
                <w:sz w:val="24"/>
                <w:szCs w:val="22"/>
                <w:lang w:val="en-US"/>
              </w:rPr>
            </w:pPr>
            <w:r>
              <w:rPr>
                <w:rFonts w:hint="eastAsia"/>
                <w:sz w:val="24"/>
                <w:szCs w:val="22"/>
                <w:lang w:val="en-US"/>
              </w:rPr>
              <w:t>2）原辅材料来源及理化性质</w:t>
            </w:r>
          </w:p>
          <w:p w14:paraId="2B1E1736">
            <w:pPr>
              <w:pStyle w:val="72"/>
              <w:adjustRightInd w:val="0"/>
              <w:snapToGrid w:val="0"/>
              <w:spacing w:line="440" w:lineRule="exact"/>
              <w:ind w:firstLine="480"/>
              <w:rPr>
                <w:sz w:val="24"/>
                <w:szCs w:val="22"/>
                <w:lang w:val="en-US"/>
              </w:rPr>
            </w:pPr>
            <w:r>
              <w:rPr>
                <w:rFonts w:hint="eastAsia"/>
                <w:sz w:val="24"/>
                <w:szCs w:val="22"/>
                <w:lang w:val="en-US"/>
              </w:rPr>
              <w:t>（1）机制砂</w:t>
            </w:r>
          </w:p>
          <w:p w14:paraId="3C6D415E">
            <w:pPr>
              <w:pStyle w:val="72"/>
              <w:adjustRightInd w:val="0"/>
              <w:snapToGrid w:val="0"/>
              <w:spacing w:line="440" w:lineRule="exact"/>
              <w:ind w:firstLine="480"/>
              <w:rPr>
                <w:sz w:val="24"/>
                <w:szCs w:val="22"/>
                <w:lang w:val="en-US"/>
              </w:rPr>
            </w:pPr>
            <w:r>
              <w:rPr>
                <w:rFonts w:hint="eastAsia"/>
                <w:sz w:val="24"/>
                <w:szCs w:val="22"/>
                <w:lang w:val="en-US"/>
              </w:rPr>
              <w:t>本项目使用的不同粒径</w:t>
            </w:r>
            <w:bookmarkStart w:id="34" w:name="OLE_LINK105"/>
            <w:r>
              <w:rPr>
                <w:rFonts w:hint="eastAsia"/>
                <w:sz w:val="24"/>
                <w:szCs w:val="22"/>
                <w:lang w:val="en-US"/>
              </w:rPr>
              <w:t>机制砂</w:t>
            </w:r>
            <w:bookmarkEnd w:id="34"/>
            <w:r>
              <w:rPr>
                <w:rFonts w:hint="eastAsia"/>
                <w:sz w:val="24"/>
                <w:szCs w:val="22"/>
                <w:lang w:val="en-US"/>
              </w:rPr>
              <w:t>均由市场外购，企业周边有多家生产机制砂的厂家，产量能够满足本项目需求。</w:t>
            </w:r>
          </w:p>
          <w:p w14:paraId="46718951">
            <w:pPr>
              <w:pStyle w:val="72"/>
              <w:adjustRightInd w:val="0"/>
              <w:snapToGrid w:val="0"/>
              <w:spacing w:line="440" w:lineRule="exact"/>
              <w:ind w:firstLine="480"/>
              <w:rPr>
                <w:sz w:val="24"/>
                <w:szCs w:val="22"/>
                <w:lang w:val="en-US"/>
              </w:rPr>
            </w:pPr>
            <w:r>
              <w:rPr>
                <w:rFonts w:hint="eastAsia"/>
                <w:sz w:val="24"/>
                <w:szCs w:val="22"/>
                <w:lang w:val="en-US"/>
              </w:rPr>
              <w:t>（2）粉状物料</w:t>
            </w:r>
          </w:p>
          <w:p w14:paraId="0CADBDEC">
            <w:pPr>
              <w:pStyle w:val="72"/>
              <w:adjustRightInd w:val="0"/>
              <w:snapToGrid w:val="0"/>
              <w:spacing w:line="440" w:lineRule="exact"/>
              <w:ind w:firstLine="480"/>
              <w:rPr>
                <w:sz w:val="24"/>
                <w:szCs w:val="22"/>
                <w:lang w:val="en-US"/>
              </w:rPr>
            </w:pPr>
            <w:r>
              <w:rPr>
                <w:rFonts w:hint="eastAsia"/>
                <w:sz w:val="24"/>
                <w:szCs w:val="22"/>
                <w:lang w:val="en-US"/>
              </w:rPr>
              <w:t>包括水泥、粉煤灰等，市场外购。其中水泥、粉煤灰通过专用吸排罐车运输至厂区后，通过气力输送至各筒仓，主要化学成分</w:t>
            </w:r>
            <w:bookmarkStart w:id="35" w:name="OLE_LINK2"/>
            <w:r>
              <w:rPr>
                <w:rFonts w:hint="eastAsia"/>
                <w:sz w:val="24"/>
                <w:szCs w:val="22"/>
                <w:lang w:val="en-US"/>
              </w:rPr>
              <w:t>CaO、SiO</w:t>
            </w:r>
            <w:r>
              <w:rPr>
                <w:rFonts w:hint="eastAsia"/>
                <w:sz w:val="24"/>
                <w:szCs w:val="22"/>
                <w:vertAlign w:val="subscript"/>
                <w:lang w:val="en-US"/>
              </w:rPr>
              <w:t>2</w:t>
            </w:r>
            <w:r>
              <w:rPr>
                <w:rFonts w:hint="eastAsia"/>
                <w:sz w:val="24"/>
                <w:szCs w:val="22"/>
                <w:lang w:val="en-US"/>
              </w:rPr>
              <w:t>、Al</w:t>
            </w:r>
            <w:r>
              <w:rPr>
                <w:rFonts w:hint="eastAsia"/>
                <w:sz w:val="24"/>
                <w:szCs w:val="22"/>
                <w:vertAlign w:val="subscript"/>
                <w:lang w:val="en-US"/>
              </w:rPr>
              <w:t>2</w:t>
            </w:r>
            <w:r>
              <w:rPr>
                <w:rFonts w:hint="eastAsia"/>
                <w:sz w:val="24"/>
                <w:szCs w:val="22"/>
                <w:lang w:val="en-US"/>
              </w:rPr>
              <w:t>O</w:t>
            </w:r>
            <w:r>
              <w:rPr>
                <w:rFonts w:hint="eastAsia"/>
                <w:sz w:val="24"/>
                <w:szCs w:val="22"/>
                <w:vertAlign w:val="subscript"/>
                <w:lang w:val="en-US"/>
              </w:rPr>
              <w:t>3</w:t>
            </w:r>
            <w:bookmarkEnd w:id="35"/>
            <w:r>
              <w:rPr>
                <w:rFonts w:hint="eastAsia"/>
                <w:sz w:val="24"/>
                <w:szCs w:val="22"/>
                <w:lang w:val="en-US"/>
              </w:rPr>
              <w:t>、Fe</w:t>
            </w:r>
            <w:r>
              <w:rPr>
                <w:rFonts w:hint="eastAsia"/>
                <w:sz w:val="24"/>
                <w:szCs w:val="22"/>
                <w:vertAlign w:val="subscript"/>
                <w:lang w:val="en-US"/>
              </w:rPr>
              <w:t>2</w:t>
            </w:r>
            <w:r>
              <w:rPr>
                <w:rFonts w:hint="eastAsia"/>
                <w:sz w:val="24"/>
                <w:szCs w:val="22"/>
                <w:lang w:val="en-US"/>
              </w:rPr>
              <w:t>O</w:t>
            </w:r>
            <w:r>
              <w:rPr>
                <w:rFonts w:hint="eastAsia"/>
                <w:sz w:val="24"/>
                <w:szCs w:val="22"/>
                <w:vertAlign w:val="subscript"/>
                <w:lang w:val="en-US"/>
              </w:rPr>
              <w:t>3</w:t>
            </w:r>
            <w:r>
              <w:rPr>
                <w:rFonts w:hint="eastAsia"/>
                <w:sz w:val="24"/>
                <w:szCs w:val="22"/>
                <w:lang w:val="en-US"/>
              </w:rPr>
              <w:t>。</w:t>
            </w:r>
          </w:p>
          <w:p w14:paraId="005BC3E1">
            <w:pPr>
              <w:pStyle w:val="72"/>
              <w:adjustRightInd w:val="0"/>
              <w:snapToGrid w:val="0"/>
              <w:spacing w:line="440" w:lineRule="exact"/>
              <w:ind w:firstLine="480"/>
              <w:rPr>
                <w:sz w:val="24"/>
                <w:szCs w:val="22"/>
                <w:lang w:val="en-US"/>
              </w:rPr>
            </w:pPr>
            <w:r>
              <w:rPr>
                <w:rFonts w:hint="eastAsia"/>
                <w:sz w:val="24"/>
                <w:szCs w:val="22"/>
                <w:lang w:val="en-US"/>
              </w:rPr>
              <w:t>（3）矿渣粉</w:t>
            </w:r>
          </w:p>
          <w:p w14:paraId="5B764A9B">
            <w:pPr>
              <w:pStyle w:val="72"/>
              <w:adjustRightInd w:val="0"/>
              <w:snapToGrid w:val="0"/>
              <w:spacing w:line="440" w:lineRule="exact"/>
              <w:ind w:firstLine="480"/>
              <w:rPr>
                <w:sz w:val="24"/>
                <w:szCs w:val="22"/>
                <w:lang w:val="en-US"/>
              </w:rPr>
            </w:pPr>
            <w:r>
              <w:rPr>
                <w:sz w:val="24"/>
                <w:szCs w:val="22"/>
                <w:lang w:val="en-US"/>
              </w:rPr>
              <w:t>本项目</w:t>
            </w:r>
            <w:r>
              <w:rPr>
                <w:rFonts w:hint="eastAsia"/>
                <w:sz w:val="24"/>
                <w:szCs w:val="22"/>
                <w:lang w:val="en-US"/>
              </w:rPr>
              <w:t>采用</w:t>
            </w:r>
            <w:r>
              <w:rPr>
                <w:sz w:val="24"/>
                <w:szCs w:val="22"/>
                <w:lang w:val="en-US"/>
              </w:rPr>
              <w:t>S95级粒化高炉矿渣粉，物理上呈浅灰色干燥粉末状，密度不小于2.8g/cm³；化学组分以</w:t>
            </w:r>
            <w:r>
              <w:rPr>
                <w:rFonts w:hint="eastAsia"/>
                <w:sz w:val="24"/>
                <w:szCs w:val="22"/>
                <w:lang w:val="en-US"/>
              </w:rPr>
              <w:t>CaO、SiO</w:t>
            </w:r>
            <w:r>
              <w:rPr>
                <w:rFonts w:hint="eastAsia"/>
                <w:sz w:val="24"/>
                <w:szCs w:val="22"/>
                <w:vertAlign w:val="subscript"/>
                <w:lang w:val="en-US"/>
              </w:rPr>
              <w:t>2</w:t>
            </w:r>
            <w:r>
              <w:rPr>
                <w:rFonts w:hint="eastAsia"/>
                <w:sz w:val="24"/>
                <w:szCs w:val="22"/>
                <w:lang w:val="en-US"/>
              </w:rPr>
              <w:t>、Al</w:t>
            </w:r>
            <w:r>
              <w:rPr>
                <w:rFonts w:hint="eastAsia"/>
                <w:sz w:val="24"/>
                <w:szCs w:val="22"/>
                <w:vertAlign w:val="subscript"/>
                <w:lang w:val="en-US"/>
              </w:rPr>
              <w:t>2</w:t>
            </w:r>
            <w:r>
              <w:rPr>
                <w:rFonts w:hint="eastAsia"/>
                <w:sz w:val="24"/>
                <w:szCs w:val="22"/>
                <w:lang w:val="en-US"/>
              </w:rPr>
              <w:t>O</w:t>
            </w:r>
            <w:r>
              <w:rPr>
                <w:rFonts w:hint="eastAsia"/>
                <w:sz w:val="24"/>
                <w:szCs w:val="22"/>
                <w:vertAlign w:val="subscript"/>
                <w:lang w:val="en-US"/>
              </w:rPr>
              <w:t>3</w:t>
            </w:r>
            <w:r>
              <w:rPr>
                <w:sz w:val="24"/>
                <w:szCs w:val="22"/>
                <w:lang w:val="en-US"/>
              </w:rPr>
              <w:t>为主，玻璃体含量较高，具备潜在水硬性，掺入砂浆后可发挥微集料效应，与水泥水化产物氢氧化钙发生二次水化反应，优化砂浆孔结构，提升喷层密实度、抗渗及抗碳化性能，降低水化热，改善干粉砂浆工作性能。</w:t>
            </w:r>
          </w:p>
          <w:p w14:paraId="6418FB2B">
            <w:pPr>
              <w:pStyle w:val="72"/>
              <w:adjustRightInd w:val="0"/>
              <w:snapToGrid w:val="0"/>
              <w:spacing w:line="440" w:lineRule="exact"/>
              <w:ind w:firstLine="480"/>
              <w:rPr>
                <w:sz w:val="24"/>
                <w:szCs w:val="22"/>
                <w:lang w:val="en-US"/>
              </w:rPr>
            </w:pPr>
            <w:r>
              <w:rPr>
                <w:rFonts w:hint="eastAsia"/>
                <w:sz w:val="24"/>
                <w:szCs w:val="22"/>
                <w:lang w:val="en-US"/>
              </w:rPr>
              <w:t>（4）添加剂</w:t>
            </w:r>
          </w:p>
          <w:p w14:paraId="2D688733">
            <w:pPr>
              <w:pStyle w:val="72"/>
              <w:adjustRightInd w:val="0"/>
              <w:snapToGrid w:val="0"/>
              <w:spacing w:line="440" w:lineRule="exact"/>
              <w:ind w:firstLine="480"/>
              <w:rPr>
                <w:sz w:val="24"/>
                <w:szCs w:val="22"/>
                <w:lang w:val="en-US"/>
              </w:rPr>
            </w:pPr>
            <w:r>
              <w:rPr>
                <w:rFonts w:hint="eastAsia"/>
                <w:sz w:val="24"/>
                <w:szCs w:val="22"/>
                <w:lang w:val="en-US"/>
              </w:rPr>
              <w:t>各类砂浆添加剂均由市场外购，采用封闭袋装储存。主要化学成分为纤维素，是一种以聚丙烯为主要原料以独特生产工艺制造而成的高强度束状单丝纤维，加入砂浆中可有效地控制砂浆固塑性收缩、干缩、温度变化等因素引起的微裂缝，防止及抑制裂缝的形成及发展，大大改善阻裂抗渗性能，抗冲击及抗震能力，可以广泛地适用于各种砂浆。</w:t>
            </w:r>
          </w:p>
          <w:p w14:paraId="1E177C8E">
            <w:pPr>
              <w:pStyle w:val="72"/>
              <w:adjustRightInd w:val="0"/>
              <w:snapToGrid w:val="0"/>
              <w:spacing w:line="440" w:lineRule="exact"/>
              <w:ind w:firstLine="480"/>
              <w:rPr>
                <w:bCs/>
                <w:sz w:val="24"/>
                <w:szCs w:val="22"/>
                <w:lang w:val="en-US"/>
              </w:rPr>
            </w:pPr>
            <w:r>
              <w:rPr>
                <w:rFonts w:hint="eastAsia"/>
                <w:sz w:val="24"/>
                <w:szCs w:val="22"/>
                <w:lang w:val="en-US"/>
              </w:rPr>
              <w:t>本项目使用的机制砂经汽车运输入厂，卸入全封闭车间原料堆存区内，</w:t>
            </w:r>
            <w:r>
              <w:rPr>
                <w:rFonts w:hint="eastAsia"/>
                <w:bCs/>
                <w:sz w:val="24"/>
                <w:szCs w:val="22"/>
                <w:lang w:val="en-US"/>
              </w:rPr>
              <w:t>有效堆存面积12</w:t>
            </w:r>
            <w:r>
              <w:rPr>
                <w:bCs/>
                <w:sz w:val="24"/>
                <w:szCs w:val="22"/>
                <w:lang w:val="en-US"/>
              </w:rPr>
              <w:t>0</w:t>
            </w:r>
            <w:r>
              <w:rPr>
                <w:rFonts w:hint="eastAsia"/>
                <w:bCs/>
                <w:sz w:val="24"/>
                <w:szCs w:val="22"/>
                <w:lang w:val="en-US"/>
              </w:rPr>
              <w:t>m</w:t>
            </w:r>
            <w:r>
              <w:rPr>
                <w:rFonts w:hint="eastAsia"/>
                <w:bCs/>
                <w:sz w:val="24"/>
                <w:szCs w:val="22"/>
                <w:vertAlign w:val="superscript"/>
                <w:lang w:val="en-US"/>
              </w:rPr>
              <w:t>2</w:t>
            </w:r>
            <w:r>
              <w:rPr>
                <w:rFonts w:hint="eastAsia"/>
                <w:bCs/>
                <w:sz w:val="24"/>
                <w:szCs w:val="22"/>
                <w:lang w:val="en-US"/>
              </w:rPr>
              <w:t>，不同粒径机制砂在堆场内</w:t>
            </w:r>
            <w:r>
              <w:rPr>
                <w:bCs/>
                <w:sz w:val="24"/>
                <w:szCs w:val="22"/>
                <w:lang w:val="en-US"/>
              </w:rPr>
              <w:t>分区堆存</w:t>
            </w:r>
            <w:r>
              <w:rPr>
                <w:rFonts w:hint="eastAsia"/>
                <w:bCs/>
                <w:sz w:val="24"/>
                <w:szCs w:val="22"/>
                <w:lang w:val="en-US"/>
              </w:rPr>
              <w:t>，原料堆场利用系数0.8计，平均堆料高按4.5m计，堆积密度平均按1</w:t>
            </w:r>
            <w:r>
              <w:rPr>
                <w:bCs/>
                <w:sz w:val="24"/>
                <w:szCs w:val="22"/>
                <w:lang w:val="en-US"/>
              </w:rPr>
              <w:t>.</w:t>
            </w:r>
            <w:r>
              <w:rPr>
                <w:rFonts w:hint="eastAsia"/>
                <w:bCs/>
                <w:sz w:val="24"/>
                <w:szCs w:val="22"/>
                <w:lang w:val="en-US"/>
              </w:rPr>
              <w:t>5t</w:t>
            </w:r>
            <w:r>
              <w:rPr>
                <w:bCs/>
                <w:sz w:val="24"/>
                <w:szCs w:val="22"/>
                <w:lang w:val="en-US"/>
              </w:rPr>
              <w:t>/</w:t>
            </w:r>
            <w:r>
              <w:rPr>
                <w:rFonts w:hint="eastAsia"/>
                <w:bCs/>
                <w:sz w:val="24"/>
                <w:szCs w:val="22"/>
                <w:lang w:val="en-US"/>
              </w:rPr>
              <w:t>m</w:t>
            </w:r>
            <w:r>
              <w:rPr>
                <w:bCs/>
                <w:sz w:val="24"/>
                <w:szCs w:val="22"/>
                <w:vertAlign w:val="superscript"/>
                <w:lang w:val="en-US"/>
              </w:rPr>
              <w:t>3</w:t>
            </w:r>
            <w:r>
              <w:rPr>
                <w:rFonts w:hint="eastAsia"/>
                <w:bCs/>
                <w:sz w:val="24"/>
                <w:szCs w:val="22"/>
                <w:lang w:val="en-US"/>
              </w:rPr>
              <w:t>计，则可堆存约648吨的机制砂，本项目年用机制砂3.4万t，则原料堆存区可堆存约6天的生产用机制砂，完全可以满足生产用机制砂的堆存要求。</w:t>
            </w:r>
          </w:p>
          <w:p w14:paraId="061222F0">
            <w:pPr>
              <w:pStyle w:val="72"/>
              <w:adjustRightInd w:val="0"/>
              <w:snapToGrid w:val="0"/>
              <w:spacing w:line="440" w:lineRule="exact"/>
              <w:ind w:firstLine="480"/>
              <w:rPr>
                <w:bCs/>
                <w:sz w:val="24"/>
                <w:szCs w:val="22"/>
                <w:lang w:val="en-US"/>
              </w:rPr>
            </w:pPr>
            <w:r>
              <w:rPr>
                <w:rFonts w:hint="eastAsia"/>
                <w:bCs/>
                <w:sz w:val="24"/>
                <w:szCs w:val="22"/>
                <w:lang w:val="en-US"/>
              </w:rPr>
              <w:t>项目水泥、粉煤灰、矿渣粉经罐车运输入厂，卸入水泥筒仓、粉煤灰（矿渣粉）筒仓中。</w:t>
            </w:r>
            <w:r>
              <w:rPr>
                <w:rFonts w:hint="eastAsia"/>
                <w:bCs/>
                <w:sz w:val="24"/>
                <w:szCs w:val="24"/>
              </w:rPr>
              <w:t>本项目设1座全封闭水泥筒仓用于外购水泥储存；设置1座全封闭</w:t>
            </w:r>
            <w:r>
              <w:rPr>
                <w:rFonts w:hint="eastAsia"/>
                <w:sz w:val="24"/>
                <w:szCs w:val="32"/>
              </w:rPr>
              <w:t>粉煤灰（矿渣粉）</w:t>
            </w:r>
            <w:r>
              <w:rPr>
                <w:rFonts w:hint="eastAsia"/>
                <w:bCs/>
                <w:sz w:val="24"/>
                <w:szCs w:val="24"/>
              </w:rPr>
              <w:t>筒仓，根据外供产品种类用于粉煤灰或矿渣粉的储存（本项目同一时段仅生产一类产品，粉煤灰与矿渣粉不同时使用）。</w:t>
            </w:r>
            <w:r>
              <w:rPr>
                <w:rFonts w:hint="eastAsia"/>
                <w:sz w:val="24"/>
                <w:szCs w:val="22"/>
              </w:rPr>
              <w:t>筒仓底部分别由螺旋输送器连接至配料秤斗，各原料经配料秤斗分别计量后，通过螺旋输送器转运至斗式提升机，由主进料口卸入双轴混合机。</w:t>
            </w:r>
          </w:p>
          <w:p w14:paraId="00D31261">
            <w:pPr>
              <w:pStyle w:val="72"/>
              <w:adjustRightInd w:val="0"/>
              <w:snapToGrid w:val="0"/>
              <w:spacing w:line="440" w:lineRule="exact"/>
              <w:ind w:firstLine="480"/>
              <w:rPr>
                <w:bCs/>
                <w:color w:val="EE0000"/>
                <w:sz w:val="24"/>
                <w:szCs w:val="22"/>
                <w:lang w:val="en-US"/>
              </w:rPr>
            </w:pPr>
            <w:r>
              <w:rPr>
                <w:rFonts w:hint="eastAsia"/>
                <w:bCs/>
                <w:sz w:val="24"/>
                <w:szCs w:val="22"/>
                <w:lang w:val="en-US"/>
              </w:rPr>
              <w:t>本项目在</w:t>
            </w:r>
            <w:r>
              <w:rPr>
                <w:rFonts w:hint="eastAsia"/>
                <w:sz w:val="24"/>
                <w:szCs w:val="22"/>
              </w:rPr>
              <w:t>混合机正下方1座成品缓存仓</w:t>
            </w:r>
            <w:r>
              <w:rPr>
                <w:rFonts w:hint="eastAsia"/>
                <w:bCs/>
                <w:sz w:val="24"/>
                <w:szCs w:val="22"/>
                <w:lang w:val="en-US"/>
              </w:rPr>
              <w:t>，用于成品包装过程的缓存仓，</w:t>
            </w:r>
            <w:r>
              <w:rPr>
                <w:rFonts w:hint="eastAsia"/>
                <w:sz w:val="24"/>
                <w:szCs w:val="22"/>
              </w:rPr>
              <w:t>成品砂浆通过密闭卸料闸阀落入缓存仓内</w:t>
            </w:r>
            <w:r>
              <w:rPr>
                <w:rFonts w:hint="eastAsia"/>
                <w:bCs/>
                <w:sz w:val="24"/>
                <w:szCs w:val="22"/>
                <w:lang w:val="en-US"/>
              </w:rPr>
              <w:t>，</w:t>
            </w:r>
            <w:r>
              <w:rPr>
                <w:rFonts w:hint="eastAsia"/>
                <w:sz w:val="24"/>
                <w:szCs w:val="22"/>
              </w:rPr>
              <w:t>随即由缓存仓底部密闭螺旋输送至全自动阀口包装机包装打包后送至成品存放区</w:t>
            </w:r>
            <w:r>
              <w:rPr>
                <w:rFonts w:hint="eastAsia"/>
                <w:bCs/>
                <w:sz w:val="24"/>
                <w:szCs w:val="22"/>
                <w:lang w:val="en-US"/>
              </w:rPr>
              <w:t>，不在缓存仓内长期储存。</w:t>
            </w:r>
          </w:p>
          <w:p w14:paraId="3C74C7C3">
            <w:pPr>
              <w:pStyle w:val="86"/>
              <w:ind w:firstLine="480"/>
              <w:rPr>
                <w:sz w:val="24"/>
              </w:rPr>
            </w:pPr>
            <w:r>
              <w:rPr>
                <w:rFonts w:hint="eastAsia"/>
                <w:sz w:val="24"/>
              </w:rPr>
              <w:t>3）物料平衡</w:t>
            </w:r>
          </w:p>
          <w:p w14:paraId="67206A57">
            <w:pPr>
              <w:pStyle w:val="86"/>
              <w:ind w:firstLine="480"/>
              <w:rPr>
                <w:b/>
                <w:bCs/>
                <w:sz w:val="24"/>
              </w:rPr>
            </w:pPr>
            <w:r>
              <w:rPr>
                <w:rFonts w:hint="eastAsia"/>
                <w:sz w:val="24"/>
              </w:rPr>
              <w:t>本项目物料平衡见下表</w:t>
            </w:r>
            <w:r>
              <w:rPr>
                <w:rFonts w:hint="eastAsia"/>
                <w:b/>
                <w:bCs/>
                <w:sz w:val="24"/>
              </w:rPr>
              <w:t>。</w:t>
            </w:r>
          </w:p>
          <w:p w14:paraId="619C837D">
            <w:pPr>
              <w:adjustRightInd w:val="0"/>
              <w:snapToGrid w:val="0"/>
              <w:spacing w:line="400" w:lineRule="exact"/>
              <w:jc w:val="center"/>
              <w:rPr>
                <w:rFonts w:hint="eastAsia" w:ascii="宋体" w:hAnsi="宋体" w:cs="宋体"/>
                <w:bCs/>
                <w:spacing w:val="-10"/>
                <w:sz w:val="24"/>
              </w:rPr>
            </w:pPr>
            <w:r>
              <w:rPr>
                <w:rFonts w:hint="eastAsia" w:ascii="宋体" w:hAnsi="宋体" w:cs="宋体"/>
                <w:bCs/>
                <w:spacing w:val="-10"/>
                <w:sz w:val="24"/>
              </w:rPr>
              <w:t>表2-4  物料平衡表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6"/>
              <w:gridCol w:w="1853"/>
              <w:gridCol w:w="2734"/>
              <w:gridCol w:w="1461"/>
            </w:tblGrid>
            <w:tr w14:paraId="0CFB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pct"/>
                  <w:gridSpan w:val="2"/>
                  <w:vAlign w:val="center"/>
                </w:tcPr>
                <w:p w14:paraId="4C6D443A">
                  <w:pPr>
                    <w:pStyle w:val="86"/>
                    <w:spacing w:line="300" w:lineRule="exact"/>
                    <w:ind w:firstLine="0" w:firstLineChars="0"/>
                    <w:jc w:val="center"/>
                  </w:pPr>
                  <w:r>
                    <w:rPr>
                      <w:rFonts w:hint="eastAsia"/>
                    </w:rPr>
                    <w:t>投入（t/a）</w:t>
                  </w:r>
                </w:p>
              </w:tc>
              <w:tc>
                <w:tcPr>
                  <w:tcW w:w="2538" w:type="pct"/>
                  <w:gridSpan w:val="2"/>
                  <w:vAlign w:val="center"/>
                </w:tcPr>
                <w:p w14:paraId="16DF3B8A">
                  <w:pPr>
                    <w:pStyle w:val="86"/>
                    <w:spacing w:line="300" w:lineRule="exact"/>
                    <w:ind w:firstLine="0" w:firstLineChars="0"/>
                    <w:jc w:val="center"/>
                  </w:pPr>
                  <w:r>
                    <w:rPr>
                      <w:rFonts w:hint="eastAsia"/>
                    </w:rPr>
                    <w:t>产出（t/a）</w:t>
                  </w:r>
                </w:p>
              </w:tc>
            </w:tr>
            <w:tr w14:paraId="0324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1" w:type="pct"/>
                  <w:vAlign w:val="center"/>
                </w:tcPr>
                <w:p w14:paraId="370559BC">
                  <w:pPr>
                    <w:pStyle w:val="86"/>
                    <w:spacing w:line="300" w:lineRule="exact"/>
                    <w:ind w:firstLine="0" w:firstLineChars="0"/>
                    <w:jc w:val="center"/>
                  </w:pPr>
                  <w:r>
                    <w:rPr>
                      <w:rFonts w:hint="eastAsia"/>
                    </w:rPr>
                    <w:t>水泥</w:t>
                  </w:r>
                </w:p>
              </w:tc>
              <w:tc>
                <w:tcPr>
                  <w:tcW w:w="1121" w:type="pct"/>
                  <w:vAlign w:val="center"/>
                </w:tcPr>
                <w:p w14:paraId="63506506">
                  <w:pPr>
                    <w:pStyle w:val="86"/>
                    <w:spacing w:line="300" w:lineRule="exact"/>
                    <w:ind w:firstLine="0" w:firstLineChars="0"/>
                    <w:jc w:val="center"/>
                  </w:pPr>
                  <w:r>
                    <w:rPr>
                      <w:rFonts w:hint="eastAsia"/>
                    </w:rPr>
                    <w:t>12450.01</w:t>
                  </w:r>
                </w:p>
              </w:tc>
              <w:tc>
                <w:tcPr>
                  <w:tcW w:w="1654" w:type="pct"/>
                  <w:vAlign w:val="center"/>
                </w:tcPr>
                <w:p w14:paraId="1E408E51">
                  <w:pPr>
                    <w:pStyle w:val="86"/>
                    <w:spacing w:line="300" w:lineRule="exact"/>
                    <w:ind w:firstLine="0" w:firstLineChars="0"/>
                    <w:jc w:val="center"/>
                  </w:pPr>
                  <w:r>
                    <w:rPr>
                      <w:rFonts w:hint="eastAsia"/>
                    </w:rPr>
                    <w:t>矿用喷射干粉砂浆</w:t>
                  </w:r>
                </w:p>
              </w:tc>
              <w:tc>
                <w:tcPr>
                  <w:tcW w:w="884" w:type="pct"/>
                  <w:vAlign w:val="center"/>
                </w:tcPr>
                <w:p w14:paraId="2DA08BEC">
                  <w:pPr>
                    <w:pStyle w:val="86"/>
                    <w:spacing w:line="300" w:lineRule="exact"/>
                    <w:ind w:firstLine="0" w:firstLineChars="0"/>
                    <w:jc w:val="center"/>
                  </w:pPr>
                  <w:r>
                    <w:rPr>
                      <w:rFonts w:hint="eastAsia"/>
                    </w:rPr>
                    <w:t>20000</w:t>
                  </w:r>
                </w:p>
              </w:tc>
            </w:tr>
            <w:tr w14:paraId="6AFC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1" w:type="pct"/>
                  <w:vAlign w:val="center"/>
                </w:tcPr>
                <w:p w14:paraId="3268D7FB">
                  <w:pPr>
                    <w:pStyle w:val="86"/>
                    <w:spacing w:line="300" w:lineRule="exact"/>
                    <w:ind w:firstLine="0" w:firstLineChars="0"/>
                    <w:jc w:val="center"/>
                  </w:pPr>
                  <w:r>
                    <w:rPr>
                      <w:rFonts w:hint="eastAsia" w:cs="宋体"/>
                    </w:rPr>
                    <w:t>机制砂</w:t>
                  </w:r>
                </w:p>
              </w:tc>
              <w:tc>
                <w:tcPr>
                  <w:tcW w:w="1121" w:type="pct"/>
                  <w:vAlign w:val="center"/>
                </w:tcPr>
                <w:p w14:paraId="7B32880E">
                  <w:pPr>
                    <w:pStyle w:val="86"/>
                    <w:spacing w:line="300" w:lineRule="exact"/>
                    <w:ind w:firstLine="0" w:firstLineChars="0"/>
                    <w:jc w:val="center"/>
                  </w:pPr>
                  <w:r>
                    <w:rPr>
                      <w:rFonts w:hint="eastAsia"/>
                    </w:rPr>
                    <w:t>33780.84</w:t>
                  </w:r>
                </w:p>
              </w:tc>
              <w:tc>
                <w:tcPr>
                  <w:tcW w:w="1654" w:type="pct"/>
                  <w:vAlign w:val="center"/>
                </w:tcPr>
                <w:p w14:paraId="5C9A8A0E">
                  <w:pPr>
                    <w:pStyle w:val="86"/>
                    <w:spacing w:line="300" w:lineRule="exact"/>
                    <w:ind w:firstLine="0" w:firstLineChars="0"/>
                    <w:jc w:val="center"/>
                  </w:pPr>
                  <w:r>
                    <w:rPr>
                      <w:rFonts w:hint="eastAsia"/>
                    </w:rPr>
                    <w:t>砌筑砂浆</w:t>
                  </w:r>
                </w:p>
              </w:tc>
              <w:tc>
                <w:tcPr>
                  <w:tcW w:w="884" w:type="pct"/>
                  <w:vAlign w:val="center"/>
                </w:tcPr>
                <w:p w14:paraId="2FAF166D">
                  <w:pPr>
                    <w:pStyle w:val="86"/>
                    <w:spacing w:line="300" w:lineRule="exact"/>
                    <w:ind w:firstLine="0" w:firstLineChars="0"/>
                    <w:jc w:val="center"/>
                  </w:pPr>
                  <w:r>
                    <w:rPr>
                      <w:rFonts w:hint="eastAsia"/>
                    </w:rPr>
                    <w:t>10000</w:t>
                  </w:r>
                </w:p>
              </w:tc>
            </w:tr>
            <w:tr w14:paraId="70F8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1" w:type="pct"/>
                  <w:vAlign w:val="center"/>
                </w:tcPr>
                <w:p w14:paraId="641239C4">
                  <w:pPr>
                    <w:pStyle w:val="86"/>
                    <w:spacing w:line="300" w:lineRule="exact"/>
                    <w:ind w:firstLine="0" w:firstLineChars="0"/>
                    <w:jc w:val="center"/>
                  </w:pPr>
                  <w:r>
                    <w:rPr>
                      <w:rFonts w:hint="eastAsia" w:cs="宋体"/>
                    </w:rPr>
                    <w:t>矿渣粉</w:t>
                  </w:r>
                </w:p>
              </w:tc>
              <w:tc>
                <w:tcPr>
                  <w:tcW w:w="1121" w:type="pct"/>
                  <w:vAlign w:val="center"/>
                </w:tcPr>
                <w:p w14:paraId="2A3F105C">
                  <w:pPr>
                    <w:pStyle w:val="86"/>
                    <w:spacing w:line="300" w:lineRule="exact"/>
                    <w:ind w:firstLine="0" w:firstLineChars="0"/>
                    <w:jc w:val="center"/>
                  </w:pPr>
                  <w:r>
                    <w:rPr>
                      <w:rFonts w:hint="eastAsia"/>
                    </w:rPr>
                    <w:t>1200.001</w:t>
                  </w:r>
                </w:p>
              </w:tc>
              <w:tc>
                <w:tcPr>
                  <w:tcW w:w="1654" w:type="pct"/>
                  <w:vAlign w:val="center"/>
                </w:tcPr>
                <w:p w14:paraId="50637270">
                  <w:pPr>
                    <w:pStyle w:val="86"/>
                    <w:spacing w:line="300" w:lineRule="exact"/>
                    <w:ind w:firstLine="0" w:firstLineChars="0"/>
                    <w:jc w:val="center"/>
                  </w:pPr>
                  <w:r>
                    <w:rPr>
                      <w:rFonts w:hint="eastAsia"/>
                    </w:rPr>
                    <w:t>抹面砂浆</w:t>
                  </w:r>
                </w:p>
              </w:tc>
              <w:tc>
                <w:tcPr>
                  <w:tcW w:w="884" w:type="pct"/>
                </w:tcPr>
                <w:p w14:paraId="122A0470">
                  <w:pPr>
                    <w:pStyle w:val="86"/>
                    <w:spacing w:line="300" w:lineRule="exact"/>
                    <w:ind w:firstLine="0" w:firstLineChars="0"/>
                    <w:jc w:val="center"/>
                  </w:pPr>
                  <w:r>
                    <w:rPr>
                      <w:rFonts w:hint="eastAsia"/>
                    </w:rPr>
                    <w:t>10000</w:t>
                  </w:r>
                </w:p>
              </w:tc>
            </w:tr>
            <w:tr w14:paraId="48CA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1" w:type="pct"/>
                  <w:vAlign w:val="center"/>
                </w:tcPr>
                <w:p w14:paraId="1A1C61AE">
                  <w:pPr>
                    <w:pStyle w:val="86"/>
                    <w:spacing w:line="300" w:lineRule="exact"/>
                    <w:ind w:firstLine="0" w:firstLineChars="0"/>
                    <w:jc w:val="center"/>
                  </w:pPr>
                  <w:r>
                    <w:rPr>
                      <w:rFonts w:hint="eastAsia" w:cs="宋体"/>
                    </w:rPr>
                    <w:t>粉煤灰</w:t>
                  </w:r>
                </w:p>
              </w:tc>
              <w:tc>
                <w:tcPr>
                  <w:tcW w:w="1121" w:type="pct"/>
                  <w:vAlign w:val="center"/>
                </w:tcPr>
                <w:p w14:paraId="4DDC1C6A">
                  <w:pPr>
                    <w:pStyle w:val="86"/>
                    <w:spacing w:line="300" w:lineRule="exact"/>
                    <w:ind w:firstLine="0" w:firstLineChars="0"/>
                    <w:jc w:val="center"/>
                  </w:pPr>
                  <w:r>
                    <w:rPr>
                      <w:rFonts w:hint="eastAsia"/>
                    </w:rPr>
                    <w:t>1650.001</w:t>
                  </w:r>
                </w:p>
              </w:tc>
              <w:tc>
                <w:tcPr>
                  <w:tcW w:w="1654" w:type="pct"/>
                  <w:vAlign w:val="center"/>
                </w:tcPr>
                <w:p w14:paraId="103ADDEF">
                  <w:pPr>
                    <w:pStyle w:val="86"/>
                    <w:spacing w:line="300" w:lineRule="exact"/>
                    <w:ind w:firstLine="0" w:firstLineChars="0"/>
                    <w:jc w:val="center"/>
                  </w:pPr>
                  <w:r>
                    <w:rPr>
                      <w:rFonts w:hint="eastAsia"/>
                    </w:rPr>
                    <w:t>特定砂浆</w:t>
                  </w:r>
                </w:p>
              </w:tc>
              <w:tc>
                <w:tcPr>
                  <w:tcW w:w="884" w:type="pct"/>
                </w:tcPr>
                <w:p w14:paraId="3D60E1FB">
                  <w:pPr>
                    <w:pStyle w:val="86"/>
                    <w:spacing w:line="300" w:lineRule="exact"/>
                    <w:ind w:firstLine="0" w:firstLineChars="0"/>
                    <w:jc w:val="center"/>
                  </w:pPr>
                  <w:r>
                    <w:rPr>
                      <w:rFonts w:hint="eastAsia"/>
                    </w:rPr>
                    <w:t>10000</w:t>
                  </w:r>
                </w:p>
              </w:tc>
            </w:tr>
            <w:tr w14:paraId="0875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1" w:type="pct"/>
                  <w:vAlign w:val="center"/>
                </w:tcPr>
                <w:p w14:paraId="0FC4C128">
                  <w:pPr>
                    <w:pStyle w:val="86"/>
                    <w:spacing w:line="300" w:lineRule="exact"/>
                    <w:ind w:firstLine="0" w:firstLineChars="0"/>
                    <w:jc w:val="center"/>
                  </w:pPr>
                  <w:r>
                    <w:rPr>
                      <w:rFonts w:hint="eastAsia" w:cs="宋体"/>
                    </w:rPr>
                    <w:t>外加剂</w:t>
                  </w:r>
                </w:p>
              </w:tc>
              <w:tc>
                <w:tcPr>
                  <w:tcW w:w="1121" w:type="pct"/>
                  <w:vAlign w:val="center"/>
                </w:tcPr>
                <w:p w14:paraId="0A32DE12">
                  <w:pPr>
                    <w:pStyle w:val="86"/>
                    <w:spacing w:line="300" w:lineRule="exact"/>
                    <w:ind w:firstLine="0" w:firstLineChars="0"/>
                    <w:jc w:val="center"/>
                  </w:pPr>
                  <w:r>
                    <w:rPr>
                      <w:rFonts w:hint="eastAsia"/>
                    </w:rPr>
                    <w:t>920</w:t>
                  </w:r>
                </w:p>
              </w:tc>
              <w:tc>
                <w:tcPr>
                  <w:tcW w:w="1654" w:type="pct"/>
                  <w:vAlign w:val="center"/>
                </w:tcPr>
                <w:p w14:paraId="5C7E1767">
                  <w:pPr>
                    <w:pStyle w:val="86"/>
                    <w:spacing w:line="300" w:lineRule="exact"/>
                    <w:ind w:firstLine="0" w:firstLineChars="0"/>
                    <w:jc w:val="center"/>
                  </w:pPr>
                  <w:r>
                    <w:rPr>
                      <w:rFonts w:hint="eastAsia"/>
                    </w:rPr>
                    <w:t>除尘灰</w:t>
                  </w:r>
                </w:p>
              </w:tc>
              <w:tc>
                <w:tcPr>
                  <w:tcW w:w="884" w:type="pct"/>
                  <w:vAlign w:val="center"/>
                </w:tcPr>
                <w:p w14:paraId="6C54B377">
                  <w:pPr>
                    <w:pStyle w:val="86"/>
                    <w:spacing w:line="300" w:lineRule="exact"/>
                    <w:ind w:firstLine="0" w:firstLineChars="0"/>
                    <w:jc w:val="center"/>
                  </w:pPr>
                  <w:r>
                    <w:rPr>
                      <w:rFonts w:hint="eastAsia"/>
                    </w:rPr>
                    <w:t>28.2</w:t>
                  </w:r>
                </w:p>
              </w:tc>
            </w:tr>
            <w:tr w14:paraId="13EB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1" w:type="pct"/>
                  <w:vAlign w:val="center"/>
                </w:tcPr>
                <w:p w14:paraId="2AA23693">
                  <w:pPr>
                    <w:pStyle w:val="86"/>
                    <w:spacing w:line="300" w:lineRule="exact"/>
                    <w:ind w:firstLine="0" w:firstLineChars="0"/>
                    <w:jc w:val="center"/>
                  </w:pPr>
                  <w:r>
                    <w:rPr>
                      <w:rFonts w:hint="eastAsia"/>
                    </w:rPr>
                    <w:t>除尘灰</w:t>
                  </w:r>
                </w:p>
              </w:tc>
              <w:tc>
                <w:tcPr>
                  <w:tcW w:w="1121" w:type="pct"/>
                  <w:vAlign w:val="center"/>
                </w:tcPr>
                <w:p w14:paraId="2C1479EC">
                  <w:pPr>
                    <w:pStyle w:val="86"/>
                    <w:spacing w:line="300" w:lineRule="exact"/>
                    <w:ind w:firstLine="0" w:firstLineChars="0"/>
                    <w:jc w:val="center"/>
                  </w:pPr>
                  <w:r>
                    <w:rPr>
                      <w:rFonts w:hint="eastAsia"/>
                    </w:rPr>
                    <w:t>28.2</w:t>
                  </w:r>
                </w:p>
              </w:tc>
              <w:tc>
                <w:tcPr>
                  <w:tcW w:w="1654" w:type="pct"/>
                  <w:vAlign w:val="center"/>
                </w:tcPr>
                <w:p w14:paraId="28962861">
                  <w:pPr>
                    <w:pStyle w:val="86"/>
                    <w:spacing w:line="300" w:lineRule="exact"/>
                    <w:ind w:firstLine="0" w:firstLineChars="0"/>
                    <w:jc w:val="center"/>
                  </w:pPr>
                  <w:r>
                    <w:rPr>
                      <w:rFonts w:hint="eastAsia"/>
                    </w:rPr>
                    <w:t>颗粒物</w:t>
                  </w:r>
                </w:p>
              </w:tc>
              <w:tc>
                <w:tcPr>
                  <w:tcW w:w="884" w:type="pct"/>
                  <w:vAlign w:val="center"/>
                </w:tcPr>
                <w:p w14:paraId="2397DC52">
                  <w:pPr>
                    <w:pStyle w:val="86"/>
                    <w:spacing w:line="300" w:lineRule="exact"/>
                    <w:ind w:firstLine="0" w:firstLineChars="0"/>
                    <w:jc w:val="center"/>
                  </w:pPr>
                  <w:r>
                    <w:rPr>
                      <w:rFonts w:hint="eastAsia"/>
                    </w:rPr>
                    <w:t>0.852</w:t>
                  </w:r>
                </w:p>
              </w:tc>
            </w:tr>
            <w:tr w14:paraId="6F15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1" w:type="pct"/>
                  <w:vAlign w:val="center"/>
                </w:tcPr>
                <w:p w14:paraId="5C66671D">
                  <w:pPr>
                    <w:pStyle w:val="86"/>
                    <w:spacing w:line="300" w:lineRule="exact"/>
                    <w:ind w:firstLine="0" w:firstLineChars="0"/>
                    <w:jc w:val="center"/>
                  </w:pPr>
                  <w:r>
                    <w:rPr>
                      <w:rFonts w:hint="eastAsia"/>
                    </w:rPr>
                    <w:t>小计</w:t>
                  </w:r>
                </w:p>
              </w:tc>
              <w:tc>
                <w:tcPr>
                  <w:tcW w:w="1121" w:type="pct"/>
                  <w:vAlign w:val="center"/>
                </w:tcPr>
                <w:p w14:paraId="5F8EBB0B">
                  <w:pPr>
                    <w:pStyle w:val="86"/>
                    <w:spacing w:line="300" w:lineRule="exact"/>
                    <w:ind w:firstLine="0" w:firstLineChars="0"/>
                    <w:jc w:val="center"/>
                  </w:pPr>
                  <w:r>
                    <w:rPr>
                      <w:rFonts w:hint="eastAsia"/>
                    </w:rPr>
                    <w:t>50029.052</w:t>
                  </w:r>
                </w:p>
              </w:tc>
              <w:tc>
                <w:tcPr>
                  <w:tcW w:w="1654" w:type="pct"/>
                  <w:vAlign w:val="center"/>
                </w:tcPr>
                <w:p w14:paraId="01AA8A57">
                  <w:pPr>
                    <w:pStyle w:val="86"/>
                    <w:spacing w:line="300" w:lineRule="exact"/>
                    <w:ind w:firstLine="0" w:firstLineChars="0"/>
                    <w:jc w:val="center"/>
                  </w:pPr>
                  <w:r>
                    <w:rPr>
                      <w:rFonts w:hint="eastAsia"/>
                    </w:rPr>
                    <w:t>小计</w:t>
                  </w:r>
                </w:p>
              </w:tc>
              <w:tc>
                <w:tcPr>
                  <w:tcW w:w="884" w:type="pct"/>
                  <w:vAlign w:val="center"/>
                </w:tcPr>
                <w:p w14:paraId="0689C9F5">
                  <w:pPr>
                    <w:pStyle w:val="86"/>
                    <w:spacing w:line="300" w:lineRule="exact"/>
                    <w:ind w:firstLine="0" w:firstLineChars="0"/>
                    <w:jc w:val="center"/>
                  </w:pPr>
                  <w:r>
                    <w:rPr>
                      <w:rFonts w:hint="eastAsia"/>
                    </w:rPr>
                    <w:t>50029.052</w:t>
                  </w:r>
                </w:p>
              </w:tc>
            </w:tr>
          </w:tbl>
          <w:p w14:paraId="21E1A731">
            <w:pPr>
              <w:pStyle w:val="91"/>
              <w:spacing w:before="0" w:after="0" w:line="440" w:lineRule="exact"/>
            </w:pPr>
            <w:r>
              <w:rPr>
                <w:rFonts w:hint="eastAsia"/>
              </w:rPr>
              <w:t>三、主要生产设施及设施参数</w:t>
            </w:r>
          </w:p>
          <w:p w14:paraId="68D7C243">
            <w:pPr>
              <w:pStyle w:val="72"/>
              <w:spacing w:line="440" w:lineRule="exact"/>
              <w:ind w:firstLine="480"/>
              <w:rPr>
                <w:sz w:val="24"/>
                <w:szCs w:val="22"/>
              </w:rPr>
            </w:pPr>
            <w:bookmarkStart w:id="36" w:name="_Hlk218438759"/>
            <w:r>
              <w:rPr>
                <w:rFonts w:hint="eastAsia"/>
                <w:sz w:val="24"/>
                <w:szCs w:val="22"/>
              </w:rPr>
              <w:t>本项目主要生产设备配置如下：</w:t>
            </w:r>
          </w:p>
          <w:p w14:paraId="38447EC6">
            <w:pPr>
              <w:pStyle w:val="45"/>
              <w:rPr>
                <w:rFonts w:ascii="Times New Roman" w:hAnsi="Times New Roman"/>
                <w:sz w:val="24"/>
                <w:szCs w:val="24"/>
              </w:rPr>
            </w:pPr>
            <w:r>
              <w:rPr>
                <w:rFonts w:hint="eastAsia" w:ascii="Times New Roman" w:hAnsi="Times New Roman"/>
                <w:sz w:val="24"/>
                <w:szCs w:val="24"/>
              </w:rPr>
              <w:t>表2-5  主要生产设备表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1"/>
              <w:gridCol w:w="2292"/>
              <w:gridCol w:w="1332"/>
              <w:gridCol w:w="2593"/>
              <w:gridCol w:w="713"/>
              <w:gridCol w:w="713"/>
            </w:tblGrid>
            <w:tr w14:paraId="113F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36C04420">
                  <w:pPr>
                    <w:widowControl/>
                    <w:jc w:val="center"/>
                    <w:rPr>
                      <w:kern w:val="0"/>
                      <w:szCs w:val="21"/>
                    </w:rPr>
                  </w:pPr>
                  <w:bookmarkStart w:id="37" w:name="_Hlk234000721"/>
                  <w:r>
                    <w:rPr>
                      <w:kern w:val="0"/>
                      <w:szCs w:val="21"/>
                    </w:rPr>
                    <w:t>序号</w:t>
                  </w:r>
                </w:p>
              </w:tc>
              <w:tc>
                <w:tcPr>
                  <w:tcW w:w="1387" w:type="pct"/>
                  <w:vAlign w:val="center"/>
                </w:tcPr>
                <w:p w14:paraId="0902636F">
                  <w:pPr>
                    <w:widowControl/>
                    <w:jc w:val="center"/>
                    <w:rPr>
                      <w:kern w:val="0"/>
                      <w:szCs w:val="21"/>
                    </w:rPr>
                  </w:pPr>
                  <w:r>
                    <w:rPr>
                      <w:kern w:val="0"/>
                      <w:szCs w:val="21"/>
                    </w:rPr>
                    <w:t>设备</w:t>
                  </w:r>
                </w:p>
              </w:tc>
              <w:tc>
                <w:tcPr>
                  <w:tcW w:w="806" w:type="pct"/>
                  <w:vAlign w:val="center"/>
                </w:tcPr>
                <w:p w14:paraId="3BAD4AB4">
                  <w:pPr>
                    <w:widowControl/>
                    <w:jc w:val="center"/>
                    <w:rPr>
                      <w:kern w:val="0"/>
                      <w:szCs w:val="21"/>
                    </w:rPr>
                  </w:pPr>
                  <w:r>
                    <w:rPr>
                      <w:kern w:val="0"/>
                      <w:szCs w:val="21"/>
                    </w:rPr>
                    <w:t>型号</w:t>
                  </w:r>
                </w:p>
              </w:tc>
              <w:tc>
                <w:tcPr>
                  <w:tcW w:w="1569" w:type="pct"/>
                  <w:vAlign w:val="center"/>
                </w:tcPr>
                <w:p w14:paraId="0217A9C5">
                  <w:pPr>
                    <w:widowControl/>
                    <w:jc w:val="center"/>
                    <w:rPr>
                      <w:kern w:val="0"/>
                      <w:szCs w:val="21"/>
                    </w:rPr>
                  </w:pPr>
                  <w:r>
                    <w:rPr>
                      <w:rFonts w:hint="eastAsia"/>
                      <w:kern w:val="0"/>
                      <w:szCs w:val="21"/>
                    </w:rPr>
                    <w:t>规格及</w:t>
                  </w:r>
                  <w:r>
                    <w:rPr>
                      <w:kern w:val="0"/>
                      <w:szCs w:val="21"/>
                    </w:rPr>
                    <w:t>能力</w:t>
                  </w:r>
                </w:p>
              </w:tc>
              <w:tc>
                <w:tcPr>
                  <w:tcW w:w="431" w:type="pct"/>
                  <w:vAlign w:val="center"/>
                </w:tcPr>
                <w:p w14:paraId="60D89DE4">
                  <w:pPr>
                    <w:widowControl/>
                    <w:jc w:val="center"/>
                    <w:rPr>
                      <w:kern w:val="0"/>
                      <w:szCs w:val="21"/>
                    </w:rPr>
                  </w:pPr>
                  <w:r>
                    <w:rPr>
                      <w:kern w:val="0"/>
                      <w:szCs w:val="21"/>
                    </w:rPr>
                    <w:t>单位</w:t>
                  </w:r>
                </w:p>
              </w:tc>
              <w:tc>
                <w:tcPr>
                  <w:tcW w:w="431" w:type="pct"/>
                  <w:vAlign w:val="center"/>
                </w:tcPr>
                <w:p w14:paraId="712E1DED">
                  <w:pPr>
                    <w:widowControl/>
                    <w:jc w:val="center"/>
                    <w:rPr>
                      <w:kern w:val="0"/>
                      <w:szCs w:val="21"/>
                    </w:rPr>
                  </w:pPr>
                  <w:r>
                    <w:rPr>
                      <w:kern w:val="0"/>
                      <w:szCs w:val="21"/>
                    </w:rPr>
                    <w:t>数量</w:t>
                  </w:r>
                </w:p>
              </w:tc>
            </w:tr>
            <w:tr w14:paraId="0DB1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39CBC1DB">
                  <w:pPr>
                    <w:widowControl/>
                    <w:jc w:val="center"/>
                    <w:rPr>
                      <w:kern w:val="0"/>
                      <w:szCs w:val="21"/>
                    </w:rPr>
                  </w:pPr>
                  <w:r>
                    <w:rPr>
                      <w:rFonts w:hint="eastAsia"/>
                      <w:kern w:val="0"/>
                      <w:szCs w:val="21"/>
                    </w:rPr>
                    <w:t>1</w:t>
                  </w:r>
                </w:p>
              </w:tc>
              <w:tc>
                <w:tcPr>
                  <w:tcW w:w="1387" w:type="pct"/>
                  <w:vAlign w:val="center"/>
                </w:tcPr>
                <w:p w14:paraId="58D8D01D">
                  <w:pPr>
                    <w:widowControl/>
                    <w:jc w:val="center"/>
                    <w:rPr>
                      <w:kern w:val="0"/>
                      <w:szCs w:val="21"/>
                    </w:rPr>
                  </w:pPr>
                  <w:r>
                    <w:rPr>
                      <w:rFonts w:hint="eastAsia"/>
                      <w:kern w:val="0"/>
                      <w:szCs w:val="21"/>
                    </w:rPr>
                    <w:t>无重力双轴混合机</w:t>
                  </w:r>
                </w:p>
              </w:tc>
              <w:tc>
                <w:tcPr>
                  <w:tcW w:w="806" w:type="pct"/>
                  <w:vAlign w:val="center"/>
                </w:tcPr>
                <w:p w14:paraId="10B4D569">
                  <w:pPr>
                    <w:widowControl/>
                    <w:jc w:val="center"/>
                    <w:rPr>
                      <w:kern w:val="0"/>
                      <w:szCs w:val="21"/>
                    </w:rPr>
                  </w:pPr>
                  <w:r>
                    <w:rPr>
                      <w:rFonts w:hint="eastAsia"/>
                      <w:kern w:val="0"/>
                      <w:szCs w:val="21"/>
                    </w:rPr>
                    <w:t>WZ4</w:t>
                  </w:r>
                </w:p>
              </w:tc>
              <w:tc>
                <w:tcPr>
                  <w:tcW w:w="1569" w:type="pct"/>
                  <w:vAlign w:val="center"/>
                </w:tcPr>
                <w:p w14:paraId="046BCDB4">
                  <w:pPr>
                    <w:widowControl/>
                    <w:jc w:val="center"/>
                    <w:rPr>
                      <w:kern w:val="0"/>
                      <w:szCs w:val="21"/>
                    </w:rPr>
                  </w:pPr>
                  <w:r>
                    <w:rPr>
                      <w:rFonts w:hint="eastAsia"/>
                      <w:kern w:val="0"/>
                      <w:szCs w:val="21"/>
                    </w:rPr>
                    <w:t>1800kg/批，5min/批</w:t>
                  </w:r>
                </w:p>
              </w:tc>
              <w:tc>
                <w:tcPr>
                  <w:tcW w:w="431" w:type="pct"/>
                  <w:vAlign w:val="center"/>
                </w:tcPr>
                <w:p w14:paraId="36BF1A7A">
                  <w:pPr>
                    <w:widowControl/>
                    <w:jc w:val="center"/>
                    <w:rPr>
                      <w:kern w:val="0"/>
                      <w:szCs w:val="21"/>
                    </w:rPr>
                  </w:pPr>
                  <w:r>
                    <w:rPr>
                      <w:rFonts w:hint="eastAsia"/>
                      <w:kern w:val="0"/>
                      <w:szCs w:val="21"/>
                    </w:rPr>
                    <w:t>台</w:t>
                  </w:r>
                </w:p>
              </w:tc>
              <w:tc>
                <w:tcPr>
                  <w:tcW w:w="431" w:type="pct"/>
                  <w:vAlign w:val="center"/>
                </w:tcPr>
                <w:p w14:paraId="5C679AFA">
                  <w:pPr>
                    <w:widowControl/>
                    <w:jc w:val="center"/>
                    <w:rPr>
                      <w:kern w:val="0"/>
                      <w:szCs w:val="21"/>
                    </w:rPr>
                  </w:pPr>
                  <w:r>
                    <w:rPr>
                      <w:rFonts w:hint="eastAsia"/>
                      <w:kern w:val="0"/>
                      <w:szCs w:val="21"/>
                    </w:rPr>
                    <w:t>1</w:t>
                  </w:r>
                </w:p>
              </w:tc>
            </w:tr>
            <w:tr w14:paraId="1278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6628CA1D">
                  <w:pPr>
                    <w:widowControl/>
                    <w:jc w:val="center"/>
                    <w:rPr>
                      <w:rFonts w:eastAsia="等线"/>
                      <w:szCs w:val="21"/>
                    </w:rPr>
                  </w:pPr>
                  <w:r>
                    <w:rPr>
                      <w:rFonts w:hint="eastAsia" w:eastAsia="等线"/>
                      <w:szCs w:val="21"/>
                    </w:rPr>
                    <w:t>2</w:t>
                  </w:r>
                </w:p>
              </w:tc>
              <w:tc>
                <w:tcPr>
                  <w:tcW w:w="1387" w:type="pct"/>
                  <w:noWrap/>
                  <w:vAlign w:val="center"/>
                </w:tcPr>
                <w:p w14:paraId="45DEAADA">
                  <w:pPr>
                    <w:widowControl/>
                    <w:jc w:val="center"/>
                    <w:rPr>
                      <w:kern w:val="0"/>
                      <w:szCs w:val="21"/>
                    </w:rPr>
                  </w:pPr>
                  <w:r>
                    <w:rPr>
                      <w:rFonts w:hint="eastAsia"/>
                      <w:kern w:val="0"/>
                      <w:szCs w:val="21"/>
                    </w:rPr>
                    <w:t>斗式提升机</w:t>
                  </w:r>
                </w:p>
              </w:tc>
              <w:tc>
                <w:tcPr>
                  <w:tcW w:w="806" w:type="pct"/>
                  <w:noWrap/>
                  <w:vAlign w:val="center"/>
                </w:tcPr>
                <w:p w14:paraId="0A4D51C1">
                  <w:pPr>
                    <w:widowControl/>
                    <w:jc w:val="center"/>
                    <w:rPr>
                      <w:kern w:val="0"/>
                      <w:szCs w:val="21"/>
                    </w:rPr>
                  </w:pPr>
                  <w:r>
                    <w:rPr>
                      <w:rFonts w:hint="eastAsia"/>
                      <w:kern w:val="0"/>
                      <w:szCs w:val="21"/>
                    </w:rPr>
                    <w:t>TH315</w:t>
                  </w:r>
                </w:p>
              </w:tc>
              <w:tc>
                <w:tcPr>
                  <w:tcW w:w="1569" w:type="pct"/>
                  <w:vAlign w:val="center"/>
                </w:tcPr>
                <w:p w14:paraId="53460372">
                  <w:pPr>
                    <w:widowControl/>
                    <w:jc w:val="center"/>
                    <w:rPr>
                      <w:kern w:val="0"/>
                      <w:szCs w:val="21"/>
                    </w:rPr>
                  </w:pPr>
                  <w:r>
                    <w:rPr>
                      <w:rFonts w:hint="eastAsia"/>
                      <w:kern w:val="0"/>
                      <w:szCs w:val="21"/>
                    </w:rPr>
                    <w:t>提升量25～30t/h</w:t>
                  </w:r>
                </w:p>
              </w:tc>
              <w:tc>
                <w:tcPr>
                  <w:tcW w:w="431" w:type="pct"/>
                  <w:noWrap/>
                  <w:vAlign w:val="center"/>
                </w:tcPr>
                <w:p w14:paraId="3FFF1E4E">
                  <w:pPr>
                    <w:widowControl/>
                    <w:jc w:val="center"/>
                    <w:rPr>
                      <w:kern w:val="0"/>
                      <w:szCs w:val="21"/>
                    </w:rPr>
                  </w:pPr>
                  <w:r>
                    <w:rPr>
                      <w:rFonts w:hint="eastAsia"/>
                      <w:kern w:val="0"/>
                      <w:szCs w:val="21"/>
                    </w:rPr>
                    <w:t>台</w:t>
                  </w:r>
                </w:p>
              </w:tc>
              <w:tc>
                <w:tcPr>
                  <w:tcW w:w="431" w:type="pct"/>
                  <w:noWrap/>
                  <w:vAlign w:val="center"/>
                </w:tcPr>
                <w:p w14:paraId="393A73C6">
                  <w:pPr>
                    <w:widowControl/>
                    <w:jc w:val="center"/>
                    <w:rPr>
                      <w:kern w:val="0"/>
                      <w:szCs w:val="21"/>
                    </w:rPr>
                  </w:pPr>
                  <w:r>
                    <w:rPr>
                      <w:rFonts w:hint="eastAsia"/>
                      <w:kern w:val="0"/>
                      <w:szCs w:val="21"/>
                    </w:rPr>
                    <w:t>1</w:t>
                  </w:r>
                </w:p>
              </w:tc>
            </w:tr>
            <w:tr w14:paraId="1B0E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294EB3F6">
                  <w:pPr>
                    <w:widowControl/>
                    <w:jc w:val="center"/>
                    <w:rPr>
                      <w:rFonts w:eastAsia="等线"/>
                      <w:szCs w:val="21"/>
                    </w:rPr>
                  </w:pPr>
                  <w:r>
                    <w:rPr>
                      <w:rFonts w:hint="eastAsia" w:eastAsia="等线"/>
                      <w:szCs w:val="21"/>
                    </w:rPr>
                    <w:t>3</w:t>
                  </w:r>
                </w:p>
              </w:tc>
              <w:tc>
                <w:tcPr>
                  <w:tcW w:w="1387" w:type="pct"/>
                  <w:noWrap/>
                  <w:vAlign w:val="center"/>
                </w:tcPr>
                <w:p w14:paraId="4B5A9E36">
                  <w:pPr>
                    <w:widowControl/>
                    <w:jc w:val="center"/>
                    <w:rPr>
                      <w:kern w:val="0"/>
                      <w:szCs w:val="21"/>
                    </w:rPr>
                  </w:pPr>
                  <w:r>
                    <w:rPr>
                      <w:rFonts w:hint="eastAsia"/>
                      <w:kern w:val="0"/>
                      <w:szCs w:val="21"/>
                    </w:rPr>
                    <w:t>螺旋输送机</w:t>
                  </w:r>
                </w:p>
              </w:tc>
              <w:tc>
                <w:tcPr>
                  <w:tcW w:w="806" w:type="pct"/>
                  <w:noWrap/>
                  <w:vAlign w:val="center"/>
                </w:tcPr>
                <w:p w14:paraId="6E746025">
                  <w:pPr>
                    <w:widowControl/>
                    <w:jc w:val="center"/>
                    <w:rPr>
                      <w:kern w:val="0"/>
                      <w:szCs w:val="21"/>
                    </w:rPr>
                  </w:pPr>
                  <w:r>
                    <w:rPr>
                      <w:rFonts w:hint="eastAsia"/>
                      <w:kern w:val="0"/>
                      <w:szCs w:val="21"/>
                    </w:rPr>
                    <w:t>/</w:t>
                  </w:r>
                </w:p>
              </w:tc>
              <w:tc>
                <w:tcPr>
                  <w:tcW w:w="1569" w:type="pct"/>
                  <w:vAlign w:val="center"/>
                </w:tcPr>
                <w:p w14:paraId="0199662E">
                  <w:pPr>
                    <w:widowControl/>
                    <w:jc w:val="center"/>
                    <w:rPr>
                      <w:kern w:val="0"/>
                      <w:szCs w:val="21"/>
                    </w:rPr>
                  </w:pPr>
                  <w:r>
                    <w:rPr>
                      <w:rFonts w:hint="eastAsia"/>
                      <w:kern w:val="0"/>
                      <w:szCs w:val="21"/>
                    </w:rPr>
                    <w:t>4M—5M   叶片厚3mm</w:t>
                  </w:r>
                </w:p>
              </w:tc>
              <w:tc>
                <w:tcPr>
                  <w:tcW w:w="431" w:type="pct"/>
                  <w:noWrap/>
                  <w:vAlign w:val="center"/>
                </w:tcPr>
                <w:p w14:paraId="74F19433">
                  <w:pPr>
                    <w:widowControl/>
                    <w:jc w:val="center"/>
                    <w:rPr>
                      <w:kern w:val="0"/>
                      <w:szCs w:val="21"/>
                    </w:rPr>
                  </w:pPr>
                  <w:r>
                    <w:rPr>
                      <w:rFonts w:hint="eastAsia"/>
                      <w:kern w:val="0"/>
                      <w:szCs w:val="21"/>
                    </w:rPr>
                    <w:t>台</w:t>
                  </w:r>
                </w:p>
              </w:tc>
              <w:tc>
                <w:tcPr>
                  <w:tcW w:w="431" w:type="pct"/>
                  <w:noWrap/>
                  <w:vAlign w:val="center"/>
                </w:tcPr>
                <w:p w14:paraId="72CF7025">
                  <w:pPr>
                    <w:widowControl/>
                    <w:jc w:val="center"/>
                    <w:rPr>
                      <w:kern w:val="0"/>
                      <w:szCs w:val="21"/>
                    </w:rPr>
                  </w:pPr>
                  <w:r>
                    <w:rPr>
                      <w:rFonts w:hint="eastAsia"/>
                      <w:kern w:val="0"/>
                      <w:szCs w:val="21"/>
                    </w:rPr>
                    <w:t>2</w:t>
                  </w:r>
                </w:p>
              </w:tc>
            </w:tr>
            <w:tr w14:paraId="3F4C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0C7A7609">
                  <w:pPr>
                    <w:widowControl/>
                    <w:jc w:val="center"/>
                    <w:rPr>
                      <w:rFonts w:eastAsia="等线"/>
                      <w:szCs w:val="21"/>
                    </w:rPr>
                  </w:pPr>
                  <w:r>
                    <w:rPr>
                      <w:rFonts w:hint="eastAsia" w:eastAsia="等线"/>
                      <w:szCs w:val="21"/>
                    </w:rPr>
                    <w:t>4</w:t>
                  </w:r>
                </w:p>
              </w:tc>
              <w:tc>
                <w:tcPr>
                  <w:tcW w:w="1387" w:type="pct"/>
                  <w:noWrap/>
                  <w:vAlign w:val="center"/>
                </w:tcPr>
                <w:p w14:paraId="510EF65C">
                  <w:pPr>
                    <w:widowControl/>
                    <w:jc w:val="center"/>
                    <w:rPr>
                      <w:kern w:val="0"/>
                      <w:szCs w:val="21"/>
                    </w:rPr>
                  </w:pPr>
                  <w:r>
                    <w:rPr>
                      <w:rFonts w:hint="eastAsia"/>
                      <w:kern w:val="0"/>
                      <w:szCs w:val="21"/>
                    </w:rPr>
                    <w:t>气动包装机</w:t>
                  </w:r>
                </w:p>
              </w:tc>
              <w:tc>
                <w:tcPr>
                  <w:tcW w:w="806" w:type="pct"/>
                  <w:noWrap/>
                  <w:vAlign w:val="center"/>
                </w:tcPr>
                <w:p w14:paraId="460DFF03">
                  <w:pPr>
                    <w:widowControl/>
                    <w:jc w:val="center"/>
                    <w:rPr>
                      <w:kern w:val="0"/>
                      <w:szCs w:val="21"/>
                    </w:rPr>
                  </w:pPr>
                  <w:bookmarkStart w:id="38" w:name="OLE_LINK6"/>
                  <w:r>
                    <w:rPr>
                      <w:kern w:val="0"/>
                      <w:szCs w:val="21"/>
                    </w:rPr>
                    <w:t>LCQC-01</w:t>
                  </w:r>
                  <w:bookmarkEnd w:id="38"/>
                </w:p>
              </w:tc>
              <w:tc>
                <w:tcPr>
                  <w:tcW w:w="1569" w:type="pct"/>
                  <w:vAlign w:val="center"/>
                </w:tcPr>
                <w:p w14:paraId="21FCFCE5">
                  <w:pPr>
                    <w:widowControl/>
                    <w:jc w:val="center"/>
                    <w:rPr>
                      <w:kern w:val="0"/>
                      <w:szCs w:val="21"/>
                    </w:rPr>
                  </w:pPr>
                  <w:r>
                    <w:rPr>
                      <w:rFonts w:hint="eastAsia"/>
                      <w:kern w:val="0"/>
                      <w:szCs w:val="21"/>
                    </w:rPr>
                    <w:t>自动推包，灌装25kg/袋</w:t>
                  </w:r>
                </w:p>
              </w:tc>
              <w:tc>
                <w:tcPr>
                  <w:tcW w:w="431" w:type="pct"/>
                  <w:noWrap/>
                  <w:vAlign w:val="center"/>
                </w:tcPr>
                <w:p w14:paraId="017E98C3">
                  <w:pPr>
                    <w:widowControl/>
                    <w:jc w:val="center"/>
                    <w:rPr>
                      <w:kern w:val="0"/>
                      <w:szCs w:val="21"/>
                    </w:rPr>
                  </w:pPr>
                  <w:r>
                    <w:rPr>
                      <w:rFonts w:hint="eastAsia"/>
                      <w:kern w:val="0"/>
                      <w:szCs w:val="21"/>
                    </w:rPr>
                    <w:t>台</w:t>
                  </w:r>
                </w:p>
              </w:tc>
              <w:tc>
                <w:tcPr>
                  <w:tcW w:w="431" w:type="pct"/>
                  <w:noWrap/>
                  <w:vAlign w:val="center"/>
                </w:tcPr>
                <w:p w14:paraId="70B733D3">
                  <w:pPr>
                    <w:widowControl/>
                    <w:jc w:val="center"/>
                    <w:rPr>
                      <w:kern w:val="0"/>
                      <w:szCs w:val="21"/>
                    </w:rPr>
                  </w:pPr>
                  <w:r>
                    <w:rPr>
                      <w:rFonts w:hint="eastAsia"/>
                      <w:kern w:val="0"/>
                      <w:szCs w:val="21"/>
                    </w:rPr>
                    <w:t>2</w:t>
                  </w:r>
                </w:p>
              </w:tc>
            </w:tr>
            <w:tr w14:paraId="7FB6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63CE8873">
                  <w:pPr>
                    <w:widowControl/>
                    <w:jc w:val="center"/>
                    <w:rPr>
                      <w:rFonts w:eastAsia="等线"/>
                      <w:szCs w:val="21"/>
                    </w:rPr>
                  </w:pPr>
                  <w:r>
                    <w:rPr>
                      <w:rFonts w:hint="eastAsia" w:eastAsia="等线"/>
                      <w:szCs w:val="21"/>
                    </w:rPr>
                    <w:t>5</w:t>
                  </w:r>
                </w:p>
              </w:tc>
              <w:tc>
                <w:tcPr>
                  <w:tcW w:w="1387" w:type="pct"/>
                  <w:noWrap/>
                  <w:vAlign w:val="center"/>
                </w:tcPr>
                <w:p w14:paraId="05559F1D">
                  <w:pPr>
                    <w:widowControl/>
                    <w:jc w:val="center"/>
                    <w:rPr>
                      <w:kern w:val="0"/>
                      <w:szCs w:val="21"/>
                    </w:rPr>
                  </w:pPr>
                  <w:r>
                    <w:rPr>
                      <w:rFonts w:hint="eastAsia"/>
                      <w:kern w:val="0"/>
                      <w:szCs w:val="21"/>
                    </w:rPr>
                    <w:t>水泥仓</w:t>
                  </w:r>
                </w:p>
              </w:tc>
              <w:tc>
                <w:tcPr>
                  <w:tcW w:w="806" w:type="pct"/>
                  <w:noWrap/>
                  <w:vAlign w:val="center"/>
                </w:tcPr>
                <w:p w14:paraId="40C5CE43">
                  <w:pPr>
                    <w:widowControl/>
                    <w:jc w:val="center"/>
                    <w:rPr>
                      <w:kern w:val="0"/>
                      <w:szCs w:val="21"/>
                    </w:rPr>
                  </w:pPr>
                  <w:r>
                    <w:rPr>
                      <w:rFonts w:hint="eastAsia"/>
                      <w:kern w:val="0"/>
                      <w:szCs w:val="21"/>
                    </w:rPr>
                    <w:t>/</w:t>
                  </w:r>
                </w:p>
              </w:tc>
              <w:tc>
                <w:tcPr>
                  <w:tcW w:w="1569" w:type="pct"/>
                  <w:vAlign w:val="center"/>
                </w:tcPr>
                <w:p w14:paraId="7F86B90D">
                  <w:pPr>
                    <w:widowControl/>
                    <w:jc w:val="center"/>
                    <w:rPr>
                      <w:kern w:val="0"/>
                      <w:szCs w:val="21"/>
                    </w:rPr>
                  </w:pPr>
                  <w:r>
                    <w:rPr>
                      <w:rFonts w:hint="eastAsia"/>
                      <w:kern w:val="0"/>
                      <w:szCs w:val="21"/>
                    </w:rPr>
                    <w:t>φ</w:t>
                  </w:r>
                  <w:r>
                    <w:rPr>
                      <w:kern w:val="0"/>
                      <w:szCs w:val="21"/>
                    </w:rPr>
                    <w:t>2.9M</w:t>
                  </w:r>
                  <w:r>
                    <w:rPr>
                      <w:rFonts w:hint="eastAsia"/>
                      <w:kern w:val="0"/>
                      <w:szCs w:val="21"/>
                    </w:rPr>
                    <w:t>，容量50t</w:t>
                  </w:r>
                </w:p>
              </w:tc>
              <w:tc>
                <w:tcPr>
                  <w:tcW w:w="431" w:type="pct"/>
                  <w:noWrap/>
                  <w:vAlign w:val="center"/>
                </w:tcPr>
                <w:p w14:paraId="6E762A52">
                  <w:pPr>
                    <w:widowControl/>
                    <w:jc w:val="center"/>
                    <w:rPr>
                      <w:kern w:val="0"/>
                      <w:szCs w:val="21"/>
                    </w:rPr>
                  </w:pPr>
                  <w:r>
                    <w:rPr>
                      <w:rFonts w:hint="eastAsia"/>
                      <w:kern w:val="0"/>
                      <w:szCs w:val="21"/>
                    </w:rPr>
                    <w:t>座</w:t>
                  </w:r>
                </w:p>
              </w:tc>
              <w:tc>
                <w:tcPr>
                  <w:tcW w:w="431" w:type="pct"/>
                  <w:noWrap/>
                  <w:vAlign w:val="center"/>
                </w:tcPr>
                <w:p w14:paraId="46427CB5">
                  <w:pPr>
                    <w:widowControl/>
                    <w:jc w:val="center"/>
                    <w:rPr>
                      <w:kern w:val="0"/>
                      <w:szCs w:val="21"/>
                    </w:rPr>
                  </w:pPr>
                  <w:r>
                    <w:rPr>
                      <w:rFonts w:hint="eastAsia"/>
                      <w:kern w:val="0"/>
                      <w:szCs w:val="21"/>
                    </w:rPr>
                    <w:t>1</w:t>
                  </w:r>
                </w:p>
              </w:tc>
            </w:tr>
            <w:tr w14:paraId="2326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29D77B7B">
                  <w:pPr>
                    <w:widowControl/>
                    <w:jc w:val="center"/>
                    <w:rPr>
                      <w:rFonts w:eastAsia="等线"/>
                      <w:szCs w:val="21"/>
                    </w:rPr>
                  </w:pPr>
                  <w:r>
                    <w:rPr>
                      <w:rFonts w:hint="eastAsia" w:eastAsia="等线"/>
                      <w:szCs w:val="21"/>
                    </w:rPr>
                    <w:t>6</w:t>
                  </w:r>
                </w:p>
              </w:tc>
              <w:tc>
                <w:tcPr>
                  <w:tcW w:w="1387" w:type="pct"/>
                  <w:noWrap/>
                  <w:vAlign w:val="center"/>
                </w:tcPr>
                <w:p w14:paraId="4AA8E83D">
                  <w:pPr>
                    <w:widowControl/>
                    <w:jc w:val="center"/>
                    <w:rPr>
                      <w:kern w:val="0"/>
                      <w:szCs w:val="21"/>
                    </w:rPr>
                  </w:pPr>
                  <w:r>
                    <w:rPr>
                      <w:rFonts w:hint="eastAsia"/>
                      <w:kern w:val="0"/>
                      <w:szCs w:val="21"/>
                    </w:rPr>
                    <w:t>粉煤灰（矿渣粉）仓</w:t>
                  </w:r>
                </w:p>
              </w:tc>
              <w:tc>
                <w:tcPr>
                  <w:tcW w:w="806" w:type="pct"/>
                  <w:noWrap/>
                  <w:vAlign w:val="center"/>
                </w:tcPr>
                <w:p w14:paraId="4CE23BBC">
                  <w:pPr>
                    <w:widowControl/>
                    <w:jc w:val="center"/>
                    <w:rPr>
                      <w:kern w:val="0"/>
                      <w:szCs w:val="21"/>
                    </w:rPr>
                  </w:pPr>
                  <w:r>
                    <w:rPr>
                      <w:rFonts w:hint="eastAsia"/>
                      <w:kern w:val="0"/>
                      <w:szCs w:val="21"/>
                    </w:rPr>
                    <w:t>/</w:t>
                  </w:r>
                </w:p>
              </w:tc>
              <w:tc>
                <w:tcPr>
                  <w:tcW w:w="1569" w:type="pct"/>
                  <w:vAlign w:val="center"/>
                </w:tcPr>
                <w:p w14:paraId="1E1A7164">
                  <w:pPr>
                    <w:widowControl/>
                    <w:jc w:val="center"/>
                    <w:rPr>
                      <w:kern w:val="0"/>
                      <w:szCs w:val="21"/>
                    </w:rPr>
                  </w:pPr>
                  <w:r>
                    <w:rPr>
                      <w:rFonts w:hint="eastAsia"/>
                      <w:kern w:val="0"/>
                      <w:szCs w:val="21"/>
                    </w:rPr>
                    <w:t>φ</w:t>
                  </w:r>
                  <w:r>
                    <w:rPr>
                      <w:kern w:val="0"/>
                      <w:szCs w:val="21"/>
                    </w:rPr>
                    <w:t>2.9M</w:t>
                  </w:r>
                  <w:r>
                    <w:rPr>
                      <w:rFonts w:hint="eastAsia"/>
                      <w:kern w:val="0"/>
                      <w:szCs w:val="21"/>
                    </w:rPr>
                    <w:t>，容量50t</w:t>
                  </w:r>
                </w:p>
              </w:tc>
              <w:tc>
                <w:tcPr>
                  <w:tcW w:w="431" w:type="pct"/>
                  <w:noWrap/>
                  <w:vAlign w:val="center"/>
                </w:tcPr>
                <w:p w14:paraId="777CD7DA">
                  <w:pPr>
                    <w:widowControl/>
                    <w:jc w:val="center"/>
                    <w:rPr>
                      <w:kern w:val="0"/>
                      <w:szCs w:val="21"/>
                    </w:rPr>
                  </w:pPr>
                  <w:r>
                    <w:rPr>
                      <w:rFonts w:hint="eastAsia"/>
                      <w:kern w:val="0"/>
                      <w:szCs w:val="21"/>
                    </w:rPr>
                    <w:t>座</w:t>
                  </w:r>
                </w:p>
              </w:tc>
              <w:tc>
                <w:tcPr>
                  <w:tcW w:w="431" w:type="pct"/>
                  <w:noWrap/>
                  <w:vAlign w:val="center"/>
                </w:tcPr>
                <w:p w14:paraId="0B71ADD3">
                  <w:pPr>
                    <w:widowControl/>
                    <w:jc w:val="center"/>
                    <w:rPr>
                      <w:kern w:val="0"/>
                      <w:szCs w:val="21"/>
                    </w:rPr>
                  </w:pPr>
                  <w:r>
                    <w:rPr>
                      <w:rFonts w:hint="eastAsia"/>
                      <w:kern w:val="0"/>
                      <w:szCs w:val="21"/>
                    </w:rPr>
                    <w:t>1</w:t>
                  </w:r>
                </w:p>
              </w:tc>
            </w:tr>
            <w:tr w14:paraId="077D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0B87D4B2">
                  <w:pPr>
                    <w:widowControl/>
                    <w:jc w:val="center"/>
                    <w:rPr>
                      <w:rFonts w:eastAsia="等线"/>
                      <w:szCs w:val="21"/>
                    </w:rPr>
                  </w:pPr>
                  <w:r>
                    <w:rPr>
                      <w:rFonts w:hint="eastAsia" w:eastAsia="等线"/>
                      <w:szCs w:val="21"/>
                    </w:rPr>
                    <w:t>7</w:t>
                  </w:r>
                </w:p>
              </w:tc>
              <w:tc>
                <w:tcPr>
                  <w:tcW w:w="1387" w:type="pct"/>
                  <w:noWrap/>
                  <w:vAlign w:val="center"/>
                </w:tcPr>
                <w:p w14:paraId="74F772F9">
                  <w:pPr>
                    <w:widowControl/>
                    <w:jc w:val="center"/>
                    <w:rPr>
                      <w:kern w:val="0"/>
                      <w:szCs w:val="21"/>
                    </w:rPr>
                  </w:pPr>
                  <w:r>
                    <w:rPr>
                      <w:rFonts w:hint="eastAsia"/>
                      <w:kern w:val="0"/>
                      <w:szCs w:val="21"/>
                    </w:rPr>
                    <w:t>成品缓存仓</w:t>
                  </w:r>
                </w:p>
              </w:tc>
              <w:tc>
                <w:tcPr>
                  <w:tcW w:w="806" w:type="pct"/>
                  <w:noWrap/>
                  <w:vAlign w:val="center"/>
                </w:tcPr>
                <w:p w14:paraId="5402B124">
                  <w:pPr>
                    <w:widowControl/>
                    <w:jc w:val="center"/>
                    <w:rPr>
                      <w:kern w:val="0"/>
                      <w:szCs w:val="21"/>
                    </w:rPr>
                  </w:pPr>
                  <w:r>
                    <w:rPr>
                      <w:rFonts w:hint="eastAsia"/>
                      <w:kern w:val="0"/>
                      <w:szCs w:val="21"/>
                    </w:rPr>
                    <w:t>/</w:t>
                  </w:r>
                </w:p>
              </w:tc>
              <w:tc>
                <w:tcPr>
                  <w:tcW w:w="1569" w:type="pct"/>
                  <w:vAlign w:val="center"/>
                </w:tcPr>
                <w:p w14:paraId="0652A77F">
                  <w:pPr>
                    <w:widowControl/>
                    <w:jc w:val="center"/>
                    <w:rPr>
                      <w:kern w:val="0"/>
                      <w:szCs w:val="21"/>
                    </w:rPr>
                  </w:pPr>
                  <w:r>
                    <w:rPr>
                      <w:rFonts w:hint="eastAsia"/>
                      <w:kern w:val="0"/>
                      <w:szCs w:val="21"/>
                    </w:rPr>
                    <w:t>3.5立方米，40kW</w:t>
                  </w:r>
                </w:p>
              </w:tc>
              <w:tc>
                <w:tcPr>
                  <w:tcW w:w="431" w:type="pct"/>
                  <w:noWrap/>
                  <w:vAlign w:val="center"/>
                </w:tcPr>
                <w:p w14:paraId="2BF05874">
                  <w:pPr>
                    <w:widowControl/>
                    <w:jc w:val="center"/>
                    <w:rPr>
                      <w:kern w:val="0"/>
                      <w:szCs w:val="21"/>
                    </w:rPr>
                  </w:pPr>
                  <w:r>
                    <w:rPr>
                      <w:rFonts w:hint="eastAsia"/>
                      <w:kern w:val="0"/>
                      <w:szCs w:val="21"/>
                    </w:rPr>
                    <w:t>台</w:t>
                  </w:r>
                </w:p>
              </w:tc>
              <w:tc>
                <w:tcPr>
                  <w:tcW w:w="431" w:type="pct"/>
                  <w:noWrap/>
                  <w:vAlign w:val="center"/>
                </w:tcPr>
                <w:p w14:paraId="3E7E1F26">
                  <w:pPr>
                    <w:widowControl/>
                    <w:jc w:val="center"/>
                    <w:rPr>
                      <w:kern w:val="0"/>
                      <w:szCs w:val="21"/>
                    </w:rPr>
                  </w:pPr>
                  <w:r>
                    <w:rPr>
                      <w:rFonts w:hint="eastAsia"/>
                      <w:kern w:val="0"/>
                      <w:szCs w:val="21"/>
                    </w:rPr>
                    <w:t>1</w:t>
                  </w:r>
                </w:p>
              </w:tc>
            </w:tr>
            <w:tr w14:paraId="2E2A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0219AE59">
                  <w:pPr>
                    <w:widowControl/>
                    <w:jc w:val="center"/>
                    <w:rPr>
                      <w:rFonts w:eastAsia="等线"/>
                      <w:szCs w:val="21"/>
                    </w:rPr>
                  </w:pPr>
                  <w:r>
                    <w:rPr>
                      <w:rFonts w:hint="eastAsia" w:eastAsia="等线"/>
                      <w:szCs w:val="21"/>
                    </w:rPr>
                    <w:t>8</w:t>
                  </w:r>
                </w:p>
              </w:tc>
              <w:tc>
                <w:tcPr>
                  <w:tcW w:w="1387" w:type="pct"/>
                  <w:noWrap/>
                  <w:vAlign w:val="center"/>
                </w:tcPr>
                <w:p w14:paraId="2E423F23">
                  <w:pPr>
                    <w:widowControl/>
                    <w:jc w:val="center"/>
                    <w:rPr>
                      <w:kern w:val="0"/>
                      <w:szCs w:val="21"/>
                    </w:rPr>
                  </w:pPr>
                  <w:r>
                    <w:rPr>
                      <w:rFonts w:hint="eastAsia"/>
                      <w:kern w:val="0"/>
                      <w:szCs w:val="21"/>
                    </w:rPr>
                    <w:t>计量秤</w:t>
                  </w:r>
                </w:p>
              </w:tc>
              <w:tc>
                <w:tcPr>
                  <w:tcW w:w="806" w:type="pct"/>
                  <w:noWrap/>
                  <w:vAlign w:val="center"/>
                </w:tcPr>
                <w:p w14:paraId="3E7CDB0A">
                  <w:pPr>
                    <w:widowControl/>
                    <w:jc w:val="center"/>
                    <w:rPr>
                      <w:kern w:val="0"/>
                      <w:szCs w:val="21"/>
                    </w:rPr>
                  </w:pPr>
                  <w:r>
                    <w:rPr>
                      <w:rFonts w:hint="eastAsia"/>
                      <w:kern w:val="0"/>
                      <w:szCs w:val="21"/>
                    </w:rPr>
                    <w:t>/</w:t>
                  </w:r>
                </w:p>
              </w:tc>
              <w:tc>
                <w:tcPr>
                  <w:tcW w:w="1569" w:type="pct"/>
                  <w:vAlign w:val="center"/>
                </w:tcPr>
                <w:p w14:paraId="56EBD763">
                  <w:pPr>
                    <w:widowControl/>
                    <w:jc w:val="center"/>
                    <w:rPr>
                      <w:kern w:val="0"/>
                      <w:szCs w:val="21"/>
                    </w:rPr>
                  </w:pPr>
                  <w:r>
                    <w:rPr>
                      <w:rFonts w:hint="eastAsia"/>
                      <w:kern w:val="0"/>
                      <w:szCs w:val="21"/>
                    </w:rPr>
                    <w:t>1m</w:t>
                  </w:r>
                  <w:r>
                    <w:rPr>
                      <w:rFonts w:hint="eastAsia"/>
                      <w:kern w:val="0"/>
                      <w:szCs w:val="21"/>
                      <w:vertAlign w:val="superscript"/>
                    </w:rPr>
                    <w:t>3</w:t>
                  </w:r>
                  <w:r>
                    <w:rPr>
                      <w:rFonts w:hint="eastAsia"/>
                      <w:kern w:val="0"/>
                      <w:szCs w:val="21"/>
                    </w:rPr>
                    <w:t>,</w:t>
                  </w:r>
                  <w:r>
                    <w:rPr>
                      <w:kern w:val="0"/>
                      <w:szCs w:val="21"/>
                    </w:rPr>
                    <w:t>40</w:t>
                  </w:r>
                  <w:r>
                    <w:rPr>
                      <w:rFonts w:hint="eastAsia"/>
                      <w:kern w:val="0"/>
                      <w:szCs w:val="21"/>
                    </w:rPr>
                    <w:t>kW</w:t>
                  </w:r>
                </w:p>
              </w:tc>
              <w:tc>
                <w:tcPr>
                  <w:tcW w:w="431" w:type="pct"/>
                  <w:noWrap/>
                  <w:vAlign w:val="center"/>
                </w:tcPr>
                <w:p w14:paraId="30B2D91E">
                  <w:pPr>
                    <w:widowControl/>
                    <w:jc w:val="center"/>
                    <w:rPr>
                      <w:kern w:val="0"/>
                      <w:szCs w:val="21"/>
                    </w:rPr>
                  </w:pPr>
                  <w:r>
                    <w:rPr>
                      <w:rFonts w:hint="eastAsia"/>
                      <w:kern w:val="0"/>
                      <w:szCs w:val="21"/>
                    </w:rPr>
                    <w:t>台</w:t>
                  </w:r>
                </w:p>
              </w:tc>
              <w:tc>
                <w:tcPr>
                  <w:tcW w:w="431" w:type="pct"/>
                  <w:noWrap/>
                  <w:vAlign w:val="center"/>
                </w:tcPr>
                <w:p w14:paraId="584019CE">
                  <w:pPr>
                    <w:widowControl/>
                    <w:jc w:val="center"/>
                    <w:rPr>
                      <w:kern w:val="0"/>
                      <w:szCs w:val="21"/>
                    </w:rPr>
                  </w:pPr>
                  <w:r>
                    <w:rPr>
                      <w:rFonts w:hint="eastAsia"/>
                      <w:kern w:val="0"/>
                      <w:szCs w:val="21"/>
                    </w:rPr>
                    <w:t>1</w:t>
                  </w:r>
                </w:p>
              </w:tc>
            </w:tr>
            <w:tr w14:paraId="0E2D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3DD5F85A">
                  <w:pPr>
                    <w:widowControl/>
                    <w:jc w:val="center"/>
                    <w:rPr>
                      <w:rFonts w:eastAsia="等线"/>
                      <w:szCs w:val="21"/>
                    </w:rPr>
                  </w:pPr>
                  <w:r>
                    <w:rPr>
                      <w:rFonts w:hint="eastAsia" w:eastAsia="等线"/>
                      <w:szCs w:val="21"/>
                    </w:rPr>
                    <w:t>9</w:t>
                  </w:r>
                </w:p>
              </w:tc>
              <w:tc>
                <w:tcPr>
                  <w:tcW w:w="1387" w:type="pct"/>
                  <w:noWrap/>
                  <w:vAlign w:val="center"/>
                </w:tcPr>
                <w:p w14:paraId="54A5725B">
                  <w:pPr>
                    <w:widowControl/>
                    <w:jc w:val="center"/>
                    <w:rPr>
                      <w:kern w:val="0"/>
                      <w:szCs w:val="21"/>
                    </w:rPr>
                  </w:pPr>
                  <w:r>
                    <w:rPr>
                      <w:rFonts w:hint="eastAsia"/>
                      <w:kern w:val="0"/>
                      <w:szCs w:val="21"/>
                    </w:rPr>
                    <w:t>工作平台</w:t>
                  </w:r>
                </w:p>
              </w:tc>
              <w:tc>
                <w:tcPr>
                  <w:tcW w:w="806" w:type="pct"/>
                  <w:noWrap/>
                  <w:vAlign w:val="center"/>
                </w:tcPr>
                <w:p w14:paraId="6A20E8D8">
                  <w:pPr>
                    <w:widowControl/>
                    <w:jc w:val="center"/>
                    <w:rPr>
                      <w:kern w:val="0"/>
                      <w:szCs w:val="21"/>
                    </w:rPr>
                  </w:pPr>
                  <w:r>
                    <w:rPr>
                      <w:rFonts w:hint="eastAsia"/>
                      <w:kern w:val="0"/>
                      <w:szCs w:val="21"/>
                    </w:rPr>
                    <w:t>/</w:t>
                  </w:r>
                </w:p>
              </w:tc>
              <w:tc>
                <w:tcPr>
                  <w:tcW w:w="1569" w:type="pct"/>
                  <w:vAlign w:val="center"/>
                </w:tcPr>
                <w:p w14:paraId="0B9193DE">
                  <w:pPr>
                    <w:widowControl/>
                    <w:jc w:val="center"/>
                    <w:rPr>
                      <w:kern w:val="0"/>
                      <w:szCs w:val="21"/>
                    </w:rPr>
                  </w:pPr>
                  <w:r>
                    <w:rPr>
                      <w:kern w:val="0"/>
                      <w:szCs w:val="21"/>
                    </w:rPr>
                    <w:t>6000</w:t>
                  </w:r>
                  <w:r>
                    <w:rPr>
                      <w:rFonts w:hint="eastAsia"/>
                      <w:kern w:val="0"/>
                      <w:szCs w:val="21"/>
                    </w:rPr>
                    <w:t>—</w:t>
                  </w:r>
                  <w:r>
                    <w:rPr>
                      <w:kern w:val="0"/>
                      <w:szCs w:val="21"/>
                    </w:rPr>
                    <w:t>3500</w:t>
                  </w:r>
                  <w:r>
                    <w:rPr>
                      <w:rFonts w:hint="eastAsia"/>
                      <w:kern w:val="0"/>
                      <w:szCs w:val="21"/>
                    </w:rPr>
                    <w:t>—</w:t>
                  </w:r>
                  <w:r>
                    <w:rPr>
                      <w:kern w:val="0"/>
                      <w:szCs w:val="21"/>
                    </w:rPr>
                    <w:t>4100mm</w:t>
                  </w:r>
                </w:p>
              </w:tc>
              <w:tc>
                <w:tcPr>
                  <w:tcW w:w="431" w:type="pct"/>
                  <w:noWrap/>
                  <w:vAlign w:val="center"/>
                </w:tcPr>
                <w:p w14:paraId="6AE2669D">
                  <w:pPr>
                    <w:widowControl/>
                    <w:jc w:val="center"/>
                    <w:rPr>
                      <w:kern w:val="0"/>
                      <w:szCs w:val="21"/>
                    </w:rPr>
                  </w:pPr>
                  <w:r>
                    <w:rPr>
                      <w:rFonts w:hint="eastAsia"/>
                      <w:kern w:val="0"/>
                      <w:szCs w:val="21"/>
                    </w:rPr>
                    <w:t>台</w:t>
                  </w:r>
                </w:p>
              </w:tc>
              <w:tc>
                <w:tcPr>
                  <w:tcW w:w="431" w:type="pct"/>
                  <w:noWrap/>
                  <w:vAlign w:val="center"/>
                </w:tcPr>
                <w:p w14:paraId="0A87935E">
                  <w:pPr>
                    <w:widowControl/>
                    <w:jc w:val="center"/>
                    <w:rPr>
                      <w:kern w:val="0"/>
                      <w:szCs w:val="21"/>
                    </w:rPr>
                  </w:pPr>
                  <w:r>
                    <w:rPr>
                      <w:rFonts w:hint="eastAsia"/>
                      <w:kern w:val="0"/>
                      <w:szCs w:val="21"/>
                    </w:rPr>
                    <w:t>1</w:t>
                  </w:r>
                </w:p>
              </w:tc>
            </w:tr>
            <w:tr w14:paraId="741D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781F2B3D">
                  <w:pPr>
                    <w:widowControl/>
                    <w:jc w:val="center"/>
                    <w:rPr>
                      <w:rFonts w:eastAsia="等线"/>
                      <w:szCs w:val="21"/>
                    </w:rPr>
                  </w:pPr>
                  <w:r>
                    <w:rPr>
                      <w:rFonts w:hint="eastAsia" w:eastAsia="等线"/>
                      <w:szCs w:val="21"/>
                    </w:rPr>
                    <w:t>10</w:t>
                  </w:r>
                </w:p>
              </w:tc>
              <w:tc>
                <w:tcPr>
                  <w:tcW w:w="1387" w:type="pct"/>
                  <w:noWrap/>
                  <w:vAlign w:val="center"/>
                </w:tcPr>
                <w:p w14:paraId="5ECACC81">
                  <w:pPr>
                    <w:widowControl/>
                    <w:jc w:val="center"/>
                    <w:rPr>
                      <w:kern w:val="0"/>
                      <w:szCs w:val="21"/>
                    </w:rPr>
                  </w:pPr>
                  <w:r>
                    <w:rPr>
                      <w:rFonts w:hint="eastAsia"/>
                      <w:kern w:val="0"/>
                      <w:szCs w:val="21"/>
                    </w:rPr>
                    <w:t>控制柜</w:t>
                  </w:r>
                </w:p>
              </w:tc>
              <w:tc>
                <w:tcPr>
                  <w:tcW w:w="806" w:type="pct"/>
                  <w:noWrap/>
                  <w:vAlign w:val="center"/>
                </w:tcPr>
                <w:p w14:paraId="251448C2">
                  <w:pPr>
                    <w:widowControl/>
                    <w:jc w:val="center"/>
                    <w:rPr>
                      <w:kern w:val="0"/>
                      <w:szCs w:val="21"/>
                    </w:rPr>
                  </w:pPr>
                  <w:r>
                    <w:rPr>
                      <w:rFonts w:hint="eastAsia"/>
                      <w:kern w:val="0"/>
                      <w:szCs w:val="21"/>
                    </w:rPr>
                    <w:t>/</w:t>
                  </w:r>
                </w:p>
              </w:tc>
              <w:tc>
                <w:tcPr>
                  <w:tcW w:w="1569" w:type="pct"/>
                  <w:vAlign w:val="center"/>
                </w:tcPr>
                <w:p w14:paraId="1637F06E">
                  <w:pPr>
                    <w:widowControl/>
                    <w:jc w:val="center"/>
                    <w:rPr>
                      <w:kern w:val="0"/>
                      <w:szCs w:val="21"/>
                    </w:rPr>
                  </w:pPr>
                  <w:r>
                    <w:rPr>
                      <w:rFonts w:hint="eastAsia"/>
                      <w:kern w:val="0"/>
                      <w:szCs w:val="21"/>
                    </w:rPr>
                    <w:t>称重范围10—50kg</w:t>
                  </w:r>
                </w:p>
              </w:tc>
              <w:tc>
                <w:tcPr>
                  <w:tcW w:w="431" w:type="pct"/>
                  <w:noWrap/>
                  <w:vAlign w:val="center"/>
                </w:tcPr>
                <w:p w14:paraId="7B0F570B">
                  <w:pPr>
                    <w:widowControl/>
                    <w:jc w:val="center"/>
                    <w:rPr>
                      <w:kern w:val="0"/>
                      <w:szCs w:val="21"/>
                    </w:rPr>
                  </w:pPr>
                  <w:r>
                    <w:rPr>
                      <w:rFonts w:hint="eastAsia"/>
                      <w:kern w:val="0"/>
                      <w:szCs w:val="21"/>
                    </w:rPr>
                    <w:t>套</w:t>
                  </w:r>
                </w:p>
              </w:tc>
              <w:tc>
                <w:tcPr>
                  <w:tcW w:w="431" w:type="pct"/>
                  <w:noWrap/>
                  <w:vAlign w:val="center"/>
                </w:tcPr>
                <w:p w14:paraId="168B2BD9">
                  <w:pPr>
                    <w:widowControl/>
                    <w:jc w:val="center"/>
                    <w:rPr>
                      <w:kern w:val="0"/>
                      <w:szCs w:val="21"/>
                    </w:rPr>
                  </w:pPr>
                  <w:r>
                    <w:rPr>
                      <w:rFonts w:hint="eastAsia"/>
                      <w:kern w:val="0"/>
                      <w:szCs w:val="21"/>
                    </w:rPr>
                    <w:t>1</w:t>
                  </w:r>
                </w:p>
              </w:tc>
            </w:tr>
            <w:tr w14:paraId="79DC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76" w:type="pct"/>
                  <w:vAlign w:val="center"/>
                </w:tcPr>
                <w:p w14:paraId="37FC41D2">
                  <w:pPr>
                    <w:widowControl/>
                    <w:jc w:val="center"/>
                    <w:rPr>
                      <w:rFonts w:eastAsia="等线"/>
                      <w:szCs w:val="21"/>
                    </w:rPr>
                  </w:pPr>
                  <w:r>
                    <w:rPr>
                      <w:rFonts w:hint="eastAsia" w:eastAsia="等线"/>
                      <w:szCs w:val="21"/>
                    </w:rPr>
                    <w:t>11</w:t>
                  </w:r>
                </w:p>
              </w:tc>
              <w:tc>
                <w:tcPr>
                  <w:tcW w:w="1387" w:type="pct"/>
                  <w:noWrap/>
                  <w:vAlign w:val="center"/>
                </w:tcPr>
                <w:p w14:paraId="6375E3BD">
                  <w:pPr>
                    <w:widowControl/>
                    <w:jc w:val="center"/>
                    <w:rPr>
                      <w:kern w:val="0"/>
                      <w:szCs w:val="21"/>
                    </w:rPr>
                  </w:pPr>
                  <w:r>
                    <w:rPr>
                      <w:rFonts w:hint="eastAsia"/>
                      <w:kern w:val="0"/>
                      <w:szCs w:val="21"/>
                    </w:rPr>
                    <w:t>布袋除尘器</w:t>
                  </w:r>
                </w:p>
              </w:tc>
              <w:tc>
                <w:tcPr>
                  <w:tcW w:w="806" w:type="pct"/>
                  <w:noWrap/>
                  <w:vAlign w:val="center"/>
                </w:tcPr>
                <w:p w14:paraId="3CAEAA51">
                  <w:pPr>
                    <w:widowControl/>
                    <w:jc w:val="center"/>
                    <w:rPr>
                      <w:kern w:val="0"/>
                      <w:szCs w:val="21"/>
                    </w:rPr>
                  </w:pPr>
                  <w:r>
                    <w:rPr>
                      <w:rFonts w:hint="eastAsia"/>
                      <w:kern w:val="0"/>
                      <w:szCs w:val="21"/>
                    </w:rPr>
                    <w:t>LCJX-730</w:t>
                  </w:r>
                </w:p>
              </w:tc>
              <w:tc>
                <w:tcPr>
                  <w:tcW w:w="1569" w:type="pct"/>
                  <w:vAlign w:val="center"/>
                </w:tcPr>
                <w:p w14:paraId="13C8CB68">
                  <w:pPr>
                    <w:widowControl/>
                    <w:jc w:val="center"/>
                    <w:rPr>
                      <w:kern w:val="0"/>
                      <w:szCs w:val="21"/>
                    </w:rPr>
                  </w:pPr>
                  <w:r>
                    <w:rPr>
                      <w:kern w:val="0"/>
                      <w:szCs w:val="21"/>
                    </w:rPr>
                    <w:t>7.5KW</w:t>
                  </w:r>
                  <w:r>
                    <w:rPr>
                      <w:rFonts w:hint="eastAsia"/>
                      <w:kern w:val="0"/>
                      <w:szCs w:val="21"/>
                    </w:rPr>
                    <w:t>，风量35000m</w:t>
                  </w:r>
                  <w:r>
                    <w:rPr>
                      <w:rFonts w:hint="eastAsia"/>
                      <w:kern w:val="0"/>
                      <w:szCs w:val="21"/>
                      <w:vertAlign w:val="superscript"/>
                    </w:rPr>
                    <w:t>3</w:t>
                  </w:r>
                  <w:r>
                    <w:rPr>
                      <w:rFonts w:hint="eastAsia"/>
                      <w:kern w:val="0"/>
                      <w:szCs w:val="21"/>
                    </w:rPr>
                    <w:t>/h</w:t>
                  </w:r>
                </w:p>
              </w:tc>
              <w:tc>
                <w:tcPr>
                  <w:tcW w:w="431" w:type="pct"/>
                  <w:noWrap/>
                  <w:vAlign w:val="center"/>
                </w:tcPr>
                <w:p w14:paraId="1930106D">
                  <w:pPr>
                    <w:widowControl/>
                    <w:jc w:val="center"/>
                    <w:rPr>
                      <w:kern w:val="0"/>
                      <w:szCs w:val="21"/>
                    </w:rPr>
                  </w:pPr>
                  <w:r>
                    <w:rPr>
                      <w:rFonts w:hint="eastAsia"/>
                      <w:kern w:val="0"/>
                      <w:szCs w:val="21"/>
                    </w:rPr>
                    <w:t>台</w:t>
                  </w:r>
                </w:p>
              </w:tc>
              <w:tc>
                <w:tcPr>
                  <w:tcW w:w="431" w:type="pct"/>
                  <w:noWrap/>
                  <w:vAlign w:val="center"/>
                </w:tcPr>
                <w:p w14:paraId="63F2EF8D">
                  <w:pPr>
                    <w:widowControl/>
                    <w:jc w:val="center"/>
                    <w:rPr>
                      <w:kern w:val="0"/>
                      <w:szCs w:val="21"/>
                    </w:rPr>
                  </w:pPr>
                  <w:r>
                    <w:rPr>
                      <w:rFonts w:hint="eastAsia"/>
                      <w:kern w:val="0"/>
                      <w:szCs w:val="21"/>
                    </w:rPr>
                    <w:t>1</w:t>
                  </w:r>
                </w:p>
              </w:tc>
            </w:tr>
            <w:bookmarkEnd w:id="36"/>
            <w:bookmarkEnd w:id="37"/>
          </w:tbl>
          <w:p w14:paraId="28751AFE">
            <w:pPr>
              <w:pStyle w:val="72"/>
              <w:adjustRightInd w:val="0"/>
              <w:snapToGrid w:val="0"/>
              <w:spacing w:line="440" w:lineRule="exact"/>
              <w:ind w:firstLine="480"/>
              <w:rPr>
                <w:sz w:val="24"/>
                <w:szCs w:val="22"/>
                <w:lang w:val="en-US"/>
              </w:rPr>
            </w:pPr>
            <w:r>
              <w:rPr>
                <w:rFonts w:hint="eastAsia"/>
                <w:sz w:val="24"/>
                <w:szCs w:val="22"/>
              </w:rPr>
              <w:t>设备产能匹配性分析</w:t>
            </w:r>
            <w:r>
              <w:rPr>
                <w:rFonts w:hint="eastAsia"/>
                <w:sz w:val="24"/>
                <w:szCs w:val="22"/>
                <w:lang w:val="en-US"/>
              </w:rPr>
              <w:t>：</w:t>
            </w:r>
          </w:p>
          <w:p w14:paraId="2F994DE1">
            <w:pPr>
              <w:pStyle w:val="72"/>
              <w:adjustRightInd w:val="0"/>
              <w:snapToGrid w:val="0"/>
              <w:spacing w:line="440" w:lineRule="exact"/>
              <w:ind w:firstLine="480"/>
              <w:rPr>
                <w:sz w:val="24"/>
                <w:szCs w:val="22"/>
              </w:rPr>
            </w:pPr>
            <w:r>
              <w:rPr>
                <w:rFonts w:hint="eastAsia"/>
                <w:sz w:val="24"/>
                <w:szCs w:val="22"/>
              </w:rPr>
              <w:t>本项目干混砂浆设计规模5万t/a，本项目使用双轴混合机单批投料量为1800kg/批，搅拌周期为5min/批，则搅拌能力为21.6t/h，项目运行时间为2400h，则生产能力为5.2万t/a，设备产能能够满足项目设计生产规模。</w:t>
            </w:r>
          </w:p>
          <w:p w14:paraId="274D6EC8">
            <w:pPr>
              <w:pStyle w:val="91"/>
              <w:spacing w:before="0" w:after="0" w:line="440" w:lineRule="exact"/>
            </w:pPr>
            <w:r>
              <w:rPr>
                <w:rFonts w:hint="eastAsia"/>
              </w:rPr>
              <w:t>五、公用工程</w:t>
            </w:r>
          </w:p>
          <w:p w14:paraId="609FB16A">
            <w:pPr>
              <w:pStyle w:val="77"/>
              <w:spacing w:line="440" w:lineRule="exact"/>
              <w:rPr>
                <w:rFonts w:hint="eastAsia"/>
                <w:sz w:val="24"/>
                <w:szCs w:val="24"/>
              </w:rPr>
            </w:pPr>
            <w:r>
              <w:rPr>
                <w:rFonts w:hint="eastAsia"/>
                <w:sz w:val="24"/>
                <w:szCs w:val="24"/>
              </w:rPr>
              <w:t>1.给排水</w:t>
            </w:r>
          </w:p>
          <w:p w14:paraId="696629A4">
            <w:pPr>
              <w:pStyle w:val="72"/>
              <w:spacing w:line="440" w:lineRule="exact"/>
              <w:ind w:firstLine="480"/>
              <w:rPr>
                <w:sz w:val="24"/>
                <w:szCs w:val="22"/>
              </w:rPr>
            </w:pPr>
            <w:r>
              <w:rPr>
                <w:rFonts w:hint="eastAsia"/>
                <w:sz w:val="24"/>
                <w:szCs w:val="22"/>
              </w:rPr>
              <w:t>（1）给水</w:t>
            </w:r>
          </w:p>
          <w:p w14:paraId="0F585545">
            <w:pPr>
              <w:pStyle w:val="95"/>
              <w:spacing w:line="440" w:lineRule="exact"/>
              <w:ind w:firstLine="480"/>
              <w:jc w:val="left"/>
              <w:rPr>
                <w:sz w:val="24"/>
                <w:szCs w:val="32"/>
                <w:lang w:val="zh-CN"/>
              </w:rPr>
            </w:pPr>
            <w:r>
              <w:rPr>
                <w:rFonts w:hint="eastAsia"/>
                <w:sz w:val="24"/>
                <w:szCs w:val="32"/>
                <w:lang w:val="zh-CN"/>
              </w:rPr>
              <w:t>本项目用水</w:t>
            </w:r>
            <w:r>
              <w:rPr>
                <w:rFonts w:hint="eastAsia"/>
                <w:sz w:val="24"/>
                <w:szCs w:val="32"/>
              </w:rPr>
              <w:t>由熬子坡村拉水，满足降尘及职工生活用水需求</w:t>
            </w:r>
            <w:r>
              <w:rPr>
                <w:rFonts w:hint="eastAsia"/>
                <w:sz w:val="24"/>
                <w:szCs w:val="32"/>
                <w:lang w:val="zh-CN"/>
              </w:rPr>
              <w:t>。</w:t>
            </w:r>
          </w:p>
          <w:p w14:paraId="4ACBDFA1">
            <w:pPr>
              <w:pStyle w:val="95"/>
              <w:spacing w:line="440" w:lineRule="exact"/>
              <w:ind w:firstLine="480"/>
              <w:jc w:val="left"/>
              <w:rPr>
                <w:sz w:val="24"/>
                <w:szCs w:val="32"/>
              </w:rPr>
            </w:pPr>
            <w:r>
              <w:rPr>
                <w:rFonts w:hint="eastAsia"/>
                <w:sz w:val="24"/>
                <w:szCs w:val="32"/>
              </w:rPr>
              <w:t>①喷雾抑尘用水</w:t>
            </w:r>
          </w:p>
          <w:p w14:paraId="0A4EF9BC">
            <w:pPr>
              <w:pStyle w:val="95"/>
              <w:spacing w:line="440" w:lineRule="exact"/>
              <w:ind w:firstLine="480"/>
              <w:jc w:val="left"/>
              <w:rPr>
                <w:rFonts w:cs="宋体"/>
                <w:kern w:val="0"/>
                <w:sz w:val="24"/>
              </w:rPr>
            </w:pPr>
            <w:r>
              <w:rPr>
                <w:rFonts w:hint="eastAsia"/>
                <w:sz w:val="24"/>
                <w:szCs w:val="32"/>
              </w:rPr>
              <w:t>本项目</w:t>
            </w:r>
            <w:r>
              <w:rPr>
                <w:rFonts w:hint="eastAsia" w:cs="宋体"/>
                <w:kern w:val="0"/>
                <w:sz w:val="24"/>
              </w:rPr>
              <w:t>机制砂原料堆存区设</w:t>
            </w:r>
            <w:r>
              <w:rPr>
                <w:rFonts w:hint="eastAsia"/>
                <w:sz w:val="24"/>
              </w:rPr>
              <w:t>覆盖全堆场的喷雾抑尘设施，</w:t>
            </w:r>
            <w:r>
              <w:rPr>
                <w:rFonts w:hint="eastAsia" w:cs="宋体"/>
                <w:kern w:val="0"/>
                <w:sz w:val="24"/>
              </w:rPr>
              <w:t>喷雾覆盖面积150m</w:t>
            </w:r>
            <w:r>
              <w:rPr>
                <w:rFonts w:hint="eastAsia" w:cs="宋体"/>
                <w:kern w:val="0"/>
                <w:sz w:val="24"/>
                <w:vertAlign w:val="superscript"/>
              </w:rPr>
              <w:t>2</w:t>
            </w:r>
            <w:r>
              <w:rPr>
                <w:rFonts w:hint="eastAsia" w:cs="宋体"/>
                <w:kern w:val="0"/>
                <w:sz w:val="24"/>
              </w:rPr>
              <w:t>，喷雾用水定额取2L/（m²·d），</w:t>
            </w:r>
            <w:r>
              <w:rPr>
                <w:rFonts w:hint="eastAsia"/>
                <w:sz w:val="24"/>
                <w:szCs w:val="32"/>
              </w:rPr>
              <w:t>喷雾抑尘用水量为0.3m</w:t>
            </w:r>
            <w:r>
              <w:rPr>
                <w:rFonts w:hint="eastAsia"/>
                <w:sz w:val="24"/>
                <w:szCs w:val="32"/>
                <w:vertAlign w:val="superscript"/>
              </w:rPr>
              <w:t>3</w:t>
            </w:r>
            <w:r>
              <w:rPr>
                <w:rFonts w:hint="eastAsia"/>
                <w:sz w:val="24"/>
                <w:szCs w:val="32"/>
              </w:rPr>
              <w:t>/d。</w:t>
            </w:r>
            <w:r>
              <w:rPr>
                <w:rFonts w:hint="eastAsia" w:cs="宋体"/>
                <w:kern w:val="0"/>
                <w:sz w:val="24"/>
              </w:rPr>
              <w:t>系统间歇运行，喷雾水分全部蒸发损耗，无废水排放。</w:t>
            </w:r>
          </w:p>
          <w:p w14:paraId="12CF5766">
            <w:pPr>
              <w:pStyle w:val="95"/>
              <w:spacing w:line="440" w:lineRule="exact"/>
              <w:ind w:firstLine="480"/>
              <w:jc w:val="left"/>
              <w:rPr>
                <w:rFonts w:cs="宋体"/>
                <w:kern w:val="0"/>
                <w:sz w:val="24"/>
              </w:rPr>
            </w:pPr>
            <w:r>
              <w:rPr>
                <w:rFonts w:hint="eastAsia"/>
                <w:sz w:val="24"/>
                <w:szCs w:val="32"/>
              </w:rPr>
              <w:t>②</w:t>
            </w:r>
            <w:r>
              <w:rPr>
                <w:rFonts w:hint="eastAsia" w:cs="宋体"/>
                <w:kern w:val="0"/>
                <w:sz w:val="24"/>
              </w:rPr>
              <w:t>雾炮用水</w:t>
            </w:r>
          </w:p>
          <w:p w14:paraId="37589D13">
            <w:pPr>
              <w:pStyle w:val="95"/>
              <w:spacing w:line="440" w:lineRule="exact"/>
              <w:ind w:firstLine="480"/>
              <w:jc w:val="left"/>
              <w:rPr>
                <w:rFonts w:cs="宋体"/>
                <w:kern w:val="0"/>
                <w:sz w:val="24"/>
              </w:rPr>
            </w:pPr>
            <w:r>
              <w:rPr>
                <w:rFonts w:hint="eastAsia" w:cs="宋体"/>
                <w:kern w:val="0"/>
                <w:sz w:val="24"/>
              </w:rPr>
              <w:t>本项目机制砂卸车时，配置雾炮喷雾洒水抑尘，共设1台雾炮机，雾炮间歇启停，仅在机制砂装卸起尘瞬间开启喷雾，非作业时段停机。本项目雾炮总计耗水量约为</w:t>
            </w:r>
            <w:bookmarkStart w:id="39" w:name="OLE_LINK12"/>
            <w:r>
              <w:rPr>
                <w:rFonts w:hint="eastAsia" w:cs="宋体"/>
                <w:kern w:val="0"/>
                <w:sz w:val="24"/>
              </w:rPr>
              <w:t>2m</w:t>
            </w:r>
            <w:r>
              <w:rPr>
                <w:rFonts w:hint="eastAsia" w:cs="宋体"/>
                <w:kern w:val="0"/>
                <w:sz w:val="24"/>
                <w:vertAlign w:val="superscript"/>
              </w:rPr>
              <w:t>3</w:t>
            </w:r>
            <w:r>
              <w:rPr>
                <w:rFonts w:hint="eastAsia" w:cs="宋体"/>
                <w:kern w:val="0"/>
                <w:sz w:val="24"/>
              </w:rPr>
              <w:t>/d</w:t>
            </w:r>
            <w:bookmarkEnd w:id="39"/>
            <w:r>
              <w:rPr>
                <w:rFonts w:hint="eastAsia" w:cs="宋体"/>
                <w:kern w:val="0"/>
                <w:sz w:val="24"/>
              </w:rPr>
              <w:t>。抑尘用水全部蒸发损耗，无废水外排。</w:t>
            </w:r>
          </w:p>
          <w:p w14:paraId="5D8EC482">
            <w:pPr>
              <w:pStyle w:val="95"/>
              <w:spacing w:line="440" w:lineRule="exact"/>
              <w:ind w:firstLine="480"/>
              <w:jc w:val="left"/>
              <w:rPr>
                <w:sz w:val="24"/>
                <w:szCs w:val="32"/>
              </w:rPr>
            </w:pPr>
            <w:bookmarkStart w:id="40" w:name="OLE_LINK10"/>
            <w:r>
              <w:rPr>
                <w:rFonts w:hint="eastAsia"/>
                <w:sz w:val="24"/>
                <w:szCs w:val="32"/>
              </w:rPr>
              <w:t>③车辆冲洗用水</w:t>
            </w:r>
          </w:p>
          <w:bookmarkEnd w:id="40"/>
          <w:p w14:paraId="49158A90">
            <w:pPr>
              <w:pStyle w:val="95"/>
              <w:spacing w:line="440" w:lineRule="exact"/>
              <w:ind w:firstLine="480"/>
              <w:jc w:val="left"/>
              <w:rPr>
                <w:sz w:val="24"/>
                <w:szCs w:val="32"/>
              </w:rPr>
            </w:pPr>
            <w:r>
              <w:rPr>
                <w:rFonts w:hint="eastAsia"/>
                <w:sz w:val="24"/>
                <w:szCs w:val="32"/>
              </w:rPr>
              <w:t>本项目</w:t>
            </w:r>
            <w:bookmarkStart w:id="41" w:name="OLE_LINK50"/>
            <w:r>
              <w:rPr>
                <w:rFonts w:hint="eastAsia"/>
                <w:sz w:val="24"/>
                <w:szCs w:val="32"/>
              </w:rPr>
              <w:t>载重汽车冲洗用水定额</w:t>
            </w:r>
            <w:bookmarkEnd w:id="41"/>
            <w:r>
              <w:rPr>
                <w:rFonts w:hint="eastAsia"/>
                <w:sz w:val="24"/>
                <w:szCs w:val="32"/>
              </w:rPr>
              <w:t>约为60L/辆·次。载重汽车载重按20吨计，则日进出厂车辆约16辆·次。</w:t>
            </w:r>
            <w:bookmarkStart w:id="42" w:name="OLE_LINK11"/>
            <w:r>
              <w:rPr>
                <w:rFonts w:hint="eastAsia"/>
                <w:sz w:val="24"/>
                <w:szCs w:val="32"/>
              </w:rPr>
              <w:t>本项目车辆冲洗用水量约为0.96m</w:t>
            </w:r>
            <w:r>
              <w:rPr>
                <w:rFonts w:hint="eastAsia"/>
                <w:sz w:val="24"/>
                <w:szCs w:val="32"/>
                <w:vertAlign w:val="superscript"/>
              </w:rPr>
              <w:t>3</w:t>
            </w:r>
            <w:r>
              <w:rPr>
                <w:rFonts w:hint="eastAsia"/>
                <w:sz w:val="24"/>
                <w:szCs w:val="32"/>
              </w:rPr>
              <w:t>/d。</w:t>
            </w:r>
            <w:bookmarkEnd w:id="42"/>
          </w:p>
          <w:p w14:paraId="5A71A043">
            <w:pPr>
              <w:pStyle w:val="95"/>
              <w:spacing w:line="440" w:lineRule="exact"/>
              <w:ind w:firstLine="480"/>
              <w:jc w:val="left"/>
              <w:rPr>
                <w:sz w:val="24"/>
                <w:szCs w:val="32"/>
              </w:rPr>
            </w:pPr>
            <w:r>
              <w:rPr>
                <w:rFonts w:hint="eastAsia"/>
                <w:sz w:val="24"/>
                <w:szCs w:val="32"/>
              </w:rPr>
              <w:t>④道路抑尘用水</w:t>
            </w:r>
          </w:p>
          <w:p w14:paraId="541DFE09">
            <w:pPr>
              <w:pStyle w:val="95"/>
              <w:spacing w:line="440" w:lineRule="exact"/>
              <w:ind w:firstLine="480"/>
              <w:jc w:val="left"/>
              <w:rPr>
                <w:sz w:val="24"/>
                <w:szCs w:val="32"/>
              </w:rPr>
            </w:pPr>
            <w:r>
              <w:rPr>
                <w:rFonts w:hint="eastAsia"/>
                <w:sz w:val="24"/>
                <w:szCs w:val="32"/>
              </w:rPr>
              <w:t>本项目外部运输主要利用乡道及正阳线，厂内道路主要是厂房连接厂区出入口道路，面积约180m</w:t>
            </w:r>
            <w:r>
              <w:rPr>
                <w:rFonts w:hint="eastAsia"/>
                <w:sz w:val="24"/>
                <w:szCs w:val="32"/>
                <w:vertAlign w:val="superscript"/>
              </w:rPr>
              <w:t>2</w:t>
            </w:r>
            <w:r>
              <w:rPr>
                <w:rFonts w:hint="eastAsia"/>
                <w:sz w:val="24"/>
                <w:szCs w:val="32"/>
              </w:rPr>
              <w:t>，道路抑尘用水量约1.5L/m</w:t>
            </w:r>
            <w:r>
              <w:rPr>
                <w:rFonts w:hint="eastAsia"/>
                <w:sz w:val="24"/>
                <w:szCs w:val="32"/>
                <w:vertAlign w:val="superscript"/>
              </w:rPr>
              <w:t>2</w:t>
            </w:r>
            <w:r>
              <w:rPr>
                <w:rFonts w:hint="eastAsia"/>
                <w:sz w:val="24"/>
                <w:szCs w:val="32"/>
              </w:rPr>
              <w:t>·d，则本项目道路抑尘用水量约0.27m</w:t>
            </w:r>
            <w:r>
              <w:rPr>
                <w:rFonts w:hint="eastAsia"/>
                <w:sz w:val="24"/>
                <w:szCs w:val="32"/>
                <w:vertAlign w:val="superscript"/>
              </w:rPr>
              <w:t>3</w:t>
            </w:r>
            <w:r>
              <w:rPr>
                <w:rFonts w:hint="eastAsia"/>
                <w:sz w:val="24"/>
                <w:szCs w:val="32"/>
              </w:rPr>
              <w:t>/d。</w:t>
            </w:r>
          </w:p>
          <w:p w14:paraId="1DA774FD">
            <w:pPr>
              <w:pStyle w:val="95"/>
              <w:spacing w:line="440" w:lineRule="exact"/>
              <w:ind w:firstLine="480"/>
              <w:jc w:val="left"/>
              <w:rPr>
                <w:sz w:val="24"/>
                <w:szCs w:val="32"/>
              </w:rPr>
            </w:pPr>
            <w:r>
              <w:rPr>
                <w:rFonts w:hint="eastAsia"/>
                <w:sz w:val="24"/>
                <w:szCs w:val="32"/>
              </w:rPr>
              <w:t>⑤职工生活用水</w:t>
            </w:r>
          </w:p>
          <w:p w14:paraId="3C3FDFF5">
            <w:pPr>
              <w:pStyle w:val="95"/>
              <w:spacing w:line="440" w:lineRule="exact"/>
              <w:ind w:firstLine="480"/>
              <w:jc w:val="left"/>
              <w:rPr>
                <w:sz w:val="24"/>
                <w:szCs w:val="32"/>
              </w:rPr>
            </w:pPr>
            <w:r>
              <w:rPr>
                <w:rFonts w:hint="eastAsia"/>
                <w:sz w:val="24"/>
                <w:szCs w:val="32"/>
              </w:rPr>
              <w:t>本项目劳动定员5人，职工均为附近村民，在家食宿，本项目厂区内不设食宿设施。根据《山西省用水定额  第4部分：居民生活》（DB14/T1049.4-2025）农村分散式供水定额，项目职工生活用水定额约80/人·d。则职工生活用水量为0.4m</w:t>
            </w:r>
            <w:r>
              <w:rPr>
                <w:rFonts w:hint="eastAsia"/>
                <w:sz w:val="24"/>
                <w:szCs w:val="32"/>
                <w:vertAlign w:val="superscript"/>
              </w:rPr>
              <w:t>3</w:t>
            </w:r>
            <w:r>
              <w:rPr>
                <w:rFonts w:hint="eastAsia"/>
                <w:sz w:val="24"/>
                <w:szCs w:val="32"/>
              </w:rPr>
              <w:t>/d。</w:t>
            </w:r>
          </w:p>
          <w:p w14:paraId="797F8FDE">
            <w:pPr>
              <w:pStyle w:val="95"/>
              <w:spacing w:line="440" w:lineRule="exact"/>
              <w:ind w:firstLine="480"/>
              <w:jc w:val="left"/>
              <w:rPr>
                <w:sz w:val="24"/>
                <w:szCs w:val="32"/>
              </w:rPr>
            </w:pPr>
            <w:r>
              <w:rPr>
                <w:rFonts w:hint="eastAsia"/>
                <w:sz w:val="24"/>
                <w:szCs w:val="32"/>
              </w:rPr>
              <w:t>⑥绿化用水</w:t>
            </w:r>
          </w:p>
          <w:p w14:paraId="2DBF3DFF">
            <w:pPr>
              <w:pStyle w:val="95"/>
              <w:spacing w:line="440" w:lineRule="exact"/>
              <w:ind w:firstLine="480"/>
              <w:jc w:val="left"/>
              <w:rPr>
                <w:sz w:val="24"/>
                <w:szCs w:val="32"/>
              </w:rPr>
            </w:pPr>
            <w:r>
              <w:rPr>
                <w:rFonts w:hint="eastAsia"/>
                <w:sz w:val="24"/>
                <w:szCs w:val="32"/>
              </w:rPr>
              <w:t>本项目绿化面积约500m</w:t>
            </w:r>
            <w:r>
              <w:rPr>
                <w:rFonts w:hint="eastAsia"/>
                <w:sz w:val="24"/>
                <w:szCs w:val="32"/>
                <w:vertAlign w:val="superscript"/>
              </w:rPr>
              <w:t>2</w:t>
            </w:r>
            <w:r>
              <w:rPr>
                <w:rFonts w:hint="eastAsia"/>
                <w:sz w:val="24"/>
                <w:szCs w:val="32"/>
              </w:rPr>
              <w:t>，根据《山西省用水定额 第3部分：服务业用水定额》（DB14/T1049.3-2021），绿化洒水量按先进值1.5L/m</w:t>
            </w:r>
            <w:r>
              <w:rPr>
                <w:rFonts w:hint="eastAsia"/>
                <w:sz w:val="24"/>
                <w:szCs w:val="32"/>
                <w:vertAlign w:val="superscript"/>
              </w:rPr>
              <w:t>2</w:t>
            </w:r>
            <w:r>
              <w:rPr>
                <w:rFonts w:hint="eastAsia"/>
                <w:sz w:val="24"/>
                <w:szCs w:val="32"/>
              </w:rPr>
              <w:t>·d，则项目绿化用水量为0.75m</w:t>
            </w:r>
            <w:r>
              <w:rPr>
                <w:rFonts w:hint="eastAsia"/>
                <w:sz w:val="24"/>
                <w:szCs w:val="32"/>
                <w:vertAlign w:val="superscript"/>
              </w:rPr>
              <w:t>3</w:t>
            </w:r>
            <w:r>
              <w:rPr>
                <w:rFonts w:hint="eastAsia"/>
                <w:sz w:val="24"/>
                <w:szCs w:val="32"/>
              </w:rPr>
              <w:t>/d。</w:t>
            </w:r>
          </w:p>
          <w:p w14:paraId="1CBA2D57">
            <w:pPr>
              <w:pStyle w:val="95"/>
              <w:spacing w:line="440" w:lineRule="exact"/>
              <w:ind w:firstLine="480"/>
              <w:jc w:val="left"/>
              <w:rPr>
                <w:sz w:val="24"/>
                <w:szCs w:val="32"/>
                <w:lang w:val="zh-CN"/>
              </w:rPr>
            </w:pPr>
            <w:r>
              <w:rPr>
                <w:rFonts w:hint="eastAsia"/>
                <w:sz w:val="24"/>
                <w:szCs w:val="32"/>
                <w:lang w:val="zh-CN"/>
              </w:rPr>
              <w:t>2）排水</w:t>
            </w:r>
          </w:p>
          <w:p w14:paraId="2D6A23F2">
            <w:pPr>
              <w:pStyle w:val="95"/>
              <w:spacing w:line="440" w:lineRule="exact"/>
              <w:ind w:firstLine="480"/>
              <w:jc w:val="left"/>
              <w:rPr>
                <w:sz w:val="24"/>
                <w:szCs w:val="32"/>
              </w:rPr>
            </w:pPr>
            <w:r>
              <w:rPr>
                <w:rFonts w:hint="eastAsia"/>
                <w:sz w:val="24"/>
                <w:szCs w:val="32"/>
              </w:rPr>
              <w:t>本项目产生的废水主要是职工生活废水和车辆冲洗废水。</w:t>
            </w:r>
          </w:p>
          <w:p w14:paraId="5BF1BD60">
            <w:pPr>
              <w:pStyle w:val="95"/>
              <w:spacing w:line="440" w:lineRule="exact"/>
              <w:ind w:firstLine="480"/>
              <w:jc w:val="left"/>
              <w:rPr>
                <w:sz w:val="24"/>
                <w:szCs w:val="32"/>
              </w:rPr>
            </w:pPr>
            <w:r>
              <w:rPr>
                <w:rFonts w:hint="eastAsia"/>
                <w:sz w:val="24"/>
                <w:szCs w:val="32"/>
              </w:rPr>
              <w:t>①车辆冲洗废水</w:t>
            </w:r>
          </w:p>
          <w:p w14:paraId="63FAEA22">
            <w:pPr>
              <w:pStyle w:val="95"/>
              <w:spacing w:line="440" w:lineRule="exact"/>
              <w:ind w:firstLine="480"/>
              <w:jc w:val="left"/>
              <w:rPr>
                <w:sz w:val="24"/>
                <w:szCs w:val="32"/>
              </w:rPr>
            </w:pPr>
            <w:r>
              <w:rPr>
                <w:rFonts w:hint="eastAsia"/>
                <w:sz w:val="24"/>
                <w:szCs w:val="32"/>
              </w:rPr>
              <w:t>车辆冲洗废水产生量按用量的90%计算，则车辆冲洗废水产生量约0.86m</w:t>
            </w:r>
            <w:r>
              <w:rPr>
                <w:rFonts w:hint="eastAsia"/>
                <w:sz w:val="24"/>
                <w:szCs w:val="32"/>
                <w:vertAlign w:val="superscript"/>
              </w:rPr>
              <w:t>3</w:t>
            </w:r>
            <w:r>
              <w:rPr>
                <w:rFonts w:hint="eastAsia"/>
                <w:sz w:val="24"/>
                <w:szCs w:val="32"/>
              </w:rPr>
              <w:t>/d。洗车平台配套一座5m</w:t>
            </w:r>
            <w:r>
              <w:rPr>
                <w:rFonts w:hint="eastAsia"/>
                <w:sz w:val="24"/>
                <w:szCs w:val="32"/>
                <w:vertAlign w:val="superscript"/>
              </w:rPr>
              <w:t>3</w:t>
            </w:r>
            <w:r>
              <w:rPr>
                <w:rFonts w:hint="eastAsia"/>
                <w:sz w:val="24"/>
                <w:szCs w:val="32"/>
              </w:rPr>
              <w:t>沉淀池收集沉淀洗车废水，沉淀处理后废水回用于车辆冲洗，不外排。</w:t>
            </w:r>
          </w:p>
          <w:p w14:paraId="2BF50786">
            <w:pPr>
              <w:pStyle w:val="95"/>
              <w:spacing w:line="440" w:lineRule="exact"/>
              <w:ind w:firstLine="480"/>
              <w:jc w:val="left"/>
              <w:rPr>
                <w:sz w:val="24"/>
                <w:szCs w:val="32"/>
              </w:rPr>
            </w:pPr>
            <w:r>
              <w:rPr>
                <w:rFonts w:hint="eastAsia"/>
                <w:sz w:val="24"/>
                <w:szCs w:val="32"/>
              </w:rPr>
              <w:t>②职工生活废水</w:t>
            </w:r>
          </w:p>
          <w:p w14:paraId="722E6C1B">
            <w:pPr>
              <w:pStyle w:val="95"/>
              <w:spacing w:line="440" w:lineRule="exact"/>
              <w:ind w:firstLine="480"/>
              <w:jc w:val="left"/>
              <w:rPr>
                <w:sz w:val="24"/>
                <w:szCs w:val="32"/>
              </w:rPr>
            </w:pPr>
            <w:r>
              <w:rPr>
                <w:rFonts w:hint="eastAsia"/>
                <w:sz w:val="24"/>
                <w:szCs w:val="32"/>
              </w:rPr>
              <w:t>本项目设置旱厕，不设食宿设施，职工生活废水产生量按用量的80%计算，则职工生活废水量约0.32m</w:t>
            </w:r>
            <w:r>
              <w:rPr>
                <w:rFonts w:hint="eastAsia"/>
                <w:sz w:val="24"/>
                <w:szCs w:val="32"/>
                <w:vertAlign w:val="superscript"/>
              </w:rPr>
              <w:t>3</w:t>
            </w:r>
            <w:r>
              <w:rPr>
                <w:rFonts w:hint="eastAsia"/>
                <w:sz w:val="24"/>
                <w:szCs w:val="32"/>
              </w:rPr>
              <w:t>/d。生活污水排入化粪池，定期清掏用于农田施肥。</w:t>
            </w:r>
          </w:p>
          <w:p w14:paraId="79F62C22">
            <w:pPr>
              <w:pStyle w:val="72"/>
              <w:spacing w:line="440" w:lineRule="exact"/>
              <w:ind w:firstLine="480"/>
              <w:rPr>
                <w:sz w:val="24"/>
                <w:szCs w:val="22"/>
                <w:lang w:val="en-US"/>
              </w:rPr>
            </w:pPr>
            <w:r>
              <w:rPr>
                <w:rFonts w:hint="eastAsia"/>
                <w:sz w:val="24"/>
                <w:szCs w:val="22"/>
                <w:lang w:val="en-US"/>
              </w:rPr>
              <w:t>本项目用排水情况详见下表。项目水平衡分析见下图。</w:t>
            </w:r>
          </w:p>
          <w:p w14:paraId="74081CF1">
            <w:pPr>
              <w:pStyle w:val="45"/>
              <w:rPr>
                <w:rFonts w:ascii="Times New Roman" w:hAnsi="Times New Roman"/>
                <w:sz w:val="24"/>
                <w:szCs w:val="24"/>
              </w:rPr>
            </w:pPr>
            <w:r>
              <w:rPr>
                <w:rFonts w:hint="eastAsia" w:ascii="Times New Roman" w:hAnsi="Times New Roman"/>
                <w:sz w:val="24"/>
                <w:szCs w:val="24"/>
              </w:rPr>
              <w:t>表2-6    项目日最大用、排水量计算情况表    单位：</w:t>
            </w:r>
            <w:r>
              <w:rPr>
                <w:rFonts w:ascii="Times New Roman" w:hAnsi="Times New Roman"/>
                <w:sz w:val="24"/>
                <w:szCs w:val="24"/>
              </w:rPr>
              <w:t>m</w:t>
            </w:r>
            <w:r>
              <w:rPr>
                <w:rFonts w:ascii="Times New Roman" w:hAnsi="Times New Roman"/>
                <w:sz w:val="24"/>
                <w:szCs w:val="24"/>
                <w:vertAlign w:val="superscript"/>
              </w:rPr>
              <w:t>3</w:t>
            </w:r>
            <w:r>
              <w:rPr>
                <w:rFonts w:ascii="Times New Roman" w:hAnsi="Times New Roman"/>
                <w:sz w:val="24"/>
                <w:szCs w:val="24"/>
              </w:rPr>
              <w:t>/d</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24"/>
              <w:gridCol w:w="1559"/>
              <w:gridCol w:w="1135"/>
              <w:gridCol w:w="1135"/>
              <w:gridCol w:w="851"/>
              <w:gridCol w:w="993"/>
              <w:gridCol w:w="662"/>
            </w:tblGrid>
            <w:tr w14:paraId="4704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65" w:type="pct"/>
                  <w:tcBorders>
                    <w:top w:val="single" w:color="auto" w:sz="4" w:space="0"/>
                    <w:left w:val="single" w:color="auto" w:sz="4" w:space="0"/>
                    <w:bottom w:val="single" w:color="auto" w:sz="4" w:space="0"/>
                    <w:right w:val="single" w:color="auto" w:sz="4" w:space="0"/>
                  </w:tcBorders>
                  <w:vAlign w:val="center"/>
                </w:tcPr>
                <w:p w14:paraId="764B4ED8">
                  <w:pPr>
                    <w:pStyle w:val="52"/>
                    <w:spacing w:line="300" w:lineRule="exact"/>
                    <w:rPr>
                      <w:rFonts w:cs="宋体"/>
                    </w:rPr>
                  </w:pPr>
                  <w:r>
                    <w:rPr>
                      <w:rFonts w:hint="eastAsia" w:cs="宋体"/>
                    </w:rPr>
                    <w:t>用水单元</w:t>
                  </w:r>
                </w:p>
              </w:tc>
              <w:tc>
                <w:tcPr>
                  <w:tcW w:w="944" w:type="pct"/>
                  <w:tcBorders>
                    <w:top w:val="single" w:color="auto" w:sz="4" w:space="0"/>
                    <w:left w:val="single" w:color="auto" w:sz="4" w:space="0"/>
                    <w:bottom w:val="single" w:color="auto" w:sz="4" w:space="0"/>
                    <w:right w:val="single" w:color="auto" w:sz="4" w:space="0"/>
                  </w:tcBorders>
                  <w:vAlign w:val="center"/>
                </w:tcPr>
                <w:p w14:paraId="421CBA11">
                  <w:pPr>
                    <w:pStyle w:val="52"/>
                    <w:spacing w:line="300" w:lineRule="exact"/>
                    <w:rPr>
                      <w:rFonts w:cs="宋体"/>
                    </w:rPr>
                  </w:pPr>
                  <w:r>
                    <w:rPr>
                      <w:rFonts w:hint="eastAsia" w:cs="宋体"/>
                    </w:rPr>
                    <w:t>用水定额</w:t>
                  </w:r>
                </w:p>
              </w:tc>
              <w:tc>
                <w:tcPr>
                  <w:tcW w:w="687" w:type="pct"/>
                  <w:tcBorders>
                    <w:top w:val="single" w:color="auto" w:sz="4" w:space="0"/>
                    <w:left w:val="single" w:color="auto" w:sz="4" w:space="0"/>
                    <w:bottom w:val="single" w:color="auto" w:sz="4" w:space="0"/>
                    <w:right w:val="single" w:color="auto" w:sz="4" w:space="0"/>
                  </w:tcBorders>
                  <w:vAlign w:val="center"/>
                </w:tcPr>
                <w:p w14:paraId="631AF2EB">
                  <w:pPr>
                    <w:pStyle w:val="52"/>
                    <w:spacing w:line="300" w:lineRule="exact"/>
                    <w:rPr>
                      <w:rFonts w:cs="宋体"/>
                    </w:rPr>
                  </w:pPr>
                  <w:r>
                    <w:rPr>
                      <w:rFonts w:hint="eastAsia" w:cs="宋体"/>
                    </w:rPr>
                    <w:t>用水指标</w:t>
                  </w:r>
                </w:p>
              </w:tc>
              <w:tc>
                <w:tcPr>
                  <w:tcW w:w="687" w:type="pct"/>
                  <w:tcBorders>
                    <w:top w:val="single" w:color="auto" w:sz="4" w:space="0"/>
                    <w:left w:val="single" w:color="auto" w:sz="4" w:space="0"/>
                    <w:bottom w:val="single" w:color="auto" w:sz="4" w:space="0"/>
                    <w:right w:val="single" w:color="auto" w:sz="4" w:space="0"/>
                  </w:tcBorders>
                  <w:vAlign w:val="center"/>
                </w:tcPr>
                <w:p w14:paraId="1BE60BEC">
                  <w:pPr>
                    <w:pStyle w:val="52"/>
                    <w:spacing w:line="300" w:lineRule="exact"/>
                    <w:rPr>
                      <w:rFonts w:cs="宋体"/>
                    </w:rPr>
                  </w:pPr>
                  <w:r>
                    <w:rPr>
                      <w:rFonts w:hint="eastAsia" w:cs="宋体"/>
                    </w:rPr>
                    <w:t>用水量</w:t>
                  </w:r>
                </w:p>
              </w:tc>
              <w:tc>
                <w:tcPr>
                  <w:tcW w:w="515" w:type="pct"/>
                  <w:tcBorders>
                    <w:top w:val="single" w:color="auto" w:sz="4" w:space="0"/>
                    <w:left w:val="single" w:color="auto" w:sz="4" w:space="0"/>
                    <w:bottom w:val="single" w:color="auto" w:sz="4" w:space="0"/>
                    <w:right w:val="single" w:color="auto" w:sz="4" w:space="0"/>
                  </w:tcBorders>
                  <w:vAlign w:val="center"/>
                </w:tcPr>
                <w:p w14:paraId="63641B73">
                  <w:pPr>
                    <w:pStyle w:val="52"/>
                    <w:spacing w:line="300" w:lineRule="exact"/>
                    <w:rPr>
                      <w:rFonts w:cs="宋体"/>
                    </w:rPr>
                  </w:pPr>
                  <w:r>
                    <w:rPr>
                      <w:rFonts w:hint="eastAsia" w:cs="宋体"/>
                    </w:rPr>
                    <w:t>消耗量</w:t>
                  </w:r>
                </w:p>
              </w:tc>
              <w:tc>
                <w:tcPr>
                  <w:tcW w:w="601" w:type="pct"/>
                  <w:tcBorders>
                    <w:top w:val="single" w:color="auto" w:sz="4" w:space="0"/>
                    <w:left w:val="single" w:color="auto" w:sz="4" w:space="0"/>
                    <w:bottom w:val="single" w:color="auto" w:sz="4" w:space="0"/>
                    <w:right w:val="single" w:color="auto" w:sz="4" w:space="0"/>
                  </w:tcBorders>
                  <w:vAlign w:val="center"/>
                </w:tcPr>
                <w:p w14:paraId="127DE5E5">
                  <w:pPr>
                    <w:pStyle w:val="52"/>
                    <w:spacing w:line="300" w:lineRule="exact"/>
                    <w:rPr>
                      <w:rFonts w:cs="宋体"/>
                    </w:rPr>
                  </w:pPr>
                  <w:r>
                    <w:rPr>
                      <w:rFonts w:hint="eastAsia" w:cs="宋体"/>
                    </w:rPr>
                    <w:t>排水量</w:t>
                  </w:r>
                </w:p>
              </w:tc>
              <w:tc>
                <w:tcPr>
                  <w:tcW w:w="401" w:type="pct"/>
                  <w:tcBorders>
                    <w:top w:val="single" w:color="auto" w:sz="4" w:space="0"/>
                    <w:left w:val="single" w:color="auto" w:sz="4" w:space="0"/>
                    <w:bottom w:val="single" w:color="auto" w:sz="4" w:space="0"/>
                    <w:right w:val="single" w:color="auto" w:sz="4" w:space="0"/>
                  </w:tcBorders>
                  <w:vAlign w:val="center"/>
                </w:tcPr>
                <w:p w14:paraId="02E930E0">
                  <w:pPr>
                    <w:pStyle w:val="52"/>
                    <w:spacing w:line="300" w:lineRule="exact"/>
                    <w:rPr>
                      <w:rFonts w:cs="宋体"/>
                    </w:rPr>
                  </w:pPr>
                  <w:r>
                    <w:rPr>
                      <w:rFonts w:hint="eastAsia" w:cs="宋体"/>
                    </w:rPr>
                    <w:t>备注</w:t>
                  </w:r>
                </w:p>
              </w:tc>
            </w:tr>
            <w:tr w14:paraId="5663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65" w:type="pct"/>
                  <w:tcBorders>
                    <w:top w:val="single" w:color="auto" w:sz="4" w:space="0"/>
                    <w:left w:val="single" w:color="auto" w:sz="4" w:space="0"/>
                    <w:bottom w:val="single" w:color="auto" w:sz="4" w:space="0"/>
                    <w:right w:val="single" w:color="auto" w:sz="4" w:space="0"/>
                  </w:tcBorders>
                  <w:vAlign w:val="center"/>
                </w:tcPr>
                <w:p w14:paraId="1B897623">
                  <w:pPr>
                    <w:pStyle w:val="52"/>
                    <w:spacing w:line="300" w:lineRule="exact"/>
                    <w:rPr>
                      <w:rFonts w:cs="宋体"/>
                    </w:rPr>
                  </w:pPr>
                  <w:r>
                    <w:rPr>
                      <w:rFonts w:hint="eastAsia" w:cs="宋体"/>
                    </w:rPr>
                    <w:t>喷雾抑尘用水</w:t>
                  </w:r>
                </w:p>
              </w:tc>
              <w:tc>
                <w:tcPr>
                  <w:tcW w:w="944" w:type="pct"/>
                  <w:tcBorders>
                    <w:top w:val="single" w:color="auto" w:sz="4" w:space="0"/>
                    <w:left w:val="single" w:color="auto" w:sz="4" w:space="0"/>
                    <w:bottom w:val="single" w:color="auto" w:sz="4" w:space="0"/>
                    <w:right w:val="single" w:color="auto" w:sz="4" w:space="0"/>
                  </w:tcBorders>
                  <w:vAlign w:val="center"/>
                </w:tcPr>
                <w:p w14:paraId="0385E9F8">
                  <w:pPr>
                    <w:pStyle w:val="52"/>
                    <w:spacing w:line="300" w:lineRule="exact"/>
                    <w:rPr>
                      <w:rFonts w:cs="宋体"/>
                    </w:rPr>
                  </w:pPr>
                  <w:r>
                    <w:rPr>
                      <w:rFonts w:hint="eastAsia" w:cs="宋体"/>
                      <w:kern w:val="0"/>
                    </w:rPr>
                    <w:t>2L/(m²·d)</w:t>
                  </w:r>
                </w:p>
              </w:tc>
              <w:tc>
                <w:tcPr>
                  <w:tcW w:w="687" w:type="pct"/>
                  <w:tcBorders>
                    <w:top w:val="single" w:color="auto" w:sz="4" w:space="0"/>
                    <w:left w:val="single" w:color="auto" w:sz="4" w:space="0"/>
                    <w:bottom w:val="single" w:color="auto" w:sz="4" w:space="0"/>
                    <w:right w:val="single" w:color="auto" w:sz="4" w:space="0"/>
                  </w:tcBorders>
                  <w:vAlign w:val="center"/>
                </w:tcPr>
                <w:p w14:paraId="436D8CFC">
                  <w:pPr>
                    <w:pStyle w:val="52"/>
                    <w:spacing w:line="300" w:lineRule="exact"/>
                    <w:rPr>
                      <w:rFonts w:cs="宋体"/>
                    </w:rPr>
                  </w:pPr>
                  <w:r>
                    <w:rPr>
                      <w:rFonts w:hint="eastAsia" w:cs="宋体"/>
                    </w:rPr>
                    <w:t>150m</w:t>
                  </w:r>
                  <w:r>
                    <w:rPr>
                      <w:rFonts w:hint="eastAsia" w:cs="宋体"/>
                      <w:vertAlign w:val="superscript"/>
                    </w:rPr>
                    <w:t>2</w:t>
                  </w:r>
                </w:p>
              </w:tc>
              <w:tc>
                <w:tcPr>
                  <w:tcW w:w="687" w:type="pct"/>
                  <w:tcBorders>
                    <w:top w:val="single" w:color="auto" w:sz="4" w:space="0"/>
                    <w:left w:val="single" w:color="auto" w:sz="4" w:space="0"/>
                    <w:bottom w:val="single" w:color="auto" w:sz="4" w:space="0"/>
                    <w:right w:val="single" w:color="auto" w:sz="4" w:space="0"/>
                  </w:tcBorders>
                  <w:vAlign w:val="center"/>
                </w:tcPr>
                <w:p w14:paraId="5CC67ABC">
                  <w:pPr>
                    <w:pStyle w:val="52"/>
                    <w:spacing w:line="300" w:lineRule="exact"/>
                    <w:rPr>
                      <w:rFonts w:cs="宋体"/>
                    </w:rPr>
                  </w:pPr>
                  <w:r>
                    <w:rPr>
                      <w:rFonts w:hint="eastAsia" w:cs="宋体"/>
                    </w:rPr>
                    <w:t>0.3</w:t>
                  </w:r>
                </w:p>
              </w:tc>
              <w:tc>
                <w:tcPr>
                  <w:tcW w:w="515" w:type="pct"/>
                  <w:tcBorders>
                    <w:top w:val="single" w:color="auto" w:sz="4" w:space="0"/>
                    <w:left w:val="single" w:color="auto" w:sz="4" w:space="0"/>
                    <w:bottom w:val="single" w:color="auto" w:sz="4" w:space="0"/>
                    <w:right w:val="single" w:color="auto" w:sz="4" w:space="0"/>
                  </w:tcBorders>
                  <w:vAlign w:val="center"/>
                </w:tcPr>
                <w:p w14:paraId="455F5A4F">
                  <w:pPr>
                    <w:pStyle w:val="52"/>
                    <w:spacing w:line="300" w:lineRule="exact"/>
                    <w:rPr>
                      <w:rFonts w:cs="宋体"/>
                    </w:rPr>
                  </w:pPr>
                  <w:r>
                    <w:rPr>
                      <w:rFonts w:hint="eastAsia" w:cs="宋体"/>
                    </w:rPr>
                    <w:t>0.3</w:t>
                  </w:r>
                </w:p>
              </w:tc>
              <w:tc>
                <w:tcPr>
                  <w:tcW w:w="601" w:type="pct"/>
                  <w:tcBorders>
                    <w:top w:val="single" w:color="auto" w:sz="4" w:space="0"/>
                    <w:left w:val="single" w:color="auto" w:sz="4" w:space="0"/>
                    <w:bottom w:val="single" w:color="auto" w:sz="4" w:space="0"/>
                    <w:right w:val="single" w:color="auto" w:sz="4" w:space="0"/>
                  </w:tcBorders>
                  <w:vAlign w:val="center"/>
                </w:tcPr>
                <w:p w14:paraId="761864A2">
                  <w:pPr>
                    <w:pStyle w:val="52"/>
                    <w:spacing w:line="300" w:lineRule="exact"/>
                    <w:rPr>
                      <w:rFonts w:cs="宋体"/>
                    </w:rPr>
                  </w:pPr>
                  <w:r>
                    <w:rPr>
                      <w:rFonts w:hint="eastAsia" w:cs="宋体"/>
                    </w:rPr>
                    <w:t>0</w:t>
                  </w:r>
                </w:p>
              </w:tc>
              <w:tc>
                <w:tcPr>
                  <w:tcW w:w="401" w:type="pct"/>
                  <w:tcBorders>
                    <w:top w:val="single" w:color="auto" w:sz="4" w:space="0"/>
                    <w:left w:val="single" w:color="auto" w:sz="4" w:space="0"/>
                    <w:bottom w:val="single" w:color="auto" w:sz="4" w:space="0"/>
                    <w:right w:val="single" w:color="auto" w:sz="4" w:space="0"/>
                  </w:tcBorders>
                  <w:vAlign w:val="center"/>
                </w:tcPr>
                <w:p w14:paraId="20D99630">
                  <w:pPr>
                    <w:pStyle w:val="52"/>
                    <w:spacing w:line="300" w:lineRule="exact"/>
                    <w:rPr>
                      <w:rFonts w:cs="宋体"/>
                    </w:rPr>
                  </w:pPr>
                </w:p>
              </w:tc>
            </w:tr>
            <w:tr w14:paraId="1474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65" w:type="pct"/>
                  <w:tcBorders>
                    <w:top w:val="single" w:color="auto" w:sz="4" w:space="0"/>
                    <w:left w:val="single" w:color="auto" w:sz="4" w:space="0"/>
                    <w:bottom w:val="single" w:color="auto" w:sz="4" w:space="0"/>
                    <w:right w:val="single" w:color="auto" w:sz="4" w:space="0"/>
                  </w:tcBorders>
                  <w:vAlign w:val="center"/>
                </w:tcPr>
                <w:p w14:paraId="3DBF7DB7">
                  <w:pPr>
                    <w:pStyle w:val="52"/>
                    <w:spacing w:line="300" w:lineRule="exact"/>
                    <w:rPr>
                      <w:rFonts w:cs="宋体"/>
                    </w:rPr>
                  </w:pPr>
                  <w:r>
                    <w:rPr>
                      <w:rFonts w:hint="eastAsia" w:cs="宋体"/>
                    </w:rPr>
                    <w:t>雾炮用水</w:t>
                  </w:r>
                </w:p>
              </w:tc>
              <w:tc>
                <w:tcPr>
                  <w:tcW w:w="944" w:type="pct"/>
                  <w:tcBorders>
                    <w:top w:val="single" w:color="auto" w:sz="4" w:space="0"/>
                    <w:left w:val="single" w:color="auto" w:sz="4" w:space="0"/>
                    <w:bottom w:val="single" w:color="auto" w:sz="4" w:space="0"/>
                    <w:right w:val="single" w:color="auto" w:sz="4" w:space="0"/>
                  </w:tcBorders>
                  <w:vAlign w:val="center"/>
                </w:tcPr>
                <w:p w14:paraId="7646A979">
                  <w:pPr>
                    <w:pStyle w:val="52"/>
                    <w:spacing w:line="300" w:lineRule="exact"/>
                    <w:rPr>
                      <w:rFonts w:cs="宋体"/>
                    </w:rPr>
                  </w:pPr>
                  <w:r>
                    <w:rPr>
                      <w:rFonts w:hint="eastAsia" w:cs="宋体"/>
                    </w:rPr>
                    <w:t>/</w:t>
                  </w:r>
                </w:p>
              </w:tc>
              <w:tc>
                <w:tcPr>
                  <w:tcW w:w="687" w:type="pct"/>
                  <w:tcBorders>
                    <w:top w:val="single" w:color="auto" w:sz="4" w:space="0"/>
                    <w:left w:val="single" w:color="auto" w:sz="4" w:space="0"/>
                    <w:bottom w:val="single" w:color="auto" w:sz="4" w:space="0"/>
                    <w:right w:val="single" w:color="auto" w:sz="4" w:space="0"/>
                  </w:tcBorders>
                  <w:vAlign w:val="center"/>
                </w:tcPr>
                <w:p w14:paraId="0FE0788D">
                  <w:pPr>
                    <w:pStyle w:val="52"/>
                    <w:spacing w:line="300" w:lineRule="exact"/>
                    <w:rPr>
                      <w:rFonts w:cs="宋体"/>
                    </w:rPr>
                  </w:pPr>
                  <w:r>
                    <w:rPr>
                      <w:rFonts w:hint="eastAsia" w:cs="宋体"/>
                      <w:kern w:val="0"/>
                    </w:rPr>
                    <w:t>2m</w:t>
                  </w:r>
                  <w:r>
                    <w:rPr>
                      <w:rFonts w:hint="eastAsia" w:cs="宋体"/>
                      <w:kern w:val="0"/>
                      <w:vertAlign w:val="superscript"/>
                    </w:rPr>
                    <w:t>3</w:t>
                  </w:r>
                  <w:r>
                    <w:rPr>
                      <w:rFonts w:hint="eastAsia" w:cs="宋体"/>
                      <w:kern w:val="0"/>
                    </w:rPr>
                    <w:t>/d</w:t>
                  </w:r>
                </w:p>
              </w:tc>
              <w:tc>
                <w:tcPr>
                  <w:tcW w:w="687" w:type="pct"/>
                  <w:tcBorders>
                    <w:top w:val="single" w:color="auto" w:sz="4" w:space="0"/>
                    <w:left w:val="single" w:color="auto" w:sz="4" w:space="0"/>
                    <w:bottom w:val="single" w:color="auto" w:sz="4" w:space="0"/>
                    <w:right w:val="single" w:color="auto" w:sz="4" w:space="0"/>
                  </w:tcBorders>
                  <w:vAlign w:val="center"/>
                </w:tcPr>
                <w:p w14:paraId="317D7AC9">
                  <w:pPr>
                    <w:pStyle w:val="52"/>
                    <w:spacing w:line="300" w:lineRule="exact"/>
                    <w:rPr>
                      <w:rFonts w:cs="宋体"/>
                    </w:rPr>
                  </w:pPr>
                  <w:r>
                    <w:rPr>
                      <w:rFonts w:hint="eastAsia" w:cs="宋体"/>
                    </w:rPr>
                    <w:t>2</w:t>
                  </w:r>
                </w:p>
              </w:tc>
              <w:tc>
                <w:tcPr>
                  <w:tcW w:w="515" w:type="pct"/>
                  <w:tcBorders>
                    <w:top w:val="single" w:color="auto" w:sz="4" w:space="0"/>
                    <w:left w:val="single" w:color="auto" w:sz="4" w:space="0"/>
                    <w:bottom w:val="single" w:color="auto" w:sz="4" w:space="0"/>
                    <w:right w:val="single" w:color="auto" w:sz="4" w:space="0"/>
                  </w:tcBorders>
                  <w:vAlign w:val="center"/>
                </w:tcPr>
                <w:p w14:paraId="35DC4863">
                  <w:pPr>
                    <w:pStyle w:val="52"/>
                    <w:spacing w:line="300" w:lineRule="exact"/>
                    <w:rPr>
                      <w:rFonts w:cs="宋体"/>
                    </w:rPr>
                  </w:pPr>
                  <w:r>
                    <w:rPr>
                      <w:rFonts w:hint="eastAsia" w:cs="宋体"/>
                    </w:rPr>
                    <w:t>2</w:t>
                  </w:r>
                </w:p>
              </w:tc>
              <w:tc>
                <w:tcPr>
                  <w:tcW w:w="601" w:type="pct"/>
                  <w:tcBorders>
                    <w:top w:val="single" w:color="auto" w:sz="4" w:space="0"/>
                    <w:left w:val="single" w:color="auto" w:sz="4" w:space="0"/>
                    <w:bottom w:val="single" w:color="auto" w:sz="4" w:space="0"/>
                    <w:right w:val="single" w:color="auto" w:sz="4" w:space="0"/>
                  </w:tcBorders>
                  <w:vAlign w:val="center"/>
                </w:tcPr>
                <w:p w14:paraId="5ED1CFDC">
                  <w:pPr>
                    <w:pStyle w:val="52"/>
                    <w:spacing w:line="300" w:lineRule="exact"/>
                    <w:rPr>
                      <w:rFonts w:cs="宋体"/>
                    </w:rPr>
                  </w:pPr>
                  <w:r>
                    <w:rPr>
                      <w:rFonts w:hint="eastAsia" w:cs="宋体"/>
                    </w:rPr>
                    <w:t>0</w:t>
                  </w:r>
                </w:p>
              </w:tc>
              <w:tc>
                <w:tcPr>
                  <w:tcW w:w="401" w:type="pct"/>
                  <w:tcBorders>
                    <w:top w:val="single" w:color="auto" w:sz="4" w:space="0"/>
                    <w:left w:val="single" w:color="auto" w:sz="4" w:space="0"/>
                    <w:bottom w:val="single" w:color="auto" w:sz="4" w:space="0"/>
                    <w:right w:val="single" w:color="auto" w:sz="4" w:space="0"/>
                  </w:tcBorders>
                  <w:vAlign w:val="center"/>
                </w:tcPr>
                <w:p w14:paraId="32201938">
                  <w:pPr>
                    <w:pStyle w:val="52"/>
                    <w:spacing w:line="300" w:lineRule="exact"/>
                    <w:rPr>
                      <w:rFonts w:cs="宋体"/>
                    </w:rPr>
                  </w:pPr>
                </w:p>
              </w:tc>
            </w:tr>
            <w:tr w14:paraId="199A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65" w:type="pct"/>
                  <w:tcBorders>
                    <w:top w:val="single" w:color="auto" w:sz="4" w:space="0"/>
                    <w:left w:val="single" w:color="auto" w:sz="4" w:space="0"/>
                    <w:bottom w:val="single" w:color="auto" w:sz="4" w:space="0"/>
                    <w:right w:val="single" w:color="auto" w:sz="4" w:space="0"/>
                  </w:tcBorders>
                  <w:vAlign w:val="center"/>
                </w:tcPr>
                <w:p w14:paraId="4A102D21">
                  <w:pPr>
                    <w:pStyle w:val="52"/>
                    <w:spacing w:line="300" w:lineRule="exact"/>
                    <w:rPr>
                      <w:rFonts w:cs="宋体"/>
                    </w:rPr>
                  </w:pPr>
                  <w:r>
                    <w:rPr>
                      <w:rFonts w:hint="eastAsia" w:cs="宋体"/>
                    </w:rPr>
                    <w:t>车辆冲洗用水</w:t>
                  </w:r>
                </w:p>
              </w:tc>
              <w:tc>
                <w:tcPr>
                  <w:tcW w:w="944" w:type="pct"/>
                  <w:tcBorders>
                    <w:top w:val="single" w:color="auto" w:sz="4" w:space="0"/>
                    <w:left w:val="single" w:color="auto" w:sz="4" w:space="0"/>
                    <w:bottom w:val="single" w:color="auto" w:sz="4" w:space="0"/>
                    <w:right w:val="single" w:color="auto" w:sz="4" w:space="0"/>
                  </w:tcBorders>
                  <w:vAlign w:val="center"/>
                </w:tcPr>
                <w:p w14:paraId="69A032C3">
                  <w:pPr>
                    <w:pStyle w:val="52"/>
                    <w:spacing w:line="300" w:lineRule="exact"/>
                    <w:rPr>
                      <w:rFonts w:cs="宋体"/>
                    </w:rPr>
                  </w:pPr>
                  <w:r>
                    <w:rPr>
                      <w:rFonts w:hint="eastAsia" w:cs="宋体"/>
                    </w:rPr>
                    <w:t>60L/辆·次</w:t>
                  </w:r>
                </w:p>
              </w:tc>
              <w:tc>
                <w:tcPr>
                  <w:tcW w:w="687" w:type="pct"/>
                  <w:tcBorders>
                    <w:top w:val="single" w:color="auto" w:sz="4" w:space="0"/>
                    <w:left w:val="single" w:color="auto" w:sz="4" w:space="0"/>
                    <w:bottom w:val="single" w:color="auto" w:sz="4" w:space="0"/>
                    <w:right w:val="single" w:color="auto" w:sz="4" w:space="0"/>
                  </w:tcBorders>
                  <w:vAlign w:val="center"/>
                </w:tcPr>
                <w:p w14:paraId="41C852A2">
                  <w:pPr>
                    <w:pStyle w:val="52"/>
                    <w:spacing w:line="300" w:lineRule="exact"/>
                    <w:rPr>
                      <w:rFonts w:cs="宋体"/>
                    </w:rPr>
                  </w:pPr>
                  <w:r>
                    <w:rPr>
                      <w:rFonts w:hint="eastAsia" w:cs="宋体"/>
                    </w:rPr>
                    <w:t>16辆·次/d</w:t>
                  </w:r>
                </w:p>
              </w:tc>
              <w:tc>
                <w:tcPr>
                  <w:tcW w:w="687" w:type="pct"/>
                  <w:tcBorders>
                    <w:top w:val="single" w:color="auto" w:sz="4" w:space="0"/>
                    <w:left w:val="single" w:color="auto" w:sz="4" w:space="0"/>
                    <w:bottom w:val="single" w:color="auto" w:sz="4" w:space="0"/>
                    <w:right w:val="single" w:color="auto" w:sz="4" w:space="0"/>
                  </w:tcBorders>
                  <w:vAlign w:val="center"/>
                </w:tcPr>
                <w:p w14:paraId="3D16EAFE">
                  <w:pPr>
                    <w:pStyle w:val="52"/>
                    <w:spacing w:line="300" w:lineRule="exact"/>
                    <w:rPr>
                      <w:rFonts w:cs="宋体"/>
                    </w:rPr>
                  </w:pPr>
                  <w:r>
                    <w:rPr>
                      <w:rFonts w:hint="eastAsia" w:cs="宋体"/>
                    </w:rPr>
                    <w:t>0.1(0.86)</w:t>
                  </w:r>
                </w:p>
              </w:tc>
              <w:tc>
                <w:tcPr>
                  <w:tcW w:w="515" w:type="pct"/>
                  <w:tcBorders>
                    <w:top w:val="single" w:color="auto" w:sz="4" w:space="0"/>
                    <w:left w:val="single" w:color="auto" w:sz="4" w:space="0"/>
                    <w:bottom w:val="single" w:color="auto" w:sz="4" w:space="0"/>
                    <w:right w:val="single" w:color="auto" w:sz="4" w:space="0"/>
                  </w:tcBorders>
                  <w:vAlign w:val="center"/>
                </w:tcPr>
                <w:p w14:paraId="3341D975">
                  <w:pPr>
                    <w:pStyle w:val="52"/>
                    <w:spacing w:line="300" w:lineRule="exact"/>
                    <w:rPr>
                      <w:rFonts w:cs="宋体"/>
                    </w:rPr>
                  </w:pPr>
                  <w:r>
                    <w:rPr>
                      <w:rFonts w:hint="eastAsia" w:cs="宋体"/>
                    </w:rPr>
                    <w:t>0.1</w:t>
                  </w:r>
                </w:p>
              </w:tc>
              <w:tc>
                <w:tcPr>
                  <w:tcW w:w="601" w:type="pct"/>
                  <w:tcBorders>
                    <w:top w:val="single" w:color="auto" w:sz="4" w:space="0"/>
                    <w:left w:val="single" w:color="auto" w:sz="4" w:space="0"/>
                    <w:bottom w:val="single" w:color="auto" w:sz="4" w:space="0"/>
                    <w:right w:val="single" w:color="auto" w:sz="4" w:space="0"/>
                  </w:tcBorders>
                  <w:vAlign w:val="center"/>
                </w:tcPr>
                <w:p w14:paraId="0040266A">
                  <w:pPr>
                    <w:pStyle w:val="52"/>
                    <w:spacing w:line="300" w:lineRule="exact"/>
                    <w:rPr>
                      <w:rFonts w:cs="宋体"/>
                    </w:rPr>
                  </w:pPr>
                  <w:r>
                    <w:rPr>
                      <w:rFonts w:hint="eastAsia" w:cs="宋体"/>
                    </w:rPr>
                    <w:t>(0.86)</w:t>
                  </w:r>
                </w:p>
              </w:tc>
              <w:tc>
                <w:tcPr>
                  <w:tcW w:w="401" w:type="pct"/>
                  <w:tcBorders>
                    <w:top w:val="single" w:color="auto" w:sz="4" w:space="0"/>
                    <w:left w:val="single" w:color="auto" w:sz="4" w:space="0"/>
                    <w:bottom w:val="single" w:color="auto" w:sz="4" w:space="0"/>
                    <w:right w:val="single" w:color="auto" w:sz="4" w:space="0"/>
                  </w:tcBorders>
                  <w:vAlign w:val="center"/>
                </w:tcPr>
                <w:p w14:paraId="380E59DE">
                  <w:pPr>
                    <w:pStyle w:val="52"/>
                    <w:spacing w:line="300" w:lineRule="exact"/>
                    <w:rPr>
                      <w:rFonts w:cs="宋体"/>
                    </w:rPr>
                  </w:pPr>
                </w:p>
              </w:tc>
            </w:tr>
            <w:tr w14:paraId="1EA0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65" w:type="pct"/>
                  <w:tcBorders>
                    <w:top w:val="single" w:color="auto" w:sz="4" w:space="0"/>
                    <w:left w:val="single" w:color="auto" w:sz="4" w:space="0"/>
                    <w:bottom w:val="single" w:color="auto" w:sz="4" w:space="0"/>
                    <w:right w:val="single" w:color="auto" w:sz="4" w:space="0"/>
                  </w:tcBorders>
                  <w:vAlign w:val="center"/>
                </w:tcPr>
                <w:p w14:paraId="56D450E1">
                  <w:pPr>
                    <w:pStyle w:val="52"/>
                    <w:spacing w:line="300" w:lineRule="exact"/>
                    <w:rPr>
                      <w:rFonts w:cs="宋体"/>
                    </w:rPr>
                  </w:pPr>
                  <w:r>
                    <w:rPr>
                      <w:rFonts w:hint="eastAsia" w:cs="宋体"/>
                    </w:rPr>
                    <w:t>道路抑尘用水</w:t>
                  </w:r>
                </w:p>
              </w:tc>
              <w:tc>
                <w:tcPr>
                  <w:tcW w:w="944" w:type="pct"/>
                  <w:tcBorders>
                    <w:top w:val="single" w:color="auto" w:sz="4" w:space="0"/>
                    <w:left w:val="single" w:color="auto" w:sz="4" w:space="0"/>
                    <w:bottom w:val="single" w:color="auto" w:sz="4" w:space="0"/>
                    <w:right w:val="single" w:color="auto" w:sz="4" w:space="0"/>
                  </w:tcBorders>
                  <w:vAlign w:val="center"/>
                </w:tcPr>
                <w:p w14:paraId="2A2FAB52">
                  <w:pPr>
                    <w:pStyle w:val="52"/>
                    <w:spacing w:line="300" w:lineRule="exact"/>
                    <w:rPr>
                      <w:rFonts w:cs="宋体"/>
                    </w:rPr>
                  </w:pPr>
                  <w:r>
                    <w:rPr>
                      <w:rFonts w:hint="eastAsia" w:cs="宋体"/>
                    </w:rPr>
                    <w:t>1.5L/m</w:t>
                  </w:r>
                  <w:r>
                    <w:rPr>
                      <w:rFonts w:hint="eastAsia" w:cs="宋体"/>
                      <w:vertAlign w:val="superscript"/>
                    </w:rPr>
                    <w:t>2</w:t>
                  </w:r>
                  <w:r>
                    <w:rPr>
                      <w:rFonts w:hint="eastAsia" w:cs="宋体"/>
                    </w:rPr>
                    <w:t>·d</w:t>
                  </w:r>
                </w:p>
              </w:tc>
              <w:tc>
                <w:tcPr>
                  <w:tcW w:w="687" w:type="pct"/>
                  <w:tcBorders>
                    <w:top w:val="single" w:color="auto" w:sz="4" w:space="0"/>
                    <w:left w:val="single" w:color="auto" w:sz="4" w:space="0"/>
                    <w:bottom w:val="single" w:color="auto" w:sz="4" w:space="0"/>
                    <w:right w:val="single" w:color="auto" w:sz="4" w:space="0"/>
                  </w:tcBorders>
                  <w:vAlign w:val="center"/>
                </w:tcPr>
                <w:p w14:paraId="01CC2BA1">
                  <w:pPr>
                    <w:pStyle w:val="52"/>
                    <w:spacing w:line="300" w:lineRule="exact"/>
                    <w:rPr>
                      <w:rFonts w:cs="宋体"/>
                    </w:rPr>
                  </w:pPr>
                  <w:r>
                    <w:rPr>
                      <w:rFonts w:hint="eastAsia" w:cs="宋体"/>
                    </w:rPr>
                    <w:t>180m</w:t>
                  </w:r>
                  <w:r>
                    <w:rPr>
                      <w:rFonts w:hint="eastAsia" w:cs="宋体"/>
                      <w:vertAlign w:val="superscript"/>
                    </w:rPr>
                    <w:t>2</w:t>
                  </w:r>
                </w:p>
              </w:tc>
              <w:tc>
                <w:tcPr>
                  <w:tcW w:w="687" w:type="pct"/>
                  <w:tcBorders>
                    <w:top w:val="single" w:color="auto" w:sz="4" w:space="0"/>
                    <w:left w:val="single" w:color="auto" w:sz="4" w:space="0"/>
                    <w:bottom w:val="single" w:color="auto" w:sz="4" w:space="0"/>
                    <w:right w:val="single" w:color="auto" w:sz="4" w:space="0"/>
                  </w:tcBorders>
                  <w:vAlign w:val="center"/>
                </w:tcPr>
                <w:p w14:paraId="10B273DE">
                  <w:pPr>
                    <w:pStyle w:val="52"/>
                    <w:spacing w:line="300" w:lineRule="exact"/>
                    <w:rPr>
                      <w:rFonts w:cs="宋体"/>
                    </w:rPr>
                  </w:pPr>
                  <w:r>
                    <w:rPr>
                      <w:rFonts w:hint="eastAsia" w:cs="宋体"/>
                    </w:rPr>
                    <w:t>0.27</w:t>
                  </w:r>
                </w:p>
              </w:tc>
              <w:tc>
                <w:tcPr>
                  <w:tcW w:w="515" w:type="pct"/>
                  <w:tcBorders>
                    <w:top w:val="single" w:color="auto" w:sz="4" w:space="0"/>
                    <w:left w:val="single" w:color="auto" w:sz="4" w:space="0"/>
                    <w:bottom w:val="single" w:color="auto" w:sz="4" w:space="0"/>
                    <w:right w:val="single" w:color="auto" w:sz="4" w:space="0"/>
                  </w:tcBorders>
                  <w:vAlign w:val="center"/>
                </w:tcPr>
                <w:p w14:paraId="2913BDDB">
                  <w:pPr>
                    <w:pStyle w:val="52"/>
                    <w:spacing w:line="300" w:lineRule="exact"/>
                    <w:rPr>
                      <w:rFonts w:cs="宋体"/>
                    </w:rPr>
                  </w:pPr>
                  <w:r>
                    <w:rPr>
                      <w:rFonts w:hint="eastAsia" w:cs="宋体"/>
                    </w:rPr>
                    <w:t>0.27</w:t>
                  </w:r>
                </w:p>
              </w:tc>
              <w:tc>
                <w:tcPr>
                  <w:tcW w:w="601" w:type="pct"/>
                  <w:tcBorders>
                    <w:top w:val="single" w:color="auto" w:sz="4" w:space="0"/>
                    <w:left w:val="single" w:color="auto" w:sz="4" w:space="0"/>
                    <w:bottom w:val="single" w:color="auto" w:sz="4" w:space="0"/>
                    <w:right w:val="single" w:color="auto" w:sz="4" w:space="0"/>
                  </w:tcBorders>
                  <w:vAlign w:val="center"/>
                </w:tcPr>
                <w:p w14:paraId="7567397F">
                  <w:pPr>
                    <w:pStyle w:val="52"/>
                    <w:spacing w:line="300" w:lineRule="exact"/>
                    <w:rPr>
                      <w:rFonts w:cs="宋体"/>
                    </w:rPr>
                  </w:pPr>
                  <w:r>
                    <w:rPr>
                      <w:rFonts w:hint="eastAsia" w:cs="宋体"/>
                    </w:rPr>
                    <w:t>0</w:t>
                  </w:r>
                </w:p>
              </w:tc>
              <w:tc>
                <w:tcPr>
                  <w:tcW w:w="401" w:type="pct"/>
                  <w:tcBorders>
                    <w:top w:val="single" w:color="auto" w:sz="4" w:space="0"/>
                    <w:left w:val="single" w:color="auto" w:sz="4" w:space="0"/>
                    <w:bottom w:val="single" w:color="auto" w:sz="4" w:space="0"/>
                    <w:right w:val="single" w:color="auto" w:sz="4" w:space="0"/>
                  </w:tcBorders>
                  <w:vAlign w:val="center"/>
                </w:tcPr>
                <w:p w14:paraId="1415AD28">
                  <w:pPr>
                    <w:pStyle w:val="52"/>
                    <w:spacing w:line="300" w:lineRule="exact"/>
                    <w:rPr>
                      <w:rFonts w:cs="宋体"/>
                    </w:rPr>
                  </w:pPr>
                </w:p>
              </w:tc>
            </w:tr>
            <w:tr w14:paraId="3F0FA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65" w:type="pct"/>
                  <w:tcBorders>
                    <w:top w:val="single" w:color="auto" w:sz="4" w:space="0"/>
                    <w:left w:val="single" w:color="auto" w:sz="4" w:space="0"/>
                    <w:bottom w:val="single" w:color="auto" w:sz="4" w:space="0"/>
                    <w:right w:val="single" w:color="auto" w:sz="4" w:space="0"/>
                  </w:tcBorders>
                  <w:vAlign w:val="center"/>
                </w:tcPr>
                <w:p w14:paraId="1331F8AC">
                  <w:pPr>
                    <w:pStyle w:val="52"/>
                    <w:spacing w:line="300" w:lineRule="exact"/>
                    <w:rPr>
                      <w:rFonts w:cs="宋体"/>
                    </w:rPr>
                  </w:pPr>
                  <w:r>
                    <w:rPr>
                      <w:rFonts w:hint="eastAsia" w:cs="宋体"/>
                    </w:rPr>
                    <w:t>绿化用水</w:t>
                  </w:r>
                </w:p>
              </w:tc>
              <w:tc>
                <w:tcPr>
                  <w:tcW w:w="944" w:type="pct"/>
                  <w:tcBorders>
                    <w:top w:val="single" w:color="auto" w:sz="4" w:space="0"/>
                    <w:left w:val="single" w:color="auto" w:sz="4" w:space="0"/>
                    <w:bottom w:val="single" w:color="auto" w:sz="4" w:space="0"/>
                    <w:right w:val="single" w:color="auto" w:sz="4" w:space="0"/>
                  </w:tcBorders>
                  <w:vAlign w:val="center"/>
                </w:tcPr>
                <w:p w14:paraId="7F1DA464">
                  <w:pPr>
                    <w:pStyle w:val="52"/>
                    <w:spacing w:line="300" w:lineRule="exact"/>
                    <w:rPr>
                      <w:rFonts w:cs="宋体"/>
                    </w:rPr>
                  </w:pPr>
                  <w:r>
                    <w:rPr>
                      <w:rFonts w:hint="eastAsia" w:cs="宋体"/>
                    </w:rPr>
                    <w:t>1.5L/m</w:t>
                  </w:r>
                  <w:r>
                    <w:rPr>
                      <w:rFonts w:hint="eastAsia" w:cs="宋体"/>
                      <w:vertAlign w:val="superscript"/>
                    </w:rPr>
                    <w:t>2</w:t>
                  </w:r>
                  <w:r>
                    <w:rPr>
                      <w:rFonts w:hint="eastAsia" w:cs="宋体"/>
                    </w:rPr>
                    <w:t>·d</w:t>
                  </w:r>
                </w:p>
              </w:tc>
              <w:tc>
                <w:tcPr>
                  <w:tcW w:w="687" w:type="pct"/>
                  <w:tcBorders>
                    <w:top w:val="single" w:color="auto" w:sz="4" w:space="0"/>
                    <w:left w:val="single" w:color="auto" w:sz="4" w:space="0"/>
                    <w:bottom w:val="single" w:color="auto" w:sz="4" w:space="0"/>
                    <w:right w:val="single" w:color="auto" w:sz="4" w:space="0"/>
                  </w:tcBorders>
                  <w:vAlign w:val="center"/>
                </w:tcPr>
                <w:p w14:paraId="2F387C3A">
                  <w:pPr>
                    <w:pStyle w:val="52"/>
                    <w:spacing w:line="300" w:lineRule="exact"/>
                    <w:rPr>
                      <w:rFonts w:cs="宋体"/>
                    </w:rPr>
                  </w:pPr>
                  <w:r>
                    <w:rPr>
                      <w:rFonts w:hint="eastAsia" w:cs="宋体"/>
                    </w:rPr>
                    <w:t>500m</w:t>
                  </w:r>
                  <w:r>
                    <w:rPr>
                      <w:rFonts w:hint="eastAsia" w:cs="宋体"/>
                      <w:vertAlign w:val="superscript"/>
                    </w:rPr>
                    <w:t>2</w:t>
                  </w:r>
                </w:p>
              </w:tc>
              <w:tc>
                <w:tcPr>
                  <w:tcW w:w="687" w:type="pct"/>
                  <w:tcBorders>
                    <w:top w:val="single" w:color="auto" w:sz="4" w:space="0"/>
                    <w:left w:val="single" w:color="auto" w:sz="4" w:space="0"/>
                    <w:bottom w:val="single" w:color="auto" w:sz="4" w:space="0"/>
                    <w:right w:val="single" w:color="auto" w:sz="4" w:space="0"/>
                  </w:tcBorders>
                  <w:vAlign w:val="center"/>
                </w:tcPr>
                <w:p w14:paraId="25028621">
                  <w:pPr>
                    <w:pStyle w:val="52"/>
                    <w:spacing w:line="300" w:lineRule="exact"/>
                    <w:rPr>
                      <w:rFonts w:cs="宋体"/>
                    </w:rPr>
                  </w:pPr>
                  <w:r>
                    <w:rPr>
                      <w:rFonts w:hint="eastAsia" w:cs="宋体"/>
                    </w:rPr>
                    <w:t>0.75</w:t>
                  </w:r>
                </w:p>
              </w:tc>
              <w:tc>
                <w:tcPr>
                  <w:tcW w:w="515" w:type="pct"/>
                  <w:tcBorders>
                    <w:top w:val="single" w:color="auto" w:sz="4" w:space="0"/>
                    <w:left w:val="single" w:color="auto" w:sz="4" w:space="0"/>
                    <w:bottom w:val="single" w:color="auto" w:sz="4" w:space="0"/>
                    <w:right w:val="single" w:color="auto" w:sz="4" w:space="0"/>
                  </w:tcBorders>
                  <w:vAlign w:val="center"/>
                </w:tcPr>
                <w:p w14:paraId="6CE05748">
                  <w:pPr>
                    <w:pStyle w:val="52"/>
                    <w:spacing w:line="300" w:lineRule="exact"/>
                    <w:rPr>
                      <w:rFonts w:cs="宋体"/>
                    </w:rPr>
                  </w:pPr>
                  <w:r>
                    <w:rPr>
                      <w:rFonts w:hint="eastAsia" w:cs="宋体"/>
                    </w:rPr>
                    <w:t>0.75</w:t>
                  </w:r>
                </w:p>
              </w:tc>
              <w:tc>
                <w:tcPr>
                  <w:tcW w:w="601" w:type="pct"/>
                  <w:tcBorders>
                    <w:top w:val="single" w:color="auto" w:sz="4" w:space="0"/>
                    <w:left w:val="single" w:color="auto" w:sz="4" w:space="0"/>
                    <w:bottom w:val="single" w:color="auto" w:sz="4" w:space="0"/>
                    <w:right w:val="single" w:color="auto" w:sz="4" w:space="0"/>
                  </w:tcBorders>
                  <w:vAlign w:val="center"/>
                </w:tcPr>
                <w:p w14:paraId="7581674E">
                  <w:pPr>
                    <w:pStyle w:val="52"/>
                    <w:spacing w:line="300" w:lineRule="exact"/>
                    <w:rPr>
                      <w:rFonts w:cs="宋体"/>
                    </w:rPr>
                  </w:pPr>
                  <w:r>
                    <w:rPr>
                      <w:rFonts w:hint="eastAsia" w:cs="宋体"/>
                    </w:rPr>
                    <w:t>0</w:t>
                  </w:r>
                </w:p>
              </w:tc>
              <w:tc>
                <w:tcPr>
                  <w:tcW w:w="401" w:type="pct"/>
                  <w:tcBorders>
                    <w:top w:val="single" w:color="auto" w:sz="4" w:space="0"/>
                    <w:left w:val="single" w:color="auto" w:sz="4" w:space="0"/>
                    <w:bottom w:val="single" w:color="auto" w:sz="4" w:space="0"/>
                    <w:right w:val="single" w:color="auto" w:sz="4" w:space="0"/>
                  </w:tcBorders>
                  <w:vAlign w:val="center"/>
                </w:tcPr>
                <w:p w14:paraId="006508CF">
                  <w:pPr>
                    <w:pStyle w:val="52"/>
                    <w:spacing w:line="300" w:lineRule="exact"/>
                    <w:rPr>
                      <w:rFonts w:cs="宋体"/>
                    </w:rPr>
                  </w:pPr>
                </w:p>
              </w:tc>
            </w:tr>
            <w:tr w14:paraId="5B8C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65" w:type="pct"/>
                  <w:tcBorders>
                    <w:top w:val="single" w:color="auto" w:sz="4" w:space="0"/>
                    <w:left w:val="single" w:color="auto" w:sz="4" w:space="0"/>
                    <w:bottom w:val="single" w:color="auto" w:sz="4" w:space="0"/>
                    <w:right w:val="single" w:color="auto" w:sz="4" w:space="0"/>
                  </w:tcBorders>
                  <w:vAlign w:val="center"/>
                </w:tcPr>
                <w:p w14:paraId="57C1856E">
                  <w:pPr>
                    <w:pStyle w:val="52"/>
                    <w:spacing w:line="300" w:lineRule="exact"/>
                    <w:rPr>
                      <w:rFonts w:cs="宋体"/>
                    </w:rPr>
                  </w:pPr>
                  <w:r>
                    <w:rPr>
                      <w:rFonts w:hint="eastAsia" w:cs="宋体"/>
                    </w:rPr>
                    <w:t>生活用水</w:t>
                  </w:r>
                </w:p>
              </w:tc>
              <w:tc>
                <w:tcPr>
                  <w:tcW w:w="944" w:type="pct"/>
                  <w:tcBorders>
                    <w:top w:val="single" w:color="auto" w:sz="4" w:space="0"/>
                    <w:left w:val="single" w:color="auto" w:sz="4" w:space="0"/>
                    <w:bottom w:val="single" w:color="auto" w:sz="4" w:space="0"/>
                    <w:right w:val="single" w:color="auto" w:sz="4" w:space="0"/>
                  </w:tcBorders>
                  <w:vAlign w:val="center"/>
                </w:tcPr>
                <w:p w14:paraId="3628BAE2">
                  <w:pPr>
                    <w:pStyle w:val="52"/>
                    <w:spacing w:line="300" w:lineRule="exact"/>
                    <w:rPr>
                      <w:rFonts w:cs="宋体"/>
                    </w:rPr>
                  </w:pPr>
                  <w:r>
                    <w:rPr>
                      <w:rFonts w:hint="eastAsia" w:cs="宋体"/>
                    </w:rPr>
                    <w:t>80L/人·d</w:t>
                  </w:r>
                </w:p>
              </w:tc>
              <w:tc>
                <w:tcPr>
                  <w:tcW w:w="687" w:type="pct"/>
                  <w:tcBorders>
                    <w:top w:val="single" w:color="auto" w:sz="4" w:space="0"/>
                    <w:left w:val="single" w:color="auto" w:sz="4" w:space="0"/>
                    <w:bottom w:val="single" w:color="auto" w:sz="4" w:space="0"/>
                    <w:right w:val="single" w:color="auto" w:sz="4" w:space="0"/>
                  </w:tcBorders>
                  <w:vAlign w:val="center"/>
                </w:tcPr>
                <w:p w14:paraId="5396357C">
                  <w:pPr>
                    <w:pStyle w:val="52"/>
                    <w:spacing w:line="300" w:lineRule="exact"/>
                    <w:rPr>
                      <w:rFonts w:cs="宋体"/>
                    </w:rPr>
                  </w:pPr>
                  <w:r>
                    <w:rPr>
                      <w:rFonts w:hint="eastAsia" w:cs="宋体"/>
                    </w:rPr>
                    <w:t>5人</w:t>
                  </w:r>
                </w:p>
              </w:tc>
              <w:tc>
                <w:tcPr>
                  <w:tcW w:w="687" w:type="pct"/>
                  <w:tcBorders>
                    <w:top w:val="single" w:color="auto" w:sz="4" w:space="0"/>
                    <w:left w:val="single" w:color="auto" w:sz="4" w:space="0"/>
                    <w:bottom w:val="single" w:color="auto" w:sz="4" w:space="0"/>
                    <w:right w:val="single" w:color="auto" w:sz="4" w:space="0"/>
                  </w:tcBorders>
                  <w:vAlign w:val="center"/>
                </w:tcPr>
                <w:p w14:paraId="448EB787">
                  <w:pPr>
                    <w:pStyle w:val="52"/>
                    <w:spacing w:line="300" w:lineRule="exact"/>
                    <w:rPr>
                      <w:rFonts w:cs="宋体"/>
                    </w:rPr>
                  </w:pPr>
                  <w:r>
                    <w:rPr>
                      <w:rFonts w:hint="eastAsia" w:cs="宋体"/>
                    </w:rPr>
                    <w:t>0.4</w:t>
                  </w:r>
                </w:p>
              </w:tc>
              <w:tc>
                <w:tcPr>
                  <w:tcW w:w="515" w:type="pct"/>
                  <w:tcBorders>
                    <w:top w:val="single" w:color="auto" w:sz="4" w:space="0"/>
                    <w:left w:val="single" w:color="auto" w:sz="4" w:space="0"/>
                    <w:bottom w:val="single" w:color="auto" w:sz="4" w:space="0"/>
                    <w:right w:val="single" w:color="auto" w:sz="4" w:space="0"/>
                  </w:tcBorders>
                  <w:vAlign w:val="center"/>
                </w:tcPr>
                <w:p w14:paraId="32239BF2">
                  <w:pPr>
                    <w:pStyle w:val="52"/>
                    <w:spacing w:line="300" w:lineRule="exact"/>
                    <w:rPr>
                      <w:rFonts w:cs="宋体"/>
                    </w:rPr>
                  </w:pPr>
                  <w:r>
                    <w:rPr>
                      <w:rFonts w:hint="eastAsia" w:cs="宋体"/>
                    </w:rPr>
                    <w:t>0.08</w:t>
                  </w:r>
                </w:p>
              </w:tc>
              <w:tc>
                <w:tcPr>
                  <w:tcW w:w="601" w:type="pct"/>
                  <w:tcBorders>
                    <w:top w:val="single" w:color="auto" w:sz="4" w:space="0"/>
                    <w:left w:val="single" w:color="auto" w:sz="4" w:space="0"/>
                    <w:bottom w:val="single" w:color="auto" w:sz="4" w:space="0"/>
                    <w:right w:val="single" w:color="auto" w:sz="4" w:space="0"/>
                  </w:tcBorders>
                  <w:vAlign w:val="center"/>
                </w:tcPr>
                <w:p w14:paraId="1B226DF4">
                  <w:pPr>
                    <w:pStyle w:val="52"/>
                    <w:spacing w:line="300" w:lineRule="exact"/>
                    <w:rPr>
                      <w:rFonts w:cs="宋体"/>
                    </w:rPr>
                  </w:pPr>
                  <w:r>
                    <w:rPr>
                      <w:rFonts w:hint="eastAsia" w:cs="宋体"/>
                    </w:rPr>
                    <w:t>0.32</w:t>
                  </w:r>
                </w:p>
              </w:tc>
              <w:tc>
                <w:tcPr>
                  <w:tcW w:w="401" w:type="pct"/>
                  <w:tcBorders>
                    <w:top w:val="single" w:color="auto" w:sz="4" w:space="0"/>
                    <w:left w:val="single" w:color="auto" w:sz="4" w:space="0"/>
                    <w:bottom w:val="single" w:color="auto" w:sz="4" w:space="0"/>
                    <w:right w:val="single" w:color="auto" w:sz="4" w:space="0"/>
                  </w:tcBorders>
                  <w:vAlign w:val="center"/>
                </w:tcPr>
                <w:p w14:paraId="12E0F7B8">
                  <w:pPr>
                    <w:pStyle w:val="52"/>
                    <w:spacing w:line="300" w:lineRule="exact"/>
                    <w:rPr>
                      <w:rFonts w:cs="宋体"/>
                    </w:rPr>
                  </w:pPr>
                </w:p>
              </w:tc>
            </w:tr>
            <w:tr w14:paraId="5247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09" w:type="pct"/>
                  <w:gridSpan w:val="2"/>
                  <w:tcBorders>
                    <w:top w:val="single" w:color="auto" w:sz="4" w:space="0"/>
                    <w:left w:val="single" w:color="auto" w:sz="4" w:space="0"/>
                    <w:bottom w:val="single" w:color="auto" w:sz="4" w:space="0"/>
                    <w:right w:val="single" w:color="auto" w:sz="4" w:space="0"/>
                  </w:tcBorders>
                  <w:vAlign w:val="center"/>
                </w:tcPr>
                <w:p w14:paraId="26A8269E">
                  <w:pPr>
                    <w:pStyle w:val="52"/>
                    <w:spacing w:line="300" w:lineRule="exact"/>
                    <w:rPr>
                      <w:rFonts w:cs="宋体"/>
                    </w:rPr>
                  </w:pPr>
                  <w:r>
                    <w:rPr>
                      <w:rFonts w:hint="eastAsia" w:cs="宋体"/>
                    </w:rPr>
                    <w:t>合计</w:t>
                  </w:r>
                </w:p>
              </w:tc>
              <w:tc>
                <w:tcPr>
                  <w:tcW w:w="687" w:type="pct"/>
                  <w:tcBorders>
                    <w:top w:val="single" w:color="auto" w:sz="4" w:space="0"/>
                    <w:left w:val="single" w:color="auto" w:sz="4" w:space="0"/>
                    <w:bottom w:val="single" w:color="auto" w:sz="4" w:space="0"/>
                    <w:right w:val="single" w:color="auto" w:sz="4" w:space="0"/>
                  </w:tcBorders>
                  <w:vAlign w:val="center"/>
                </w:tcPr>
                <w:p w14:paraId="1BDE352C">
                  <w:pPr>
                    <w:pStyle w:val="52"/>
                    <w:spacing w:line="300" w:lineRule="exact"/>
                    <w:rPr>
                      <w:rFonts w:cs="宋体"/>
                    </w:rPr>
                  </w:pPr>
                </w:p>
              </w:tc>
              <w:tc>
                <w:tcPr>
                  <w:tcW w:w="687" w:type="pct"/>
                  <w:tcBorders>
                    <w:top w:val="single" w:color="auto" w:sz="4" w:space="0"/>
                    <w:left w:val="single" w:color="auto" w:sz="4" w:space="0"/>
                    <w:bottom w:val="single" w:color="auto" w:sz="4" w:space="0"/>
                    <w:right w:val="single" w:color="auto" w:sz="4" w:space="0"/>
                  </w:tcBorders>
                  <w:vAlign w:val="center"/>
                </w:tcPr>
                <w:p w14:paraId="36AA8E2F">
                  <w:pPr>
                    <w:pStyle w:val="52"/>
                    <w:spacing w:line="300" w:lineRule="exact"/>
                    <w:rPr>
                      <w:rFonts w:cs="宋体"/>
                    </w:rPr>
                  </w:pPr>
                  <w:r>
                    <w:rPr>
                      <w:rFonts w:hint="eastAsia" w:cs="宋体"/>
                    </w:rPr>
                    <w:t>3.82</w:t>
                  </w:r>
                </w:p>
              </w:tc>
              <w:tc>
                <w:tcPr>
                  <w:tcW w:w="515" w:type="pct"/>
                  <w:tcBorders>
                    <w:top w:val="single" w:color="auto" w:sz="4" w:space="0"/>
                    <w:left w:val="single" w:color="auto" w:sz="4" w:space="0"/>
                    <w:bottom w:val="single" w:color="auto" w:sz="4" w:space="0"/>
                    <w:right w:val="single" w:color="auto" w:sz="4" w:space="0"/>
                  </w:tcBorders>
                  <w:vAlign w:val="center"/>
                </w:tcPr>
                <w:p w14:paraId="481D7990">
                  <w:pPr>
                    <w:pStyle w:val="52"/>
                    <w:spacing w:line="300" w:lineRule="exact"/>
                    <w:rPr>
                      <w:rFonts w:cs="宋体"/>
                    </w:rPr>
                  </w:pPr>
                  <w:r>
                    <w:rPr>
                      <w:rFonts w:hint="eastAsia" w:cs="宋体"/>
                    </w:rPr>
                    <w:t>3.5</w:t>
                  </w:r>
                </w:p>
              </w:tc>
              <w:tc>
                <w:tcPr>
                  <w:tcW w:w="601" w:type="pct"/>
                  <w:tcBorders>
                    <w:top w:val="single" w:color="auto" w:sz="4" w:space="0"/>
                    <w:left w:val="single" w:color="auto" w:sz="4" w:space="0"/>
                    <w:bottom w:val="single" w:color="auto" w:sz="4" w:space="0"/>
                    <w:right w:val="single" w:color="auto" w:sz="4" w:space="0"/>
                  </w:tcBorders>
                  <w:vAlign w:val="center"/>
                </w:tcPr>
                <w:p w14:paraId="2DCD7702">
                  <w:pPr>
                    <w:pStyle w:val="52"/>
                    <w:spacing w:line="300" w:lineRule="exact"/>
                    <w:rPr>
                      <w:rFonts w:cs="宋体"/>
                    </w:rPr>
                  </w:pPr>
                  <w:r>
                    <w:rPr>
                      <w:rFonts w:hint="eastAsia" w:cs="宋体"/>
                    </w:rPr>
                    <w:t>0.32</w:t>
                  </w:r>
                </w:p>
              </w:tc>
              <w:tc>
                <w:tcPr>
                  <w:tcW w:w="401" w:type="pct"/>
                  <w:tcBorders>
                    <w:top w:val="single" w:color="auto" w:sz="4" w:space="0"/>
                    <w:left w:val="single" w:color="auto" w:sz="4" w:space="0"/>
                    <w:bottom w:val="single" w:color="auto" w:sz="4" w:space="0"/>
                    <w:right w:val="single" w:color="auto" w:sz="4" w:space="0"/>
                  </w:tcBorders>
                  <w:vAlign w:val="center"/>
                </w:tcPr>
                <w:p w14:paraId="3E5B5E92">
                  <w:pPr>
                    <w:pStyle w:val="52"/>
                    <w:spacing w:line="300" w:lineRule="exact"/>
                    <w:rPr>
                      <w:rFonts w:cs="宋体"/>
                    </w:rPr>
                  </w:pPr>
                </w:p>
              </w:tc>
            </w:tr>
            <w:tr w14:paraId="24C5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7"/>
                  <w:tcBorders>
                    <w:top w:val="single" w:color="auto" w:sz="4" w:space="0"/>
                    <w:left w:val="single" w:color="auto" w:sz="4" w:space="0"/>
                    <w:bottom w:val="single" w:color="auto" w:sz="4" w:space="0"/>
                    <w:right w:val="single" w:color="auto" w:sz="4" w:space="0"/>
                  </w:tcBorders>
                  <w:vAlign w:val="center"/>
                </w:tcPr>
                <w:p w14:paraId="27CAA919">
                  <w:pPr>
                    <w:pStyle w:val="52"/>
                    <w:spacing w:line="300" w:lineRule="exact"/>
                    <w:jc w:val="both"/>
                    <w:rPr>
                      <w:rFonts w:cs="宋体"/>
                    </w:rPr>
                  </w:pPr>
                  <w:r>
                    <w:rPr>
                      <w:rFonts w:hint="eastAsia" w:cs="宋体"/>
                    </w:rPr>
                    <w:t>注：车辆冲洗废水循环使用；</w:t>
                  </w:r>
                </w:p>
              </w:tc>
            </w:tr>
          </w:tbl>
          <w:p w14:paraId="56AEA651">
            <w:pPr>
              <w:jc w:val="center"/>
            </w:pPr>
            <w:r>
              <w:rPr>
                <w:rFonts w:hint="eastAsia"/>
              </w:rPr>
              <w:object>
                <v:shape id="_x0000_i1025" o:spt="75" type="#_x0000_t75" style="height:240.7pt;width:366.15pt;" o:ole="t" filled="f" o:preferrelative="t" stroked="f" coordsize="21600,21600">
                  <v:path/>
                  <v:fill on="f" focussize="0,0"/>
                  <v:stroke on="f" joinstyle="miter"/>
                  <v:imagedata r:id="rId12" o:title=""/>
                  <o:lock v:ext="edit" aspectratio="t"/>
                  <w10:wrap type="none"/>
                  <w10:anchorlock/>
                </v:shape>
                <o:OLEObject Type="Embed" ProgID="Visio.Drawing.15" ShapeID="_x0000_i1025" DrawAspect="Content" ObjectID="_1468075725" r:id="rId11">
                  <o:LockedField>false</o:LockedField>
                </o:OLEObject>
              </w:object>
            </w:r>
          </w:p>
          <w:p w14:paraId="052F4FFD">
            <w:pPr>
              <w:pStyle w:val="5"/>
              <w:spacing w:before="120" w:beforeLines="50" w:after="0" w:line="240" w:lineRule="auto"/>
              <w:ind w:left="420"/>
              <w:jc w:val="center"/>
              <w:rPr>
                <w:rFonts w:ascii="Times New Roman" w:hAnsi="Times New Roman" w:eastAsia="宋体"/>
                <w:b w:val="0"/>
                <w:bCs w:val="0"/>
                <w:sz w:val="24"/>
                <w:szCs w:val="24"/>
              </w:rPr>
            </w:pPr>
            <w:r>
              <w:rPr>
                <w:rFonts w:hint="eastAsia" w:ascii="Times New Roman" w:hAnsi="Times New Roman" w:eastAsia="宋体"/>
                <w:b w:val="0"/>
                <w:bCs w:val="0"/>
                <w:sz w:val="24"/>
                <w:szCs w:val="24"/>
              </w:rPr>
              <w:t>图2-1  项目运营期水平衡图（单位：m</w:t>
            </w:r>
            <w:r>
              <w:rPr>
                <w:rFonts w:hint="eastAsia" w:ascii="Times New Roman" w:hAnsi="Times New Roman" w:eastAsia="宋体"/>
                <w:b w:val="0"/>
                <w:bCs w:val="0"/>
                <w:sz w:val="24"/>
                <w:szCs w:val="24"/>
                <w:vertAlign w:val="superscript"/>
              </w:rPr>
              <w:t>3</w:t>
            </w:r>
            <w:r>
              <w:rPr>
                <w:rFonts w:hint="eastAsia" w:ascii="Times New Roman" w:hAnsi="Times New Roman" w:eastAsia="宋体"/>
                <w:b w:val="0"/>
                <w:bCs w:val="0"/>
                <w:sz w:val="24"/>
                <w:szCs w:val="24"/>
              </w:rPr>
              <w:t>/d）</w:t>
            </w:r>
          </w:p>
          <w:p w14:paraId="031C593B">
            <w:pPr>
              <w:pStyle w:val="77"/>
              <w:spacing w:line="440" w:lineRule="exact"/>
              <w:rPr>
                <w:rFonts w:hint="eastAsia"/>
                <w:sz w:val="24"/>
                <w:szCs w:val="24"/>
              </w:rPr>
            </w:pPr>
            <w:r>
              <w:rPr>
                <w:rFonts w:hint="eastAsia"/>
                <w:sz w:val="24"/>
                <w:szCs w:val="24"/>
              </w:rPr>
              <w:t>2.供热</w:t>
            </w:r>
          </w:p>
          <w:p w14:paraId="7197E860">
            <w:pPr>
              <w:pStyle w:val="72"/>
              <w:spacing w:line="440" w:lineRule="exact"/>
              <w:ind w:firstLine="480"/>
              <w:rPr>
                <w:sz w:val="24"/>
                <w:szCs w:val="22"/>
              </w:rPr>
            </w:pPr>
            <w:r>
              <w:rPr>
                <w:rFonts w:hint="eastAsia"/>
                <w:sz w:val="24"/>
                <w:szCs w:val="22"/>
              </w:rPr>
              <w:t>本项目生产车间不采暖，人员采用电采暖设备供热。</w:t>
            </w:r>
          </w:p>
          <w:p w14:paraId="6BBA90B4">
            <w:pPr>
              <w:pStyle w:val="77"/>
              <w:spacing w:line="440" w:lineRule="exact"/>
              <w:rPr>
                <w:rFonts w:hint="eastAsia"/>
                <w:sz w:val="24"/>
                <w:szCs w:val="24"/>
              </w:rPr>
            </w:pPr>
            <w:r>
              <w:rPr>
                <w:rFonts w:hint="eastAsia"/>
                <w:sz w:val="24"/>
                <w:szCs w:val="24"/>
              </w:rPr>
              <w:t>3.供电</w:t>
            </w:r>
          </w:p>
          <w:p w14:paraId="6F4E3476">
            <w:pPr>
              <w:pStyle w:val="72"/>
              <w:spacing w:line="440" w:lineRule="exact"/>
              <w:ind w:firstLine="480"/>
              <w:rPr>
                <w:sz w:val="24"/>
                <w:szCs w:val="22"/>
              </w:rPr>
            </w:pPr>
            <w:r>
              <w:rPr>
                <w:sz w:val="24"/>
                <w:szCs w:val="32"/>
              </w:rPr>
              <w:t>本项目用电</w:t>
            </w:r>
            <w:r>
              <w:rPr>
                <w:rFonts w:hint="eastAsia"/>
                <w:sz w:val="24"/>
                <w:szCs w:val="32"/>
              </w:rPr>
              <w:t>接自</w:t>
            </w:r>
            <w:r>
              <w:rPr>
                <w:rFonts w:hint="eastAsia"/>
                <w:sz w:val="24"/>
                <w:szCs w:val="32"/>
                <w:lang w:val="en-US"/>
              </w:rPr>
              <w:t>当地电网</w:t>
            </w:r>
            <w:r>
              <w:rPr>
                <w:rFonts w:hint="eastAsia"/>
                <w:sz w:val="24"/>
                <w:szCs w:val="22"/>
              </w:rPr>
              <w:t>，厂区内设80kVA变压器一台，能够满足本项目用电需求。</w:t>
            </w:r>
          </w:p>
          <w:p w14:paraId="263F8270">
            <w:pPr>
              <w:pStyle w:val="91"/>
              <w:spacing w:before="0" w:after="0" w:line="440" w:lineRule="exact"/>
            </w:pPr>
            <w:r>
              <w:rPr>
                <w:rFonts w:hint="eastAsia"/>
              </w:rPr>
              <w:t>六、劳动定员及工作制度</w:t>
            </w:r>
          </w:p>
          <w:p w14:paraId="6D7BC7FE">
            <w:pPr>
              <w:pStyle w:val="72"/>
              <w:spacing w:line="440" w:lineRule="exact"/>
              <w:ind w:firstLine="480"/>
              <w:rPr>
                <w:sz w:val="24"/>
                <w:szCs w:val="22"/>
              </w:rPr>
            </w:pPr>
            <w:bookmarkStart w:id="43" w:name="_Hlk112332584"/>
            <w:r>
              <w:rPr>
                <w:rFonts w:hint="eastAsia"/>
                <w:sz w:val="24"/>
                <w:szCs w:val="22"/>
              </w:rPr>
              <w:t>项目工作制度为8h/d，工作天数为300d，年工作2400h。劳动定员为5人。</w:t>
            </w:r>
          </w:p>
          <w:bookmarkEnd w:id="43"/>
          <w:p w14:paraId="40B45C26">
            <w:pPr>
              <w:pStyle w:val="91"/>
              <w:spacing w:before="0" w:after="0" w:line="440" w:lineRule="exact"/>
            </w:pPr>
            <w:r>
              <w:rPr>
                <w:rFonts w:hint="eastAsia"/>
              </w:rPr>
              <w:t>七、总图布置</w:t>
            </w:r>
          </w:p>
          <w:p w14:paraId="624007D4">
            <w:pPr>
              <w:pStyle w:val="72"/>
              <w:spacing w:line="400" w:lineRule="exact"/>
              <w:ind w:firstLine="480"/>
              <w:rPr>
                <w:sz w:val="24"/>
                <w:szCs w:val="22"/>
              </w:rPr>
            </w:pPr>
            <w:r>
              <w:rPr>
                <w:sz w:val="24"/>
                <w:szCs w:val="22"/>
              </w:rPr>
              <w:t>本项目建设地点位于</w:t>
            </w:r>
            <w:r>
              <w:rPr>
                <w:rFonts w:hint="eastAsia"/>
                <w:sz w:val="24"/>
                <w:szCs w:val="22"/>
              </w:rPr>
              <w:t>山西省阳泉市盂县东城武村北</w:t>
            </w:r>
            <w:r>
              <w:rPr>
                <w:sz w:val="24"/>
                <w:szCs w:val="22"/>
              </w:rPr>
              <w:t>。项目</w:t>
            </w:r>
            <w:r>
              <w:rPr>
                <w:rFonts w:hint="eastAsia"/>
                <w:sz w:val="24"/>
                <w:szCs w:val="22"/>
              </w:rPr>
              <w:t>北侧为氧气厂，南侧为</w:t>
            </w:r>
            <w:bookmarkStart w:id="44" w:name="OLE_LINK73"/>
            <w:r>
              <w:rPr>
                <w:rFonts w:hint="eastAsia"/>
                <w:sz w:val="24"/>
                <w:szCs w:val="22"/>
              </w:rPr>
              <w:t>鑫海通石料</w:t>
            </w:r>
            <w:bookmarkEnd w:id="44"/>
            <w:r>
              <w:rPr>
                <w:rFonts w:hint="eastAsia"/>
                <w:sz w:val="24"/>
                <w:szCs w:val="22"/>
              </w:rPr>
              <w:t>加工厂，东侧为养殖场，西侧为荒地</w:t>
            </w:r>
            <w:r>
              <w:rPr>
                <w:sz w:val="24"/>
                <w:szCs w:val="22"/>
              </w:rPr>
              <w:t>。</w:t>
            </w:r>
            <w:r>
              <w:rPr>
                <w:rFonts w:hint="eastAsia"/>
                <w:sz w:val="24"/>
                <w:szCs w:val="22"/>
              </w:rPr>
              <w:t>场内道路0.1km，经乡村道路接入杨白线，</w:t>
            </w:r>
            <w:r>
              <w:rPr>
                <w:sz w:val="24"/>
                <w:szCs w:val="22"/>
              </w:rPr>
              <w:t>交通较为便利。</w:t>
            </w:r>
            <w:r>
              <w:rPr>
                <w:rFonts w:hint="eastAsia"/>
                <w:sz w:val="24"/>
                <w:szCs w:val="22"/>
              </w:rPr>
              <w:t>本项目四邻关系图</w:t>
            </w:r>
            <w:r>
              <w:rPr>
                <w:sz w:val="24"/>
                <w:szCs w:val="22"/>
              </w:rPr>
              <w:t>见附图</w:t>
            </w:r>
            <w:r>
              <w:rPr>
                <w:rFonts w:hint="eastAsia"/>
                <w:sz w:val="24"/>
                <w:szCs w:val="22"/>
              </w:rPr>
              <w:t>2</w:t>
            </w:r>
            <w:r>
              <w:rPr>
                <w:sz w:val="24"/>
                <w:szCs w:val="22"/>
              </w:rPr>
              <w:t>。</w:t>
            </w:r>
          </w:p>
          <w:p w14:paraId="4D792AAE">
            <w:pPr>
              <w:pStyle w:val="72"/>
              <w:spacing w:line="400" w:lineRule="exact"/>
              <w:ind w:firstLine="480"/>
              <w:rPr>
                <w:sz w:val="24"/>
                <w:szCs w:val="22"/>
              </w:rPr>
            </w:pPr>
            <w:r>
              <w:rPr>
                <w:rFonts w:hint="eastAsia"/>
                <w:sz w:val="24"/>
                <w:szCs w:val="22"/>
              </w:rPr>
              <w:t>办公区位于场地东侧，生产车间一位于场地西北角，生产车间二位于一车间东侧，洗车平台设置于出口西侧。场地道路沿主生产区环形布置。</w:t>
            </w:r>
          </w:p>
          <w:p w14:paraId="3C6726CF">
            <w:pPr>
              <w:pStyle w:val="72"/>
              <w:spacing w:line="400" w:lineRule="exact"/>
              <w:ind w:firstLine="480"/>
              <w:rPr>
                <w:sz w:val="24"/>
                <w:szCs w:val="22"/>
              </w:rPr>
            </w:pPr>
            <w:r>
              <w:rPr>
                <w:rFonts w:hint="eastAsia"/>
                <w:sz w:val="24"/>
                <w:szCs w:val="22"/>
              </w:rPr>
              <w:t>本</w:t>
            </w:r>
            <w:r>
              <w:rPr>
                <w:sz w:val="24"/>
                <w:szCs w:val="22"/>
              </w:rPr>
              <w:t>项目</w:t>
            </w:r>
            <w:r>
              <w:rPr>
                <w:rFonts w:hint="eastAsia"/>
                <w:sz w:val="24"/>
                <w:szCs w:val="22"/>
              </w:rPr>
              <w:t>厂区</w:t>
            </w:r>
            <w:r>
              <w:rPr>
                <w:sz w:val="24"/>
                <w:szCs w:val="22"/>
              </w:rPr>
              <w:t>平面布置图见附图</w:t>
            </w:r>
            <w:r>
              <w:rPr>
                <w:rFonts w:hint="eastAsia"/>
                <w:sz w:val="24"/>
                <w:szCs w:val="22"/>
              </w:rPr>
              <w:t>6，生产线平面布置图见附图7</w:t>
            </w:r>
            <w:r>
              <w:rPr>
                <w:sz w:val="24"/>
                <w:szCs w:val="22"/>
              </w:rPr>
              <w:t>。</w:t>
            </w:r>
          </w:p>
        </w:tc>
      </w:tr>
      <w:tr w14:paraId="466F54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20" w:hRule="atLeast"/>
          <w:jc w:val="center"/>
        </w:trPr>
        <w:tc>
          <w:tcPr>
            <w:tcW w:w="213" w:type="pct"/>
            <w:vAlign w:val="center"/>
          </w:tcPr>
          <w:p w14:paraId="6A06971B">
            <w:pPr>
              <w:pStyle w:val="15"/>
              <w:adjustRightInd w:val="0"/>
              <w:snapToGrid w:val="0"/>
              <w:spacing w:before="0" w:beforeAutospacing="0" w:after="0" w:afterAutospacing="0"/>
              <w:jc w:val="center"/>
              <w:rPr>
                <w:rFonts w:ascii="Times New Roman" w:hAnsi="Times New Roman" w:cs="宋体"/>
                <w:sz w:val="21"/>
                <w:szCs w:val="21"/>
              </w:rPr>
            </w:pPr>
            <w:r>
              <w:rPr>
                <w:rFonts w:hint="eastAsia" w:ascii="Times New Roman" w:hAnsi="Times New Roman" w:cs="宋体"/>
                <w:sz w:val="21"/>
                <w:szCs w:val="21"/>
              </w:rPr>
              <w:t>工艺流程和产排污环节</w:t>
            </w:r>
          </w:p>
        </w:tc>
        <w:tc>
          <w:tcPr>
            <w:tcW w:w="4787" w:type="pct"/>
          </w:tcPr>
          <w:p w14:paraId="19DFD88D">
            <w:pPr>
              <w:pStyle w:val="72"/>
              <w:spacing w:line="420" w:lineRule="exact"/>
              <w:ind w:firstLine="480"/>
              <w:rPr>
                <w:sz w:val="24"/>
                <w:szCs w:val="24"/>
              </w:rPr>
            </w:pPr>
            <w:bookmarkStart w:id="45" w:name="_Hlk76029892"/>
            <w:bookmarkStart w:id="46" w:name="_Hlk215569102"/>
            <w:r>
              <w:rPr>
                <w:rFonts w:hint="eastAsia"/>
                <w:sz w:val="24"/>
                <w:szCs w:val="24"/>
              </w:rPr>
              <w:t>本项目生产线工艺流程图及</w:t>
            </w:r>
            <w:r>
              <w:rPr>
                <w:rFonts w:hint="eastAsia"/>
                <w:sz w:val="24"/>
                <w:szCs w:val="22"/>
              </w:rPr>
              <w:t>工艺流程简述</w:t>
            </w:r>
            <w:r>
              <w:rPr>
                <w:rFonts w:hint="eastAsia"/>
                <w:sz w:val="24"/>
                <w:szCs w:val="24"/>
              </w:rPr>
              <w:t>如下：</w:t>
            </w:r>
          </w:p>
          <w:p w14:paraId="3B8368B9">
            <w:pPr>
              <w:pStyle w:val="72"/>
              <w:spacing w:line="400" w:lineRule="exact"/>
              <w:ind w:firstLine="480"/>
              <w:rPr>
                <w:sz w:val="24"/>
                <w:szCs w:val="22"/>
              </w:rPr>
            </w:pPr>
            <w:r>
              <w:rPr>
                <w:rFonts w:hint="eastAsia"/>
                <w:sz w:val="24"/>
                <w:szCs w:val="22"/>
              </w:rPr>
              <w:t>项目生产所需全部原材料均外购进厂，主要包括机制砂、水泥、矿渣粉、粉煤灰及各类功能性外加剂。所有原料进厂前均进行质量验收，核对产品合格证及检测报告，质检部门现场抽样复检，指标合格后方可入库使用，不合格原料一律退回。机制砂采用密闭自卸车辆运输，卸料于封闭车间原料堆存区；外购水泥、粉煤灰（矿渣粉）在全封闭筒仓内储存，定期由专用吸排罐车上料。袋装外加剂等辅料入库后，采取干燥、通风、防潮措施，分区分类规整存放，杜绝受潮变质，从源头保障原料品质与厂区环境整洁。</w:t>
            </w:r>
          </w:p>
          <w:p w14:paraId="3B555055">
            <w:pPr>
              <w:pStyle w:val="72"/>
              <w:spacing w:line="400" w:lineRule="exact"/>
              <w:ind w:firstLine="480"/>
              <w:rPr>
                <w:sz w:val="24"/>
                <w:szCs w:val="22"/>
              </w:rPr>
            </w:pPr>
            <w:r>
              <w:rPr>
                <w:rFonts w:hint="eastAsia"/>
                <w:sz w:val="24"/>
                <w:szCs w:val="22"/>
              </w:rPr>
              <w:t>生产线采用全密闭负压输送上料系统，全程无露天作业、无粉尘外溢。原料堆存区配置有覆盖全场的喷雾抑尘设施，装卸过程设置雾炮降尘；</w:t>
            </w:r>
            <w:r>
              <w:rPr>
                <w:rFonts w:hint="eastAsia"/>
                <w:sz w:val="24"/>
                <w:szCs w:val="22"/>
                <w:lang w:val="en-US"/>
              </w:rPr>
              <w:t>机制砂上料</w:t>
            </w:r>
            <w:r>
              <w:rPr>
                <w:rFonts w:hint="eastAsia"/>
                <w:sz w:val="24"/>
                <w:szCs w:val="22"/>
              </w:rPr>
              <w:t>设2座上料斗，位于全封闭生产二车间内，采用装载机投料，上料口设集气罩，三面封闭，上料侧上软帘；</w:t>
            </w:r>
            <w:r>
              <w:rPr>
                <w:rFonts w:hint="eastAsia"/>
                <w:sz w:val="24"/>
                <w:szCs w:val="22"/>
                <w:lang w:val="en-US"/>
              </w:rPr>
              <w:t>机制砂</w:t>
            </w:r>
            <w:r>
              <w:rPr>
                <w:rFonts w:hint="eastAsia"/>
                <w:sz w:val="24"/>
                <w:szCs w:val="22"/>
              </w:rPr>
              <w:t>经上料斗通过全封闭皮带输送至斗式提升机，前置格栅拦截大块杂质，上料仓落料点、输送皮带、提升机全封闭；水泥及粉煤灰（矿渣粉）筒仓底部分别由螺旋输送器连接至配料秤斗，各原料经配料秤斗分别计量后，通过螺旋输送器转运至斗式提升机，进入配料缓存仓，由主进料口卸入双轴混合机。少量添加剂经自吸式自动进料装置进入双轴混合机。所有料仓配备料位监测、破拱防堵装置，保障连续稳定供料。</w:t>
            </w:r>
          </w:p>
          <w:p w14:paraId="52F79F86">
            <w:pPr>
              <w:pStyle w:val="72"/>
              <w:spacing w:line="400" w:lineRule="exact"/>
              <w:ind w:firstLine="480"/>
              <w:rPr>
                <w:sz w:val="24"/>
                <w:szCs w:val="22"/>
              </w:rPr>
            </w:pPr>
            <w:r>
              <w:rPr>
                <w:rFonts w:hint="eastAsia"/>
                <w:sz w:val="24"/>
                <w:szCs w:val="22"/>
              </w:rPr>
              <w:t>项目配置双轴无重力密闭混合机，整套搅拌系统完全封闭，配套负压除尘设施，搅拌全过程无粉尘外泄、无物料洒落。各类粗细物料、功能性辅料进入主机后，通过双轴反向搅拌、多角度叶片打散交融，充分混合均质，物料混合均匀度高，有效保障干粉砂浆强度和易性、防水性等各项性能指标达标。</w:t>
            </w:r>
          </w:p>
          <w:p w14:paraId="00AFBEEF">
            <w:pPr>
              <w:pStyle w:val="72"/>
              <w:spacing w:line="400" w:lineRule="exact"/>
              <w:ind w:firstLine="480"/>
              <w:rPr>
                <w:sz w:val="24"/>
                <w:szCs w:val="22"/>
              </w:rPr>
            </w:pPr>
            <w:r>
              <w:rPr>
                <w:rFonts w:hint="eastAsia"/>
                <w:sz w:val="24"/>
                <w:szCs w:val="22"/>
              </w:rPr>
              <w:t>搅拌完成后，成品砂浆通过密闭卸料闸阀落入混合机正下方1座成品缓存仓中，设备自带自清料功能，可快速切换生产品类，杜绝物料交叉污染。</w:t>
            </w:r>
          </w:p>
          <w:bookmarkEnd w:id="45"/>
          <w:bookmarkEnd w:id="46"/>
          <w:p w14:paraId="713C95D6">
            <w:pPr>
              <w:pStyle w:val="72"/>
              <w:spacing w:line="400" w:lineRule="exact"/>
              <w:ind w:firstLine="480"/>
              <w:rPr>
                <w:sz w:val="24"/>
                <w:szCs w:val="22"/>
              </w:rPr>
            </w:pPr>
            <w:r>
              <w:rPr>
                <w:rFonts w:hint="eastAsia"/>
                <w:sz w:val="24"/>
                <w:szCs w:val="22"/>
              </w:rPr>
              <w:t>成品砂浆由成品缓存仓底部密闭螺旋输送至全自动阀口包装机，成品缓存仓配套1套包装设备，共2个全自动包装阀口，实现自动化套袋、定量灌装、自动封口、输送出料一体化作业。设备实时动态校正袋重，自动识别并剔除超重、缺重不合格产品，常规包装规格为20kg、25kg/袋。包装工位全程封闭，配套侧吸除尘装置，彻底消除灌装作业扬尘。</w:t>
            </w:r>
          </w:p>
          <w:p w14:paraId="3C4D29BB">
            <w:pPr>
              <w:pStyle w:val="72"/>
              <w:spacing w:line="400" w:lineRule="exact"/>
              <w:ind w:firstLine="480"/>
              <w:rPr>
                <w:sz w:val="24"/>
                <w:szCs w:val="22"/>
              </w:rPr>
            </w:pPr>
            <w:r>
              <w:rPr>
                <w:rFonts w:hint="eastAsia"/>
                <w:sz w:val="24"/>
                <w:szCs w:val="22"/>
              </w:rPr>
              <w:t>灌装完成的成品包装袋通过输送线规整分流、整平定型后，输送至全自动码垛工位。采用工业机械臂机器人搭配自动托盘供给、自动缠膜设备，完成成品袋自动抓取、分层交错码放、整垛缠绕覆膜防护全流程自动化作业。码垛成型规整、稳定性强，覆膜处理可有效防止成品转运、堆放过程受潮、散包、破损，全程无需人工搬运，大幅降低人工成本，提升仓储转运效率。</w:t>
            </w:r>
          </w:p>
          <w:p w14:paraId="7746BB07">
            <w:pPr>
              <w:pStyle w:val="72"/>
              <w:spacing w:line="240" w:lineRule="auto"/>
              <w:ind w:firstLine="0" w:firstLineChars="0"/>
              <w:jc w:val="center"/>
            </w:pPr>
            <w:bookmarkStart w:id="47" w:name="OLE_LINK4"/>
            <w:bookmarkStart w:id="48" w:name="_Hlk218438920"/>
            <w:r>
              <w:rPr>
                <w:rFonts w:hint="eastAsia"/>
              </w:rPr>
              <w:object>
                <v:shape id="_x0000_i1026" o:spt="75" type="#_x0000_t75" style="height:414.5pt;width:332.25pt;" o:ole="t" filled="f" o:preferrelative="t" stroked="f" coordsize="21600,21600">
                  <v:path/>
                  <v:fill on="f" focussize="0,0"/>
                  <v:stroke on="f" joinstyle="miter"/>
                  <v:imagedata r:id="rId14" o:title=""/>
                  <o:lock v:ext="edit" aspectratio="t"/>
                  <w10:wrap type="none"/>
                  <w10:anchorlock/>
                </v:shape>
                <o:OLEObject Type="Embed" ProgID="Visio.Drawing.15" ShapeID="_x0000_i1026" DrawAspect="Content" ObjectID="_1468075726" r:id="rId13">
                  <o:LockedField>false</o:LockedField>
                </o:OLEObject>
              </w:object>
            </w:r>
            <w:bookmarkEnd w:id="47"/>
          </w:p>
          <w:p w14:paraId="6F820269">
            <w:pPr>
              <w:pStyle w:val="5"/>
              <w:spacing w:before="0" w:after="0" w:line="240" w:lineRule="auto"/>
              <w:jc w:val="center"/>
              <w:rPr>
                <w:rFonts w:ascii="Times New Roman" w:hAnsi="Times New Roman" w:eastAsia="宋体"/>
                <w:b w:val="0"/>
                <w:bCs w:val="0"/>
                <w:sz w:val="24"/>
                <w:szCs w:val="32"/>
              </w:rPr>
            </w:pPr>
            <w:r>
              <w:rPr>
                <w:rFonts w:hint="eastAsia" w:ascii="Times New Roman" w:hAnsi="Times New Roman" w:eastAsia="宋体"/>
                <w:b w:val="0"/>
                <w:bCs w:val="0"/>
                <w:sz w:val="24"/>
                <w:szCs w:val="32"/>
              </w:rPr>
              <w:t>图2-2   本项目工艺流程及产排污环节图</w:t>
            </w:r>
          </w:p>
          <w:bookmarkEnd w:id="48"/>
          <w:p w14:paraId="69A3748C">
            <w:pPr>
              <w:pStyle w:val="72"/>
              <w:spacing w:line="400" w:lineRule="exact"/>
              <w:ind w:firstLine="480"/>
              <w:rPr>
                <w:sz w:val="24"/>
                <w:szCs w:val="22"/>
              </w:rPr>
            </w:pPr>
            <w:r>
              <w:rPr>
                <w:rFonts w:hint="eastAsia"/>
                <w:sz w:val="24"/>
                <w:szCs w:val="22"/>
              </w:rPr>
              <w:t>码垛完成的成品料垛由叉车转运至密闭成品存放区分区存放。成品区具备防雨、防潮、通风、防尘条件，地面硬化垫高处理，严格分区分类堆放，按照产品品类、生产批次、生产日期划分专属堆放区域，张贴清晰标识，执行“先进先出”仓储管理原则。车间预留充足转运通道，物料堆放规整有序，专人定期巡检，及时处理破损、受潮成品，保障库存产品质量稳定。</w:t>
            </w:r>
          </w:p>
          <w:p w14:paraId="3EBB092F">
            <w:pPr>
              <w:pStyle w:val="72"/>
              <w:spacing w:line="420" w:lineRule="exact"/>
              <w:ind w:firstLine="480"/>
              <w:rPr>
                <w:color w:val="EE0000"/>
                <w:sz w:val="24"/>
                <w:szCs w:val="22"/>
                <w:lang w:val="en-US"/>
              </w:rPr>
            </w:pPr>
            <w:r>
              <w:rPr>
                <w:rFonts w:hint="eastAsia"/>
                <w:sz w:val="24"/>
                <w:szCs w:val="22"/>
                <w:lang w:val="en-US"/>
              </w:rPr>
              <w:t>成品外运前，核对订单信息、产品批次、质检报告及出库台账，信息核对无误后方可装车发货。成品装车过程规范有序，运输车辆做好防雨、防漏防护措施，散装车辆密闭封口，袋装成品加盖防雨篷布。厂区配套车辆冲洗设施，出厂车辆彻底清洁，杜绝带泥上路、扬尘污染。所有出厂产品均可通过生产批次追溯全流程生产数据，实现原料、生产、仓储、外运全链条质量管控。</w:t>
            </w:r>
          </w:p>
          <w:p w14:paraId="285C2040">
            <w:pPr>
              <w:pStyle w:val="72"/>
              <w:spacing w:line="420" w:lineRule="exact"/>
              <w:ind w:firstLine="480"/>
              <w:rPr>
                <w:sz w:val="24"/>
                <w:szCs w:val="22"/>
                <w:lang w:val="en-US"/>
              </w:rPr>
            </w:pPr>
            <w:r>
              <w:rPr>
                <w:rFonts w:hint="eastAsia"/>
                <w:sz w:val="24"/>
                <w:szCs w:val="22"/>
                <w:lang w:val="en-US"/>
              </w:rPr>
              <w:t>本项目机制砂在全封闭车间内暂存，并配套喷雾抑尘设施。运输皮带、斗提机全封闭，其落料口与后续生产设备进料口之间均采用硬封闭连接，粉状物料采用螺旋输送机转运，各原料筒仓、配料秤斗及原料斗提机进口之间均采用硬封闭连接。同时，在上料斗上方、皮带转载点、包装机出料口、配料缓存仓、混合机均设置集尘点并配套布袋除尘器，除尘灰收集后作为原料回用于生产。外购水泥、粉煤灰、矿渣粉储存于全密闭筒仓内，定期由专用吸排罐车上料，仓顶配套除尘器。</w:t>
            </w:r>
          </w:p>
          <w:p w14:paraId="714DF85C">
            <w:pPr>
              <w:pStyle w:val="72"/>
              <w:spacing w:line="420" w:lineRule="exact"/>
              <w:ind w:firstLine="480"/>
              <w:rPr>
                <w:sz w:val="24"/>
                <w:szCs w:val="22"/>
                <w:lang w:val="en-US"/>
              </w:rPr>
            </w:pPr>
            <w:r>
              <w:rPr>
                <w:sz w:val="24"/>
                <w:szCs w:val="22"/>
                <w:lang w:val="en-US"/>
              </w:rPr>
              <w:t>除尘灰全程干法密闭抑尘：</w:t>
            </w:r>
            <w:r>
              <w:rPr>
                <w:rFonts w:hint="eastAsia"/>
                <w:sz w:val="24"/>
                <w:szCs w:val="22"/>
                <w:lang w:val="en-US"/>
              </w:rPr>
              <w:t>本项目产生的除尘灰经除尘器灰斗底部星型锁气卸灰阀密闭卸料，通过密闭螺旋输送机直接送入双轴混合机回用于生产，实现粉尘闭环利用；除尘灰回料比例控制在产品配方允许范围内，避免细粉累积影响产品质量；除尘器配套防静电、泄爆装置，满足粉尘防爆要求</w:t>
            </w:r>
            <w:r>
              <w:rPr>
                <w:sz w:val="24"/>
                <w:szCs w:val="22"/>
                <w:lang w:val="en-US"/>
              </w:rPr>
              <w:t>。</w:t>
            </w:r>
          </w:p>
          <w:p w14:paraId="573DDBB4">
            <w:pPr>
              <w:pStyle w:val="72"/>
              <w:spacing w:line="420" w:lineRule="exact"/>
              <w:ind w:firstLine="480"/>
              <w:rPr>
                <w:sz w:val="24"/>
                <w:szCs w:val="22"/>
              </w:rPr>
            </w:pPr>
            <w:r>
              <w:rPr>
                <w:rFonts w:hint="eastAsia"/>
                <w:sz w:val="24"/>
                <w:szCs w:val="22"/>
              </w:rPr>
              <w:t>综合生产工艺流程及产排污分析，本</w:t>
            </w:r>
            <w:r>
              <w:rPr>
                <w:sz w:val="24"/>
                <w:szCs w:val="22"/>
              </w:rPr>
              <w:t>项目生产过程主要产污环节</w:t>
            </w:r>
            <w:r>
              <w:rPr>
                <w:rFonts w:hint="eastAsia"/>
                <w:sz w:val="24"/>
                <w:szCs w:val="22"/>
              </w:rPr>
              <w:t>见下表。</w:t>
            </w:r>
          </w:p>
          <w:p w14:paraId="7B227303">
            <w:pPr>
              <w:pStyle w:val="45"/>
              <w:spacing w:line="420" w:lineRule="exact"/>
              <w:rPr>
                <w:rFonts w:ascii="Times New Roman" w:hAnsi="Times New Roman"/>
                <w:sz w:val="24"/>
                <w:szCs w:val="24"/>
              </w:rPr>
            </w:pPr>
            <w:r>
              <w:rPr>
                <w:rFonts w:hint="eastAsia" w:ascii="Times New Roman" w:hAnsi="Times New Roman"/>
                <w:sz w:val="24"/>
                <w:szCs w:val="24"/>
              </w:rPr>
              <w:t>表2-7   项目生产过程主要产污环节表</w:t>
            </w:r>
          </w:p>
          <w:tbl>
            <w:tblPr>
              <w:tblStyle w:val="2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15"/>
              <w:gridCol w:w="567"/>
              <w:gridCol w:w="3261"/>
              <w:gridCol w:w="1701"/>
              <w:gridCol w:w="2220"/>
            </w:tblGrid>
            <w:tr w14:paraId="715BB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Align w:val="center"/>
                </w:tcPr>
                <w:p w14:paraId="73A32622">
                  <w:pPr>
                    <w:pStyle w:val="52"/>
                    <w:spacing w:line="300" w:lineRule="exact"/>
                  </w:pPr>
                  <w:bookmarkStart w:id="49" w:name="OLE_LINK71"/>
                  <w:r>
                    <w:rPr>
                      <w:rFonts w:hint="eastAsia"/>
                    </w:rPr>
                    <w:t>类别</w:t>
                  </w:r>
                </w:p>
              </w:tc>
              <w:tc>
                <w:tcPr>
                  <w:tcW w:w="343" w:type="pct"/>
                  <w:vAlign w:val="center"/>
                </w:tcPr>
                <w:p w14:paraId="54FAE3DB">
                  <w:pPr>
                    <w:pStyle w:val="52"/>
                    <w:spacing w:line="300" w:lineRule="exact"/>
                  </w:pPr>
                  <w:r>
                    <w:rPr>
                      <w:rFonts w:hint="eastAsia"/>
                    </w:rPr>
                    <w:t>编号</w:t>
                  </w:r>
                </w:p>
              </w:tc>
              <w:tc>
                <w:tcPr>
                  <w:tcW w:w="1973" w:type="pct"/>
                  <w:vAlign w:val="center"/>
                </w:tcPr>
                <w:p w14:paraId="38042BFD">
                  <w:pPr>
                    <w:pStyle w:val="52"/>
                    <w:spacing w:line="300" w:lineRule="exact"/>
                  </w:pPr>
                  <w:r>
                    <w:t>产污环节</w:t>
                  </w:r>
                </w:p>
              </w:tc>
              <w:tc>
                <w:tcPr>
                  <w:tcW w:w="1029" w:type="pct"/>
                  <w:vAlign w:val="center"/>
                </w:tcPr>
                <w:p w14:paraId="1318642D">
                  <w:pPr>
                    <w:pStyle w:val="52"/>
                    <w:spacing w:line="300" w:lineRule="exact"/>
                  </w:pPr>
                  <w:r>
                    <w:t>主要污染物</w:t>
                  </w:r>
                </w:p>
              </w:tc>
              <w:tc>
                <w:tcPr>
                  <w:tcW w:w="1343" w:type="pct"/>
                  <w:vAlign w:val="center"/>
                </w:tcPr>
                <w:p w14:paraId="29C7CEF7">
                  <w:pPr>
                    <w:pStyle w:val="52"/>
                    <w:spacing w:line="300" w:lineRule="exact"/>
                  </w:pPr>
                  <w:r>
                    <w:rPr>
                      <w:rFonts w:hint="eastAsia"/>
                    </w:rPr>
                    <w:t>主要污染种类</w:t>
                  </w:r>
                </w:p>
              </w:tc>
            </w:tr>
            <w:tr w14:paraId="6DF8C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restart"/>
                  <w:vAlign w:val="center"/>
                </w:tcPr>
                <w:p w14:paraId="65B71D33">
                  <w:pPr>
                    <w:pStyle w:val="52"/>
                    <w:spacing w:line="300" w:lineRule="exact"/>
                  </w:pPr>
                  <w:r>
                    <w:rPr>
                      <w:rFonts w:hint="eastAsia"/>
                    </w:rPr>
                    <w:t>废气</w:t>
                  </w:r>
                </w:p>
              </w:tc>
              <w:tc>
                <w:tcPr>
                  <w:tcW w:w="343" w:type="pct"/>
                  <w:vAlign w:val="center"/>
                </w:tcPr>
                <w:p w14:paraId="3CE82989">
                  <w:pPr>
                    <w:pStyle w:val="52"/>
                    <w:spacing w:line="300" w:lineRule="exact"/>
                  </w:pPr>
                  <w:r>
                    <w:rPr>
                      <w:rFonts w:hint="eastAsia"/>
                    </w:rPr>
                    <w:t>G1</w:t>
                  </w:r>
                </w:p>
              </w:tc>
              <w:tc>
                <w:tcPr>
                  <w:tcW w:w="1973" w:type="pct"/>
                  <w:vAlign w:val="center"/>
                </w:tcPr>
                <w:p w14:paraId="318E37D9">
                  <w:pPr>
                    <w:pStyle w:val="52"/>
                    <w:spacing w:line="300" w:lineRule="exact"/>
                  </w:pPr>
                  <w:r>
                    <w:rPr>
                      <w:rFonts w:hint="eastAsia"/>
                    </w:rPr>
                    <w:t>原料堆存</w:t>
                  </w:r>
                </w:p>
              </w:tc>
              <w:tc>
                <w:tcPr>
                  <w:tcW w:w="1029" w:type="pct"/>
                  <w:vAlign w:val="center"/>
                </w:tcPr>
                <w:p w14:paraId="380159D2">
                  <w:pPr>
                    <w:pStyle w:val="52"/>
                    <w:spacing w:line="300" w:lineRule="exact"/>
                  </w:pPr>
                  <w:r>
                    <w:rPr>
                      <w:rFonts w:hint="eastAsia"/>
                    </w:rPr>
                    <w:t>粉尘</w:t>
                  </w:r>
                </w:p>
              </w:tc>
              <w:tc>
                <w:tcPr>
                  <w:tcW w:w="1343" w:type="pct"/>
                  <w:vAlign w:val="center"/>
                </w:tcPr>
                <w:p w14:paraId="26DFACE6">
                  <w:pPr>
                    <w:pStyle w:val="52"/>
                    <w:spacing w:line="300" w:lineRule="exact"/>
                  </w:pPr>
                  <w:r>
                    <w:rPr>
                      <w:rFonts w:hint="eastAsia"/>
                    </w:rPr>
                    <w:t>颗粒物</w:t>
                  </w:r>
                </w:p>
              </w:tc>
            </w:tr>
            <w:tr w14:paraId="0CA11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continue"/>
                  <w:vAlign w:val="center"/>
                </w:tcPr>
                <w:p w14:paraId="7B9EFC5D">
                  <w:pPr>
                    <w:pStyle w:val="52"/>
                    <w:spacing w:line="300" w:lineRule="exact"/>
                  </w:pPr>
                </w:p>
              </w:tc>
              <w:tc>
                <w:tcPr>
                  <w:tcW w:w="343" w:type="pct"/>
                  <w:vAlign w:val="center"/>
                </w:tcPr>
                <w:p w14:paraId="1D446703">
                  <w:pPr>
                    <w:pStyle w:val="52"/>
                    <w:spacing w:line="300" w:lineRule="exact"/>
                  </w:pPr>
                  <w:r>
                    <w:rPr>
                      <w:rFonts w:hint="eastAsia"/>
                    </w:rPr>
                    <w:t>G2</w:t>
                  </w:r>
                </w:p>
              </w:tc>
              <w:tc>
                <w:tcPr>
                  <w:tcW w:w="1973" w:type="pct"/>
                  <w:vAlign w:val="center"/>
                </w:tcPr>
                <w:p w14:paraId="64308EDE">
                  <w:pPr>
                    <w:pStyle w:val="52"/>
                    <w:spacing w:line="300" w:lineRule="exact"/>
                  </w:pPr>
                  <w:r>
                    <w:rPr>
                      <w:rFonts w:hint="eastAsia"/>
                    </w:rPr>
                    <w:t>骨料上料、输送、搅拌、包装废气</w:t>
                  </w:r>
                </w:p>
              </w:tc>
              <w:tc>
                <w:tcPr>
                  <w:tcW w:w="1029" w:type="pct"/>
                  <w:vAlign w:val="center"/>
                </w:tcPr>
                <w:p w14:paraId="35E5BE01">
                  <w:pPr>
                    <w:pStyle w:val="52"/>
                    <w:spacing w:line="300" w:lineRule="exact"/>
                  </w:pPr>
                  <w:r>
                    <w:rPr>
                      <w:rFonts w:hint="eastAsia"/>
                    </w:rPr>
                    <w:t>粉尘</w:t>
                  </w:r>
                </w:p>
              </w:tc>
              <w:tc>
                <w:tcPr>
                  <w:tcW w:w="1343" w:type="pct"/>
                  <w:vAlign w:val="center"/>
                </w:tcPr>
                <w:p w14:paraId="49B700A8">
                  <w:pPr>
                    <w:pStyle w:val="52"/>
                    <w:spacing w:line="300" w:lineRule="exact"/>
                  </w:pPr>
                  <w:r>
                    <w:rPr>
                      <w:rFonts w:hint="eastAsia"/>
                    </w:rPr>
                    <w:t>颗粒物</w:t>
                  </w:r>
                </w:p>
              </w:tc>
            </w:tr>
            <w:tr w14:paraId="1C55B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continue"/>
                  <w:vAlign w:val="center"/>
                </w:tcPr>
                <w:p w14:paraId="1A8E33CC">
                  <w:pPr>
                    <w:pStyle w:val="52"/>
                    <w:spacing w:line="300" w:lineRule="exact"/>
                  </w:pPr>
                </w:p>
              </w:tc>
              <w:tc>
                <w:tcPr>
                  <w:tcW w:w="343" w:type="pct"/>
                  <w:vAlign w:val="center"/>
                </w:tcPr>
                <w:p w14:paraId="5C65CB9C">
                  <w:pPr>
                    <w:pStyle w:val="52"/>
                    <w:spacing w:line="300" w:lineRule="exact"/>
                  </w:pPr>
                  <w:r>
                    <w:rPr>
                      <w:rFonts w:hint="eastAsia"/>
                    </w:rPr>
                    <w:t>G</w:t>
                  </w:r>
                  <w:r>
                    <w:t>3</w:t>
                  </w:r>
                </w:p>
              </w:tc>
              <w:tc>
                <w:tcPr>
                  <w:tcW w:w="1973" w:type="pct"/>
                  <w:vAlign w:val="center"/>
                </w:tcPr>
                <w:p w14:paraId="484109D8">
                  <w:pPr>
                    <w:pStyle w:val="52"/>
                    <w:spacing w:line="300" w:lineRule="exact"/>
                  </w:pPr>
                  <w:r>
                    <w:rPr>
                      <w:rFonts w:hint="eastAsia"/>
                    </w:rPr>
                    <w:t>水泥筒仓仓顶废气</w:t>
                  </w:r>
                </w:p>
              </w:tc>
              <w:tc>
                <w:tcPr>
                  <w:tcW w:w="1029" w:type="pct"/>
                  <w:vAlign w:val="center"/>
                </w:tcPr>
                <w:p w14:paraId="02238C13">
                  <w:pPr>
                    <w:pStyle w:val="52"/>
                    <w:spacing w:line="300" w:lineRule="exact"/>
                  </w:pPr>
                  <w:r>
                    <w:rPr>
                      <w:rFonts w:hint="eastAsia"/>
                    </w:rPr>
                    <w:t>粉尘</w:t>
                  </w:r>
                </w:p>
              </w:tc>
              <w:tc>
                <w:tcPr>
                  <w:tcW w:w="1343" w:type="pct"/>
                  <w:vAlign w:val="center"/>
                </w:tcPr>
                <w:p w14:paraId="28C157E5">
                  <w:pPr>
                    <w:pStyle w:val="52"/>
                    <w:spacing w:line="300" w:lineRule="exact"/>
                  </w:pPr>
                  <w:r>
                    <w:rPr>
                      <w:rFonts w:hint="eastAsia"/>
                    </w:rPr>
                    <w:t>颗粒物</w:t>
                  </w:r>
                </w:p>
              </w:tc>
            </w:tr>
            <w:tr w14:paraId="483A2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continue"/>
                  <w:vAlign w:val="center"/>
                </w:tcPr>
                <w:p w14:paraId="209B3518">
                  <w:pPr>
                    <w:pStyle w:val="52"/>
                    <w:spacing w:line="300" w:lineRule="exact"/>
                  </w:pPr>
                </w:p>
              </w:tc>
              <w:tc>
                <w:tcPr>
                  <w:tcW w:w="343" w:type="pct"/>
                  <w:vAlign w:val="center"/>
                </w:tcPr>
                <w:p w14:paraId="7D50992E">
                  <w:pPr>
                    <w:pStyle w:val="52"/>
                    <w:spacing w:line="300" w:lineRule="exact"/>
                  </w:pPr>
                  <w:r>
                    <w:rPr>
                      <w:rFonts w:hint="eastAsia"/>
                    </w:rPr>
                    <w:t>G4</w:t>
                  </w:r>
                </w:p>
              </w:tc>
              <w:tc>
                <w:tcPr>
                  <w:tcW w:w="1973" w:type="pct"/>
                  <w:vAlign w:val="center"/>
                </w:tcPr>
                <w:p w14:paraId="18117426">
                  <w:pPr>
                    <w:pStyle w:val="52"/>
                    <w:spacing w:line="300" w:lineRule="exact"/>
                  </w:pPr>
                  <w:r>
                    <w:rPr>
                      <w:rFonts w:hint="eastAsia"/>
                    </w:rPr>
                    <w:t>粉煤灰（矿渣粉）仓仓顶废气</w:t>
                  </w:r>
                </w:p>
              </w:tc>
              <w:tc>
                <w:tcPr>
                  <w:tcW w:w="1029" w:type="pct"/>
                  <w:vAlign w:val="center"/>
                </w:tcPr>
                <w:p w14:paraId="70A181C9">
                  <w:pPr>
                    <w:pStyle w:val="52"/>
                    <w:spacing w:line="300" w:lineRule="exact"/>
                  </w:pPr>
                  <w:r>
                    <w:rPr>
                      <w:rFonts w:hint="eastAsia"/>
                    </w:rPr>
                    <w:t>粉尘</w:t>
                  </w:r>
                </w:p>
              </w:tc>
              <w:tc>
                <w:tcPr>
                  <w:tcW w:w="1343" w:type="pct"/>
                  <w:vAlign w:val="center"/>
                </w:tcPr>
                <w:p w14:paraId="7EFCEDC2">
                  <w:pPr>
                    <w:pStyle w:val="52"/>
                    <w:spacing w:line="300" w:lineRule="exact"/>
                  </w:pPr>
                  <w:r>
                    <w:rPr>
                      <w:rFonts w:hint="eastAsia"/>
                    </w:rPr>
                    <w:t>颗粒物</w:t>
                  </w:r>
                </w:p>
              </w:tc>
            </w:tr>
            <w:tr w14:paraId="425D7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continue"/>
                  <w:vAlign w:val="center"/>
                </w:tcPr>
                <w:p w14:paraId="7923958B">
                  <w:pPr>
                    <w:pStyle w:val="52"/>
                    <w:spacing w:line="300" w:lineRule="exact"/>
                  </w:pPr>
                </w:p>
              </w:tc>
              <w:tc>
                <w:tcPr>
                  <w:tcW w:w="343" w:type="pct"/>
                  <w:vAlign w:val="center"/>
                </w:tcPr>
                <w:p w14:paraId="652CED3B">
                  <w:pPr>
                    <w:pStyle w:val="52"/>
                    <w:spacing w:line="300" w:lineRule="exact"/>
                  </w:pPr>
                  <w:r>
                    <w:rPr>
                      <w:rFonts w:hint="eastAsia"/>
                    </w:rPr>
                    <w:t>G5</w:t>
                  </w:r>
                </w:p>
              </w:tc>
              <w:tc>
                <w:tcPr>
                  <w:tcW w:w="1973" w:type="pct"/>
                  <w:vAlign w:val="center"/>
                </w:tcPr>
                <w:p w14:paraId="0795D477">
                  <w:pPr>
                    <w:pStyle w:val="52"/>
                    <w:spacing w:line="300" w:lineRule="exact"/>
                  </w:pPr>
                  <w:r>
                    <w:rPr>
                      <w:rStyle w:val="58"/>
                      <w:rFonts w:hint="eastAsia"/>
                    </w:rPr>
                    <w:t>皮带输送转载</w:t>
                  </w:r>
                </w:p>
              </w:tc>
              <w:tc>
                <w:tcPr>
                  <w:tcW w:w="1029" w:type="pct"/>
                  <w:vAlign w:val="center"/>
                </w:tcPr>
                <w:p w14:paraId="1A049F84">
                  <w:pPr>
                    <w:pStyle w:val="52"/>
                    <w:spacing w:line="300" w:lineRule="exact"/>
                  </w:pPr>
                  <w:r>
                    <w:rPr>
                      <w:rFonts w:hint="eastAsia"/>
                    </w:rPr>
                    <w:t>粉尘</w:t>
                  </w:r>
                </w:p>
              </w:tc>
              <w:tc>
                <w:tcPr>
                  <w:tcW w:w="1343" w:type="pct"/>
                  <w:vAlign w:val="center"/>
                </w:tcPr>
                <w:p w14:paraId="3E684CF7">
                  <w:pPr>
                    <w:pStyle w:val="52"/>
                    <w:spacing w:line="300" w:lineRule="exact"/>
                  </w:pPr>
                  <w:r>
                    <w:rPr>
                      <w:rFonts w:hint="eastAsia"/>
                    </w:rPr>
                    <w:t>颗粒物</w:t>
                  </w:r>
                </w:p>
              </w:tc>
            </w:tr>
            <w:tr w14:paraId="5AA24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continue"/>
                  <w:vAlign w:val="center"/>
                </w:tcPr>
                <w:p w14:paraId="17330608">
                  <w:pPr>
                    <w:pStyle w:val="52"/>
                    <w:spacing w:line="300" w:lineRule="exact"/>
                  </w:pPr>
                </w:p>
              </w:tc>
              <w:tc>
                <w:tcPr>
                  <w:tcW w:w="343" w:type="pct"/>
                  <w:vAlign w:val="center"/>
                </w:tcPr>
                <w:p w14:paraId="1B7B2B16">
                  <w:pPr>
                    <w:pStyle w:val="52"/>
                    <w:spacing w:line="300" w:lineRule="exact"/>
                  </w:pPr>
                  <w:r>
                    <w:rPr>
                      <w:rFonts w:hint="eastAsia"/>
                    </w:rPr>
                    <w:t>G6</w:t>
                  </w:r>
                </w:p>
              </w:tc>
              <w:tc>
                <w:tcPr>
                  <w:tcW w:w="1973" w:type="pct"/>
                  <w:vAlign w:val="center"/>
                </w:tcPr>
                <w:p w14:paraId="5F30BE16">
                  <w:pPr>
                    <w:pStyle w:val="52"/>
                    <w:spacing w:line="300" w:lineRule="exact"/>
                    <w:rPr>
                      <w:rStyle w:val="58"/>
                    </w:rPr>
                  </w:pPr>
                  <w:r>
                    <w:rPr>
                      <w:rStyle w:val="58"/>
                      <w:rFonts w:hint="eastAsia"/>
                    </w:rPr>
                    <w:t>道路运输</w:t>
                  </w:r>
                </w:p>
              </w:tc>
              <w:tc>
                <w:tcPr>
                  <w:tcW w:w="1029" w:type="pct"/>
                  <w:vAlign w:val="center"/>
                </w:tcPr>
                <w:p w14:paraId="6BF93CB0">
                  <w:pPr>
                    <w:pStyle w:val="52"/>
                    <w:spacing w:line="300" w:lineRule="exact"/>
                  </w:pPr>
                  <w:r>
                    <w:rPr>
                      <w:rFonts w:hint="eastAsia"/>
                    </w:rPr>
                    <w:t>粉尘</w:t>
                  </w:r>
                </w:p>
              </w:tc>
              <w:tc>
                <w:tcPr>
                  <w:tcW w:w="1343" w:type="pct"/>
                  <w:vAlign w:val="center"/>
                </w:tcPr>
                <w:p w14:paraId="539A1EF4">
                  <w:pPr>
                    <w:pStyle w:val="52"/>
                    <w:spacing w:line="300" w:lineRule="exact"/>
                  </w:pPr>
                  <w:r>
                    <w:rPr>
                      <w:rFonts w:hint="eastAsia"/>
                    </w:rPr>
                    <w:t>颗粒物</w:t>
                  </w:r>
                </w:p>
              </w:tc>
            </w:tr>
            <w:tr w14:paraId="7F82C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restart"/>
                  <w:vAlign w:val="center"/>
                </w:tcPr>
                <w:p w14:paraId="1EEDDC41">
                  <w:pPr>
                    <w:pStyle w:val="52"/>
                    <w:spacing w:line="300" w:lineRule="exact"/>
                  </w:pPr>
                  <w:r>
                    <w:rPr>
                      <w:rFonts w:hint="eastAsia"/>
                    </w:rPr>
                    <w:t>废水</w:t>
                  </w:r>
                </w:p>
              </w:tc>
              <w:tc>
                <w:tcPr>
                  <w:tcW w:w="343" w:type="pct"/>
                  <w:vAlign w:val="center"/>
                </w:tcPr>
                <w:p w14:paraId="26277E82">
                  <w:pPr>
                    <w:pStyle w:val="52"/>
                    <w:spacing w:line="300" w:lineRule="exact"/>
                  </w:pPr>
                  <w:r>
                    <w:rPr>
                      <w:rFonts w:hint="eastAsia"/>
                    </w:rPr>
                    <w:t>W</w:t>
                  </w:r>
                  <w:r>
                    <w:t>1</w:t>
                  </w:r>
                </w:p>
              </w:tc>
              <w:tc>
                <w:tcPr>
                  <w:tcW w:w="1973" w:type="pct"/>
                  <w:vAlign w:val="center"/>
                </w:tcPr>
                <w:p w14:paraId="542D1359">
                  <w:pPr>
                    <w:pStyle w:val="52"/>
                    <w:spacing w:line="300" w:lineRule="exact"/>
                  </w:pPr>
                  <w:r>
                    <w:rPr>
                      <w:rFonts w:hint="eastAsia"/>
                    </w:rPr>
                    <w:t>职工生活</w:t>
                  </w:r>
                </w:p>
              </w:tc>
              <w:tc>
                <w:tcPr>
                  <w:tcW w:w="1029" w:type="pct"/>
                  <w:vAlign w:val="center"/>
                </w:tcPr>
                <w:p w14:paraId="604C1A2B">
                  <w:pPr>
                    <w:pStyle w:val="52"/>
                    <w:spacing w:line="300" w:lineRule="exact"/>
                  </w:pPr>
                  <w:r>
                    <w:rPr>
                      <w:rFonts w:hint="eastAsia"/>
                    </w:rPr>
                    <w:t>生活污水</w:t>
                  </w:r>
                </w:p>
              </w:tc>
              <w:tc>
                <w:tcPr>
                  <w:tcW w:w="1343" w:type="pct"/>
                  <w:vAlign w:val="center"/>
                </w:tcPr>
                <w:p w14:paraId="6294BF7B">
                  <w:pPr>
                    <w:pStyle w:val="52"/>
                    <w:spacing w:line="300" w:lineRule="exact"/>
                  </w:pPr>
                  <w:r>
                    <w:t>COD、BOD</w:t>
                  </w:r>
                  <w:r>
                    <w:rPr>
                      <w:vertAlign w:val="subscript"/>
                    </w:rPr>
                    <w:t>5</w:t>
                  </w:r>
                  <w:r>
                    <w:t>、SS</w:t>
                  </w:r>
                </w:p>
              </w:tc>
            </w:tr>
            <w:tr w14:paraId="646A4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continue"/>
                  <w:vAlign w:val="center"/>
                </w:tcPr>
                <w:p w14:paraId="56F49792">
                  <w:pPr>
                    <w:pStyle w:val="52"/>
                    <w:spacing w:line="300" w:lineRule="exact"/>
                  </w:pPr>
                </w:p>
              </w:tc>
              <w:tc>
                <w:tcPr>
                  <w:tcW w:w="343" w:type="pct"/>
                  <w:vAlign w:val="center"/>
                </w:tcPr>
                <w:p w14:paraId="00679462">
                  <w:pPr>
                    <w:pStyle w:val="52"/>
                    <w:spacing w:line="300" w:lineRule="exact"/>
                  </w:pPr>
                  <w:r>
                    <w:rPr>
                      <w:rFonts w:hint="eastAsia"/>
                    </w:rPr>
                    <w:t>W2</w:t>
                  </w:r>
                </w:p>
              </w:tc>
              <w:tc>
                <w:tcPr>
                  <w:tcW w:w="1973" w:type="pct"/>
                  <w:vAlign w:val="center"/>
                </w:tcPr>
                <w:p w14:paraId="20B42D00">
                  <w:pPr>
                    <w:pStyle w:val="52"/>
                    <w:spacing w:line="300" w:lineRule="exact"/>
                  </w:pPr>
                  <w:r>
                    <w:rPr>
                      <w:rFonts w:hint="eastAsia"/>
                    </w:rPr>
                    <w:t>洗车平台</w:t>
                  </w:r>
                </w:p>
              </w:tc>
              <w:tc>
                <w:tcPr>
                  <w:tcW w:w="1029" w:type="pct"/>
                  <w:vAlign w:val="center"/>
                </w:tcPr>
                <w:p w14:paraId="3B2F11B9">
                  <w:pPr>
                    <w:pStyle w:val="52"/>
                    <w:spacing w:line="300" w:lineRule="exact"/>
                  </w:pPr>
                  <w:r>
                    <w:rPr>
                      <w:rFonts w:hint="eastAsia"/>
                    </w:rPr>
                    <w:t>洗车废水</w:t>
                  </w:r>
                </w:p>
              </w:tc>
              <w:tc>
                <w:tcPr>
                  <w:tcW w:w="1343" w:type="pct"/>
                  <w:vAlign w:val="center"/>
                </w:tcPr>
                <w:p w14:paraId="17C7BB54">
                  <w:pPr>
                    <w:pStyle w:val="52"/>
                    <w:spacing w:line="300" w:lineRule="exact"/>
                  </w:pPr>
                  <w:r>
                    <w:rPr>
                      <w:rFonts w:hint="eastAsia"/>
                    </w:rPr>
                    <w:t>S</w:t>
                  </w:r>
                  <w:r>
                    <w:t>S</w:t>
                  </w:r>
                  <w:r>
                    <w:rPr>
                      <w:rFonts w:hint="eastAsia"/>
                    </w:rPr>
                    <w:t>、石油类</w:t>
                  </w:r>
                </w:p>
              </w:tc>
            </w:tr>
            <w:tr w14:paraId="6ABDF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restart"/>
                  <w:vAlign w:val="center"/>
                </w:tcPr>
                <w:p w14:paraId="5C13232F">
                  <w:pPr>
                    <w:pStyle w:val="52"/>
                    <w:spacing w:line="300" w:lineRule="exact"/>
                  </w:pPr>
                  <w:r>
                    <w:rPr>
                      <w:rFonts w:hint="eastAsia"/>
                    </w:rPr>
                    <w:t>固体废物</w:t>
                  </w:r>
                </w:p>
              </w:tc>
              <w:tc>
                <w:tcPr>
                  <w:tcW w:w="343" w:type="pct"/>
                  <w:vAlign w:val="center"/>
                </w:tcPr>
                <w:p w14:paraId="65399F0F">
                  <w:pPr>
                    <w:pStyle w:val="52"/>
                    <w:spacing w:line="300" w:lineRule="exact"/>
                  </w:pPr>
                  <w:r>
                    <w:rPr>
                      <w:rFonts w:hint="eastAsia"/>
                    </w:rPr>
                    <w:t>S</w:t>
                  </w:r>
                  <w:r>
                    <w:t>1</w:t>
                  </w:r>
                </w:p>
              </w:tc>
              <w:tc>
                <w:tcPr>
                  <w:tcW w:w="1973" w:type="pct"/>
                  <w:vAlign w:val="center"/>
                </w:tcPr>
                <w:p w14:paraId="6E97EC3F">
                  <w:pPr>
                    <w:pStyle w:val="52"/>
                    <w:spacing w:line="300" w:lineRule="exact"/>
                  </w:pPr>
                  <w:r>
                    <w:rPr>
                      <w:rFonts w:hint="eastAsia"/>
                    </w:rPr>
                    <w:t>职工生活</w:t>
                  </w:r>
                </w:p>
              </w:tc>
              <w:tc>
                <w:tcPr>
                  <w:tcW w:w="1029" w:type="pct"/>
                  <w:vAlign w:val="center"/>
                </w:tcPr>
                <w:p w14:paraId="554F1902">
                  <w:pPr>
                    <w:pStyle w:val="52"/>
                    <w:spacing w:line="300" w:lineRule="exact"/>
                  </w:pPr>
                  <w:r>
                    <w:rPr>
                      <w:rFonts w:hint="eastAsia"/>
                    </w:rPr>
                    <w:t>生活垃圾</w:t>
                  </w:r>
                </w:p>
              </w:tc>
              <w:tc>
                <w:tcPr>
                  <w:tcW w:w="1343" w:type="pct"/>
                  <w:vAlign w:val="center"/>
                </w:tcPr>
                <w:p w14:paraId="567F3FC3">
                  <w:pPr>
                    <w:pStyle w:val="52"/>
                    <w:spacing w:line="300" w:lineRule="exact"/>
                  </w:pPr>
                  <w:r>
                    <w:t>果皮纸屑等</w:t>
                  </w:r>
                </w:p>
              </w:tc>
            </w:tr>
            <w:tr w14:paraId="22AFA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continue"/>
                  <w:vAlign w:val="center"/>
                </w:tcPr>
                <w:p w14:paraId="144A889A">
                  <w:pPr>
                    <w:pStyle w:val="52"/>
                    <w:spacing w:line="300" w:lineRule="exact"/>
                  </w:pPr>
                </w:p>
              </w:tc>
              <w:tc>
                <w:tcPr>
                  <w:tcW w:w="343" w:type="pct"/>
                  <w:vAlign w:val="center"/>
                </w:tcPr>
                <w:p w14:paraId="0A6738CA">
                  <w:pPr>
                    <w:pStyle w:val="52"/>
                    <w:spacing w:line="300" w:lineRule="exact"/>
                  </w:pPr>
                  <w:r>
                    <w:rPr>
                      <w:rFonts w:hint="eastAsia"/>
                    </w:rPr>
                    <w:t>S2</w:t>
                  </w:r>
                </w:p>
              </w:tc>
              <w:tc>
                <w:tcPr>
                  <w:tcW w:w="1973" w:type="pct"/>
                  <w:vAlign w:val="center"/>
                </w:tcPr>
                <w:p w14:paraId="34FA63BE">
                  <w:pPr>
                    <w:pStyle w:val="52"/>
                    <w:spacing w:line="300" w:lineRule="exact"/>
                  </w:pPr>
                  <w:r>
                    <w:rPr>
                      <w:rFonts w:hint="eastAsia"/>
                    </w:rPr>
                    <w:t>袋式除尘器</w:t>
                  </w:r>
                </w:p>
              </w:tc>
              <w:tc>
                <w:tcPr>
                  <w:tcW w:w="1029" w:type="pct"/>
                  <w:vAlign w:val="center"/>
                </w:tcPr>
                <w:p w14:paraId="04D13902">
                  <w:pPr>
                    <w:pStyle w:val="52"/>
                    <w:spacing w:line="300" w:lineRule="exact"/>
                  </w:pPr>
                  <w:r>
                    <w:rPr>
                      <w:rFonts w:hint="eastAsia"/>
                    </w:rPr>
                    <w:t>除尘灰</w:t>
                  </w:r>
                </w:p>
              </w:tc>
              <w:tc>
                <w:tcPr>
                  <w:tcW w:w="1343" w:type="pct"/>
                  <w:vAlign w:val="center"/>
                </w:tcPr>
                <w:p w14:paraId="6984B20E">
                  <w:pPr>
                    <w:pStyle w:val="52"/>
                    <w:spacing w:line="300" w:lineRule="exact"/>
                  </w:pPr>
                  <w:r>
                    <w:rPr>
                      <w:rFonts w:hint="eastAsia"/>
                    </w:rPr>
                    <w:t>颗粒物</w:t>
                  </w:r>
                </w:p>
              </w:tc>
            </w:tr>
            <w:tr w14:paraId="132BB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continue"/>
                  <w:vAlign w:val="center"/>
                </w:tcPr>
                <w:p w14:paraId="470CD74B">
                  <w:pPr>
                    <w:pStyle w:val="52"/>
                    <w:spacing w:line="300" w:lineRule="exact"/>
                  </w:pPr>
                </w:p>
              </w:tc>
              <w:tc>
                <w:tcPr>
                  <w:tcW w:w="343" w:type="pct"/>
                  <w:vAlign w:val="center"/>
                </w:tcPr>
                <w:p w14:paraId="52AC3D19">
                  <w:pPr>
                    <w:pStyle w:val="52"/>
                    <w:spacing w:line="300" w:lineRule="exact"/>
                  </w:pPr>
                  <w:r>
                    <w:rPr>
                      <w:rFonts w:hint="eastAsia"/>
                    </w:rPr>
                    <w:t>S3</w:t>
                  </w:r>
                </w:p>
              </w:tc>
              <w:tc>
                <w:tcPr>
                  <w:tcW w:w="1973" w:type="pct"/>
                  <w:vAlign w:val="center"/>
                </w:tcPr>
                <w:p w14:paraId="34B0D4A7">
                  <w:pPr>
                    <w:pStyle w:val="52"/>
                    <w:spacing w:line="300" w:lineRule="exact"/>
                  </w:pPr>
                  <w:r>
                    <w:t>洗车</w:t>
                  </w:r>
                  <w:r>
                    <w:rPr>
                      <w:rFonts w:hint="eastAsia"/>
                    </w:rPr>
                    <w:t>废水沉淀池、初期雨水池</w:t>
                  </w:r>
                </w:p>
              </w:tc>
              <w:tc>
                <w:tcPr>
                  <w:tcW w:w="1029" w:type="pct"/>
                  <w:vAlign w:val="center"/>
                </w:tcPr>
                <w:p w14:paraId="7EDAEC12">
                  <w:pPr>
                    <w:pStyle w:val="52"/>
                    <w:spacing w:line="300" w:lineRule="exact"/>
                  </w:pPr>
                  <w:r>
                    <w:rPr>
                      <w:rFonts w:hint="eastAsia"/>
                    </w:rPr>
                    <w:t>底</w:t>
                  </w:r>
                  <w:r>
                    <w:t>泥</w:t>
                  </w:r>
                </w:p>
              </w:tc>
              <w:tc>
                <w:tcPr>
                  <w:tcW w:w="1343" w:type="pct"/>
                  <w:vAlign w:val="center"/>
                </w:tcPr>
                <w:p w14:paraId="2F9F73D6">
                  <w:pPr>
                    <w:pStyle w:val="52"/>
                    <w:spacing w:line="300" w:lineRule="exact"/>
                  </w:pPr>
                  <w:r>
                    <w:rPr>
                      <w:rFonts w:hint="eastAsia"/>
                    </w:rPr>
                    <w:t>颗粒物</w:t>
                  </w:r>
                </w:p>
              </w:tc>
            </w:tr>
            <w:tr w14:paraId="2D727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Merge w:val="continue"/>
                  <w:vAlign w:val="center"/>
                </w:tcPr>
                <w:p w14:paraId="0F3DC67E">
                  <w:pPr>
                    <w:pStyle w:val="52"/>
                    <w:spacing w:line="300" w:lineRule="exact"/>
                  </w:pPr>
                </w:p>
              </w:tc>
              <w:tc>
                <w:tcPr>
                  <w:tcW w:w="343" w:type="pct"/>
                  <w:vAlign w:val="center"/>
                </w:tcPr>
                <w:p w14:paraId="4FF48CFD">
                  <w:pPr>
                    <w:pStyle w:val="52"/>
                    <w:spacing w:line="300" w:lineRule="exact"/>
                  </w:pPr>
                  <w:r>
                    <w:rPr>
                      <w:rFonts w:hint="eastAsia"/>
                    </w:rPr>
                    <w:t>S4</w:t>
                  </w:r>
                </w:p>
              </w:tc>
              <w:tc>
                <w:tcPr>
                  <w:tcW w:w="1973" w:type="pct"/>
                  <w:vAlign w:val="center"/>
                </w:tcPr>
                <w:p w14:paraId="73D1AF1B">
                  <w:pPr>
                    <w:pStyle w:val="52"/>
                    <w:spacing w:line="300" w:lineRule="exact"/>
                  </w:pPr>
                  <w:r>
                    <w:rPr>
                      <w:rFonts w:hint="eastAsia"/>
                    </w:rPr>
                    <w:t>生产设备维护</w:t>
                  </w:r>
                </w:p>
              </w:tc>
              <w:tc>
                <w:tcPr>
                  <w:tcW w:w="1029" w:type="pct"/>
                  <w:vAlign w:val="center"/>
                </w:tcPr>
                <w:p w14:paraId="4E379FE9">
                  <w:pPr>
                    <w:pStyle w:val="52"/>
                    <w:spacing w:line="300" w:lineRule="exact"/>
                  </w:pPr>
                  <w:r>
                    <w:t>废机油</w:t>
                  </w:r>
                  <w:r>
                    <w:rPr>
                      <w:rFonts w:hint="eastAsia"/>
                    </w:rPr>
                    <w:t>、废油桶</w:t>
                  </w:r>
                </w:p>
              </w:tc>
              <w:tc>
                <w:tcPr>
                  <w:tcW w:w="1343" w:type="pct"/>
                  <w:vAlign w:val="center"/>
                </w:tcPr>
                <w:p w14:paraId="46FE8649">
                  <w:pPr>
                    <w:pStyle w:val="52"/>
                    <w:spacing w:line="300" w:lineRule="exact"/>
                  </w:pPr>
                  <w:r>
                    <w:rPr>
                      <w:rFonts w:hint="eastAsia"/>
                    </w:rPr>
                    <w:t>废矿物油</w:t>
                  </w:r>
                </w:p>
              </w:tc>
            </w:tr>
            <w:tr w14:paraId="21A5B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312" w:type="pct"/>
                  <w:vAlign w:val="center"/>
                </w:tcPr>
                <w:p w14:paraId="1AD0DAFC">
                  <w:pPr>
                    <w:pStyle w:val="52"/>
                    <w:spacing w:line="300" w:lineRule="exact"/>
                  </w:pPr>
                  <w:r>
                    <w:rPr>
                      <w:rFonts w:hint="eastAsia"/>
                    </w:rPr>
                    <w:t>噪声</w:t>
                  </w:r>
                </w:p>
              </w:tc>
              <w:tc>
                <w:tcPr>
                  <w:tcW w:w="343" w:type="pct"/>
                  <w:vAlign w:val="center"/>
                </w:tcPr>
                <w:p w14:paraId="596DBDC7">
                  <w:pPr>
                    <w:pStyle w:val="52"/>
                    <w:spacing w:line="300" w:lineRule="exact"/>
                  </w:pPr>
                  <w:r>
                    <w:rPr>
                      <w:rFonts w:hint="eastAsia"/>
                    </w:rPr>
                    <w:t>N</w:t>
                  </w:r>
                </w:p>
              </w:tc>
              <w:tc>
                <w:tcPr>
                  <w:tcW w:w="1973" w:type="pct"/>
                  <w:vAlign w:val="center"/>
                </w:tcPr>
                <w:p w14:paraId="62165907">
                  <w:pPr>
                    <w:pStyle w:val="52"/>
                    <w:spacing w:line="300" w:lineRule="exact"/>
                  </w:pPr>
                  <w:r>
                    <w:rPr>
                      <w:rFonts w:hint="eastAsia"/>
                    </w:rPr>
                    <w:t>生产过程</w:t>
                  </w:r>
                </w:p>
              </w:tc>
              <w:tc>
                <w:tcPr>
                  <w:tcW w:w="1029" w:type="pct"/>
                  <w:vAlign w:val="center"/>
                </w:tcPr>
                <w:p w14:paraId="0E62444D">
                  <w:pPr>
                    <w:pStyle w:val="52"/>
                    <w:spacing w:line="300" w:lineRule="exact"/>
                  </w:pPr>
                  <w:r>
                    <w:rPr>
                      <w:rFonts w:hint="eastAsia"/>
                    </w:rPr>
                    <w:t>生产设备噪声</w:t>
                  </w:r>
                </w:p>
              </w:tc>
              <w:tc>
                <w:tcPr>
                  <w:tcW w:w="1343" w:type="pct"/>
                  <w:vAlign w:val="center"/>
                </w:tcPr>
                <w:p w14:paraId="6AE300E2">
                  <w:pPr>
                    <w:pStyle w:val="52"/>
                    <w:spacing w:line="300" w:lineRule="exact"/>
                  </w:pPr>
                  <w:r>
                    <w:t>等效连续A声级</w:t>
                  </w:r>
                </w:p>
              </w:tc>
            </w:tr>
            <w:bookmarkEnd w:id="49"/>
          </w:tbl>
          <w:p w14:paraId="6EBC3CA4">
            <w:pPr>
              <w:spacing w:line="60" w:lineRule="exact"/>
            </w:pPr>
            <w:r>
              <w:t xml:space="preserve">   </w:t>
            </w:r>
            <w:r>
              <w:rPr>
                <w:rFonts w:hint="eastAsia"/>
              </w:rPr>
              <w:t xml:space="preserve"> </w:t>
            </w:r>
            <w:r>
              <w:t xml:space="preserve">  </w:t>
            </w:r>
          </w:p>
        </w:tc>
      </w:tr>
      <w:tr w14:paraId="7C2880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20" w:hRule="atLeast"/>
          <w:jc w:val="center"/>
        </w:trPr>
        <w:tc>
          <w:tcPr>
            <w:tcW w:w="213" w:type="pct"/>
            <w:vAlign w:val="center"/>
          </w:tcPr>
          <w:p w14:paraId="380E00C0">
            <w:pPr>
              <w:pStyle w:val="15"/>
              <w:adjustRightInd w:val="0"/>
              <w:snapToGrid w:val="0"/>
              <w:spacing w:before="0" w:beforeAutospacing="0" w:after="0" w:afterAutospacing="0"/>
              <w:jc w:val="center"/>
              <w:rPr>
                <w:rFonts w:ascii="Times New Roman" w:hAnsi="Times New Roman" w:cs="宋体"/>
                <w:sz w:val="21"/>
                <w:szCs w:val="21"/>
              </w:rPr>
            </w:pPr>
            <w:r>
              <w:rPr>
                <w:rFonts w:hint="eastAsia" w:ascii="Times New Roman" w:hAnsi="Times New Roman" w:cs="宋体"/>
                <w:bCs/>
                <w:kern w:val="2"/>
                <w:sz w:val="21"/>
                <w:szCs w:val="21"/>
              </w:rPr>
              <w:t>与项目有关的原有环境污染问题</w:t>
            </w:r>
          </w:p>
        </w:tc>
        <w:tc>
          <w:tcPr>
            <w:tcW w:w="4787" w:type="pct"/>
            <w:vAlign w:val="center"/>
          </w:tcPr>
          <w:p w14:paraId="0C3F86F1">
            <w:pPr>
              <w:pStyle w:val="72"/>
              <w:ind w:firstLine="480"/>
              <w:rPr>
                <w:szCs w:val="21"/>
              </w:rPr>
            </w:pPr>
            <w:r>
              <w:rPr>
                <w:rFonts w:hint="eastAsia"/>
                <w:sz w:val="24"/>
                <w:szCs w:val="24"/>
              </w:rPr>
              <w:t>本项目为新建项目，无与本项目有关的原有环境污染问题。根据现场踏勘，本项目场地曾租用给原山西宝鑫机械设备有限公司使用，该企业2004年建厂，现已注销；场地内地面已全部硬化，留有2座全封闭厂房，场地内无废气、废水、固体废物等遗留环境问题。</w:t>
            </w:r>
          </w:p>
        </w:tc>
      </w:tr>
    </w:tbl>
    <w:p w14:paraId="38C63F68">
      <w:pPr>
        <w:pStyle w:val="15"/>
        <w:spacing w:line="240" w:lineRule="exact"/>
        <w:jc w:val="center"/>
        <w:rPr>
          <w:rFonts w:ascii="Times New Roman" w:hAnsi="Times New Roman"/>
          <w:snapToGrid w:val="0"/>
          <w:sz w:val="36"/>
          <w:szCs w:val="36"/>
        </w:rPr>
        <w:sectPr>
          <w:pgSz w:w="11906" w:h="16838"/>
          <w:pgMar w:top="1701" w:right="1531" w:bottom="1701" w:left="1531" w:header="851" w:footer="851" w:gutter="0"/>
          <w:cols w:space="720" w:num="1"/>
          <w:docGrid w:linePitch="312" w:charSpace="0"/>
        </w:sectPr>
      </w:pPr>
    </w:p>
    <w:p w14:paraId="287B3ED7">
      <w:pPr>
        <w:pStyle w:val="15"/>
        <w:jc w:val="center"/>
        <w:outlineLvl w:val="0"/>
        <w:rPr>
          <w:rFonts w:ascii="Times New Roman" w:hAnsi="Times New Roman"/>
          <w:snapToGrid w:val="0"/>
          <w:sz w:val="30"/>
          <w:szCs w:val="30"/>
        </w:rPr>
      </w:pPr>
      <w:r>
        <w:rPr>
          <w:rFonts w:hint="eastAsia" w:ascii="Times New Roman" w:hAnsi="Times New Roman"/>
          <w:snapToGrid w:val="0"/>
          <w:sz w:val="30"/>
          <w:szCs w:val="30"/>
        </w:rPr>
        <w:t>三、区域环境质量现状、环境保护目标及评价标准</w:t>
      </w:r>
    </w:p>
    <w:tbl>
      <w:tblPr>
        <w:tblStyle w:val="2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8372"/>
      </w:tblGrid>
      <w:tr w14:paraId="0A9A6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00" w:type="dxa"/>
            <w:vAlign w:val="center"/>
          </w:tcPr>
          <w:p w14:paraId="1B269194">
            <w:pPr>
              <w:adjustRightInd w:val="0"/>
              <w:snapToGrid w:val="0"/>
              <w:jc w:val="center"/>
              <w:rPr>
                <w:rFonts w:cs="宋体"/>
                <w:kern w:val="0"/>
                <w:szCs w:val="21"/>
              </w:rPr>
            </w:pPr>
            <w:r>
              <w:rPr>
                <w:rFonts w:hint="eastAsia" w:cs="宋体"/>
                <w:kern w:val="0"/>
                <w:szCs w:val="21"/>
              </w:rPr>
              <w:t>区域</w:t>
            </w:r>
          </w:p>
          <w:p w14:paraId="31AB9B94">
            <w:pPr>
              <w:adjustRightInd w:val="0"/>
              <w:snapToGrid w:val="0"/>
              <w:jc w:val="center"/>
              <w:rPr>
                <w:rFonts w:cs="宋体"/>
                <w:kern w:val="0"/>
                <w:szCs w:val="21"/>
              </w:rPr>
            </w:pPr>
            <w:r>
              <w:rPr>
                <w:rFonts w:hint="eastAsia" w:cs="宋体"/>
                <w:kern w:val="0"/>
                <w:szCs w:val="21"/>
              </w:rPr>
              <w:t>环境</w:t>
            </w:r>
          </w:p>
          <w:p w14:paraId="1F7C5B2D">
            <w:pPr>
              <w:adjustRightInd w:val="0"/>
              <w:snapToGrid w:val="0"/>
              <w:jc w:val="center"/>
              <w:rPr>
                <w:rFonts w:cs="宋体"/>
                <w:kern w:val="0"/>
                <w:szCs w:val="21"/>
              </w:rPr>
            </w:pPr>
            <w:r>
              <w:rPr>
                <w:rFonts w:hint="eastAsia" w:cs="宋体"/>
                <w:kern w:val="0"/>
                <w:szCs w:val="21"/>
              </w:rPr>
              <w:t>质量</w:t>
            </w:r>
          </w:p>
          <w:p w14:paraId="00C2A219">
            <w:pPr>
              <w:adjustRightInd w:val="0"/>
              <w:snapToGrid w:val="0"/>
              <w:jc w:val="center"/>
              <w:rPr>
                <w:rFonts w:cs="宋体"/>
                <w:kern w:val="0"/>
                <w:szCs w:val="21"/>
              </w:rPr>
            </w:pPr>
            <w:r>
              <w:rPr>
                <w:rFonts w:hint="eastAsia" w:cs="宋体"/>
                <w:kern w:val="0"/>
                <w:szCs w:val="21"/>
              </w:rPr>
              <w:t>现状</w:t>
            </w:r>
          </w:p>
        </w:tc>
        <w:tc>
          <w:tcPr>
            <w:tcW w:w="8190" w:type="dxa"/>
            <w:vAlign w:val="center"/>
          </w:tcPr>
          <w:p w14:paraId="45D136E7">
            <w:pPr>
              <w:pStyle w:val="91"/>
              <w:spacing w:before="0" w:after="0" w:line="440" w:lineRule="exact"/>
            </w:pPr>
            <w:r>
              <w:rPr>
                <w:rFonts w:hint="eastAsia"/>
              </w:rPr>
              <w:t>一、大气环境质量现状</w:t>
            </w:r>
          </w:p>
          <w:p w14:paraId="06342100">
            <w:pPr>
              <w:spacing w:line="440" w:lineRule="exact"/>
              <w:ind w:firstLine="480" w:firstLineChars="200"/>
              <w:rPr>
                <w:sz w:val="24"/>
                <w:szCs w:val="32"/>
              </w:rPr>
            </w:pPr>
            <w:r>
              <w:rPr>
                <w:rFonts w:hint="eastAsia"/>
                <w:kern w:val="0"/>
                <w:sz w:val="24"/>
                <w:szCs w:val="22"/>
                <w:lang w:val="zh-CN"/>
              </w:rPr>
              <w:t>1）</w:t>
            </w:r>
            <w:r>
              <w:rPr>
                <w:sz w:val="24"/>
                <w:szCs w:val="32"/>
              </w:rPr>
              <w:t>区域环境空气质量现状调查</w:t>
            </w:r>
          </w:p>
          <w:p w14:paraId="18E2BD37">
            <w:pPr>
              <w:spacing w:line="440" w:lineRule="exact"/>
              <w:ind w:firstLine="480" w:firstLineChars="200"/>
              <w:rPr>
                <w:kern w:val="0"/>
                <w:sz w:val="24"/>
                <w:szCs w:val="22"/>
              </w:rPr>
            </w:pPr>
            <w:r>
              <w:rPr>
                <w:rFonts w:hint="eastAsia"/>
                <w:kern w:val="0"/>
                <w:sz w:val="24"/>
                <w:szCs w:val="22"/>
                <w:lang w:val="zh-CN"/>
              </w:rPr>
              <w:t>本次评价收集了盂县</w:t>
            </w:r>
            <w:r>
              <w:rPr>
                <w:rFonts w:hint="eastAsia"/>
                <w:kern w:val="0"/>
                <w:sz w:val="24"/>
                <w:szCs w:val="22"/>
              </w:rPr>
              <w:t>20</w:t>
            </w:r>
            <w:r>
              <w:rPr>
                <w:kern w:val="0"/>
                <w:sz w:val="24"/>
                <w:szCs w:val="22"/>
              </w:rPr>
              <w:t>2</w:t>
            </w:r>
            <w:r>
              <w:rPr>
                <w:rFonts w:hint="eastAsia"/>
                <w:kern w:val="0"/>
                <w:sz w:val="24"/>
                <w:szCs w:val="22"/>
              </w:rPr>
              <w:t>5</w:t>
            </w:r>
            <w:r>
              <w:rPr>
                <w:rFonts w:hint="eastAsia"/>
                <w:kern w:val="0"/>
                <w:sz w:val="24"/>
                <w:szCs w:val="22"/>
                <w:lang w:val="zh-CN"/>
              </w:rPr>
              <w:t>年环境空气质量例行监测资料</w:t>
            </w:r>
            <w:r>
              <w:rPr>
                <w:rFonts w:hint="eastAsia"/>
                <w:kern w:val="0"/>
                <w:sz w:val="24"/>
                <w:szCs w:val="22"/>
              </w:rPr>
              <w:t>，</w:t>
            </w:r>
            <w:r>
              <w:rPr>
                <w:rFonts w:hint="eastAsia"/>
                <w:kern w:val="0"/>
                <w:sz w:val="24"/>
                <w:szCs w:val="22"/>
                <w:lang w:val="zh-CN"/>
              </w:rPr>
              <w:t>监测结果统计见下表。</w:t>
            </w:r>
          </w:p>
          <w:p w14:paraId="4D81B402">
            <w:pPr>
              <w:pStyle w:val="49"/>
              <w:numPr>
                <w:ilvl w:val="0"/>
                <w:numId w:val="0"/>
              </w:numPr>
              <w:spacing w:line="240" w:lineRule="auto"/>
              <w:rPr>
                <w:rFonts w:cs="黑体"/>
                <w:sz w:val="24"/>
              </w:rPr>
            </w:pPr>
            <w:r>
              <w:rPr>
                <w:rFonts w:hint="eastAsia" w:cs="黑体"/>
                <w:sz w:val="24"/>
              </w:rPr>
              <w:t>表3-1  基本污染物环境质量现状</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0"/>
              <w:gridCol w:w="1120"/>
              <w:gridCol w:w="1846"/>
              <w:gridCol w:w="1152"/>
              <w:gridCol w:w="1269"/>
              <w:gridCol w:w="947"/>
              <w:gridCol w:w="932"/>
            </w:tblGrid>
            <w:tr w14:paraId="5850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540" w:type="pct"/>
                  <w:tcBorders>
                    <w:top w:val="single" w:color="auto" w:sz="4" w:space="0"/>
                    <w:left w:val="single" w:color="auto" w:sz="4" w:space="0"/>
                    <w:bottom w:val="single" w:color="auto" w:sz="4" w:space="0"/>
                    <w:right w:val="single" w:color="auto" w:sz="4" w:space="0"/>
                  </w:tcBorders>
                  <w:vAlign w:val="center"/>
                </w:tcPr>
                <w:p w14:paraId="03E38014">
                  <w:pPr>
                    <w:pStyle w:val="52"/>
                    <w:spacing w:line="300" w:lineRule="exact"/>
                  </w:pPr>
                  <w:r>
                    <w:rPr>
                      <w:lang w:bidi="ar"/>
                    </w:rPr>
                    <w:t>监测点位</w:t>
                  </w:r>
                </w:p>
              </w:tc>
              <w:tc>
                <w:tcPr>
                  <w:tcW w:w="687" w:type="pct"/>
                  <w:tcBorders>
                    <w:top w:val="single" w:color="auto" w:sz="4" w:space="0"/>
                    <w:left w:val="single" w:color="auto" w:sz="4" w:space="0"/>
                    <w:bottom w:val="single" w:color="auto" w:sz="4" w:space="0"/>
                    <w:right w:val="single" w:color="auto" w:sz="4" w:space="0"/>
                  </w:tcBorders>
                  <w:vAlign w:val="center"/>
                </w:tcPr>
                <w:p w14:paraId="49B54074">
                  <w:pPr>
                    <w:pStyle w:val="52"/>
                    <w:spacing w:line="300" w:lineRule="exact"/>
                  </w:pPr>
                  <w:r>
                    <w:rPr>
                      <w:lang w:bidi="ar"/>
                    </w:rPr>
                    <w:t>污染物</w:t>
                  </w:r>
                </w:p>
              </w:tc>
              <w:tc>
                <w:tcPr>
                  <w:tcW w:w="1133" w:type="pct"/>
                  <w:tcBorders>
                    <w:top w:val="single" w:color="auto" w:sz="4" w:space="0"/>
                    <w:left w:val="single" w:color="auto" w:sz="4" w:space="0"/>
                    <w:bottom w:val="single" w:color="auto" w:sz="4" w:space="0"/>
                    <w:right w:val="single" w:color="auto" w:sz="4" w:space="0"/>
                  </w:tcBorders>
                  <w:vAlign w:val="center"/>
                </w:tcPr>
                <w:p w14:paraId="49767D07">
                  <w:pPr>
                    <w:pStyle w:val="52"/>
                    <w:spacing w:line="300" w:lineRule="exact"/>
                  </w:pPr>
                  <w:r>
                    <w:rPr>
                      <w:lang w:bidi="ar"/>
                    </w:rPr>
                    <w:t>年评价指标</w:t>
                  </w:r>
                </w:p>
              </w:tc>
              <w:tc>
                <w:tcPr>
                  <w:tcW w:w="707" w:type="pct"/>
                  <w:tcBorders>
                    <w:top w:val="single" w:color="auto" w:sz="4" w:space="0"/>
                    <w:left w:val="single" w:color="auto" w:sz="4" w:space="0"/>
                    <w:bottom w:val="single" w:color="auto" w:sz="4" w:space="0"/>
                    <w:right w:val="single" w:color="auto" w:sz="4" w:space="0"/>
                  </w:tcBorders>
                  <w:vAlign w:val="center"/>
                </w:tcPr>
                <w:p w14:paraId="61A75C0B">
                  <w:pPr>
                    <w:pStyle w:val="52"/>
                    <w:spacing w:line="300" w:lineRule="exact"/>
                    <w:rPr>
                      <w:lang w:bidi="ar"/>
                    </w:rPr>
                  </w:pPr>
                  <w:r>
                    <w:rPr>
                      <w:lang w:bidi="ar"/>
                    </w:rPr>
                    <w:t>现状浓度</w:t>
                  </w:r>
                  <w:r>
                    <w:rPr>
                      <w:rFonts w:hint="eastAsia"/>
                      <w:lang w:bidi="ar"/>
                    </w:rPr>
                    <w:t>（</w:t>
                  </w:r>
                  <w:r>
                    <w:rPr>
                      <w:lang w:bidi="ar"/>
                    </w:rPr>
                    <w:t>μg/m</w:t>
                  </w:r>
                  <w:r>
                    <w:rPr>
                      <w:vertAlign w:val="superscript"/>
                      <w:lang w:bidi="ar"/>
                    </w:rPr>
                    <w:t>3</w:t>
                  </w:r>
                  <w:r>
                    <w:rPr>
                      <w:rFonts w:hint="eastAsia"/>
                      <w:lang w:bidi="ar"/>
                    </w:rPr>
                    <w:t>）</w:t>
                  </w:r>
                </w:p>
              </w:tc>
              <w:tc>
                <w:tcPr>
                  <w:tcW w:w="779" w:type="pct"/>
                  <w:tcBorders>
                    <w:top w:val="single" w:color="auto" w:sz="4" w:space="0"/>
                    <w:left w:val="single" w:color="auto" w:sz="4" w:space="0"/>
                    <w:bottom w:val="single" w:color="auto" w:sz="4" w:space="0"/>
                    <w:right w:val="single" w:color="auto" w:sz="4" w:space="0"/>
                  </w:tcBorders>
                  <w:vAlign w:val="center"/>
                </w:tcPr>
                <w:p w14:paraId="6C82FE6A">
                  <w:pPr>
                    <w:pStyle w:val="52"/>
                    <w:spacing w:line="300" w:lineRule="exact"/>
                  </w:pPr>
                  <w:r>
                    <w:rPr>
                      <w:lang w:bidi="ar"/>
                    </w:rPr>
                    <w:t>评价标准</w:t>
                  </w:r>
                  <w:r>
                    <w:rPr>
                      <w:rFonts w:hint="eastAsia"/>
                      <w:lang w:bidi="ar"/>
                    </w:rPr>
                    <w:t>（</w:t>
                  </w:r>
                  <w:r>
                    <w:rPr>
                      <w:lang w:bidi="ar"/>
                    </w:rPr>
                    <w:t>μg/m</w:t>
                  </w:r>
                  <w:r>
                    <w:rPr>
                      <w:vertAlign w:val="superscript"/>
                      <w:lang w:bidi="ar"/>
                    </w:rPr>
                    <w:t>3</w:t>
                  </w:r>
                  <w:r>
                    <w:rPr>
                      <w:rFonts w:hint="eastAsia"/>
                      <w:lang w:bidi="ar"/>
                    </w:rPr>
                    <w:t>）</w:t>
                  </w:r>
                </w:p>
              </w:tc>
              <w:tc>
                <w:tcPr>
                  <w:tcW w:w="581" w:type="pct"/>
                  <w:tcBorders>
                    <w:top w:val="single" w:color="auto" w:sz="4" w:space="0"/>
                    <w:left w:val="single" w:color="auto" w:sz="4" w:space="0"/>
                    <w:bottom w:val="single" w:color="auto" w:sz="4" w:space="0"/>
                    <w:right w:val="single" w:color="auto" w:sz="4" w:space="0"/>
                  </w:tcBorders>
                  <w:vAlign w:val="center"/>
                </w:tcPr>
                <w:p w14:paraId="78672257">
                  <w:pPr>
                    <w:pStyle w:val="52"/>
                    <w:spacing w:line="300" w:lineRule="exact"/>
                  </w:pPr>
                  <w:r>
                    <w:rPr>
                      <w:lang w:bidi="ar"/>
                    </w:rPr>
                    <w:t>占标率%</w:t>
                  </w:r>
                </w:p>
              </w:tc>
              <w:tc>
                <w:tcPr>
                  <w:tcW w:w="572" w:type="pct"/>
                  <w:tcBorders>
                    <w:top w:val="single" w:color="auto" w:sz="4" w:space="0"/>
                    <w:left w:val="single" w:color="auto" w:sz="4" w:space="0"/>
                    <w:bottom w:val="single" w:color="auto" w:sz="4" w:space="0"/>
                    <w:right w:val="single" w:color="auto" w:sz="4" w:space="0"/>
                  </w:tcBorders>
                  <w:vAlign w:val="center"/>
                </w:tcPr>
                <w:p w14:paraId="279D4AEF">
                  <w:pPr>
                    <w:pStyle w:val="52"/>
                    <w:spacing w:line="300" w:lineRule="exact"/>
                  </w:pPr>
                  <w:r>
                    <w:rPr>
                      <w:lang w:bidi="ar"/>
                    </w:rPr>
                    <w:t>达标情况</w:t>
                  </w:r>
                </w:p>
              </w:tc>
            </w:tr>
            <w:tr w14:paraId="4FFC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 w:hRule="atLeast"/>
                <w:jc w:val="center"/>
              </w:trPr>
              <w:tc>
                <w:tcPr>
                  <w:tcW w:w="540" w:type="pct"/>
                  <w:vMerge w:val="restart"/>
                  <w:tcBorders>
                    <w:top w:val="single" w:color="auto" w:sz="4" w:space="0"/>
                    <w:left w:val="single" w:color="auto" w:sz="4" w:space="0"/>
                    <w:bottom w:val="single" w:color="auto" w:sz="4" w:space="0"/>
                    <w:right w:val="single" w:color="auto" w:sz="4" w:space="0"/>
                  </w:tcBorders>
                  <w:vAlign w:val="center"/>
                </w:tcPr>
                <w:p w14:paraId="223A4993">
                  <w:pPr>
                    <w:pStyle w:val="52"/>
                    <w:spacing w:line="300" w:lineRule="exact"/>
                  </w:pPr>
                  <w:r>
                    <w:rPr>
                      <w:lang w:bidi="ar"/>
                    </w:rPr>
                    <w:t>盂县</w:t>
                  </w:r>
                </w:p>
              </w:tc>
              <w:tc>
                <w:tcPr>
                  <w:tcW w:w="687" w:type="pct"/>
                  <w:tcBorders>
                    <w:top w:val="single" w:color="auto" w:sz="4" w:space="0"/>
                    <w:left w:val="single" w:color="auto" w:sz="4" w:space="0"/>
                    <w:bottom w:val="single" w:color="auto" w:sz="4" w:space="0"/>
                    <w:right w:val="single" w:color="auto" w:sz="4" w:space="0"/>
                  </w:tcBorders>
                  <w:vAlign w:val="center"/>
                </w:tcPr>
                <w:p w14:paraId="31254D37">
                  <w:pPr>
                    <w:pStyle w:val="52"/>
                    <w:spacing w:line="300" w:lineRule="exact"/>
                  </w:pPr>
                  <w:r>
                    <w:rPr>
                      <w:lang w:bidi="ar"/>
                    </w:rPr>
                    <w:t>SO</w:t>
                  </w:r>
                  <w:r>
                    <w:rPr>
                      <w:vertAlign w:val="subscript"/>
                      <w:lang w:bidi="ar"/>
                    </w:rPr>
                    <w:t>2</w:t>
                  </w:r>
                </w:p>
              </w:tc>
              <w:tc>
                <w:tcPr>
                  <w:tcW w:w="1133" w:type="pct"/>
                  <w:tcBorders>
                    <w:top w:val="single" w:color="auto" w:sz="4" w:space="0"/>
                    <w:left w:val="single" w:color="auto" w:sz="4" w:space="0"/>
                    <w:bottom w:val="single" w:color="auto" w:sz="4" w:space="0"/>
                    <w:right w:val="single" w:color="auto" w:sz="4" w:space="0"/>
                  </w:tcBorders>
                  <w:vAlign w:val="center"/>
                </w:tcPr>
                <w:p w14:paraId="7F101563">
                  <w:pPr>
                    <w:pStyle w:val="52"/>
                    <w:spacing w:line="300" w:lineRule="exact"/>
                  </w:pPr>
                  <w:r>
                    <w:rPr>
                      <w:lang w:bidi="ar"/>
                    </w:rPr>
                    <w:t>年平均质量浓度</w:t>
                  </w:r>
                </w:p>
              </w:tc>
              <w:tc>
                <w:tcPr>
                  <w:tcW w:w="707" w:type="pct"/>
                  <w:tcBorders>
                    <w:top w:val="single" w:color="auto" w:sz="4" w:space="0"/>
                    <w:left w:val="single" w:color="auto" w:sz="4" w:space="0"/>
                    <w:bottom w:val="single" w:color="auto" w:sz="4" w:space="0"/>
                    <w:right w:val="single" w:color="auto" w:sz="4" w:space="0"/>
                  </w:tcBorders>
                  <w:vAlign w:val="center"/>
                </w:tcPr>
                <w:p w14:paraId="27117213">
                  <w:pPr>
                    <w:pStyle w:val="52"/>
                    <w:spacing w:line="300" w:lineRule="exact"/>
                    <w:rPr>
                      <w:lang w:bidi="ar"/>
                    </w:rPr>
                  </w:pPr>
                  <w:r>
                    <w:rPr>
                      <w:rFonts w:hint="eastAsia"/>
                      <w:lang w:bidi="ar"/>
                    </w:rPr>
                    <w:t>17</w:t>
                  </w:r>
                </w:p>
              </w:tc>
              <w:tc>
                <w:tcPr>
                  <w:tcW w:w="779" w:type="pct"/>
                  <w:tcBorders>
                    <w:top w:val="single" w:color="auto" w:sz="4" w:space="0"/>
                    <w:left w:val="single" w:color="auto" w:sz="4" w:space="0"/>
                    <w:bottom w:val="single" w:color="auto" w:sz="4" w:space="0"/>
                    <w:right w:val="single" w:color="auto" w:sz="4" w:space="0"/>
                  </w:tcBorders>
                  <w:vAlign w:val="center"/>
                </w:tcPr>
                <w:p w14:paraId="63520729">
                  <w:pPr>
                    <w:pStyle w:val="52"/>
                    <w:spacing w:line="300" w:lineRule="exact"/>
                  </w:pPr>
                  <w:r>
                    <w:rPr>
                      <w:lang w:bidi="ar"/>
                    </w:rPr>
                    <w:t>60</w:t>
                  </w:r>
                </w:p>
              </w:tc>
              <w:tc>
                <w:tcPr>
                  <w:tcW w:w="581" w:type="pct"/>
                  <w:tcBorders>
                    <w:top w:val="single" w:color="auto" w:sz="4" w:space="0"/>
                    <w:left w:val="single" w:color="auto" w:sz="4" w:space="0"/>
                    <w:bottom w:val="single" w:color="auto" w:sz="4" w:space="0"/>
                    <w:right w:val="single" w:color="auto" w:sz="4" w:space="0"/>
                  </w:tcBorders>
                  <w:vAlign w:val="center"/>
                </w:tcPr>
                <w:p w14:paraId="5CE99BF1">
                  <w:pPr>
                    <w:pStyle w:val="52"/>
                    <w:spacing w:line="300" w:lineRule="exact"/>
                  </w:pPr>
                  <w:r>
                    <w:rPr>
                      <w:rFonts w:hint="eastAsia"/>
                      <w:lang w:bidi="ar"/>
                    </w:rPr>
                    <w:t>28.3</w:t>
                  </w:r>
                </w:p>
              </w:tc>
              <w:tc>
                <w:tcPr>
                  <w:tcW w:w="572" w:type="pct"/>
                  <w:tcBorders>
                    <w:top w:val="single" w:color="auto" w:sz="4" w:space="0"/>
                    <w:left w:val="single" w:color="auto" w:sz="4" w:space="0"/>
                    <w:bottom w:val="single" w:color="auto" w:sz="4" w:space="0"/>
                    <w:right w:val="single" w:color="auto" w:sz="4" w:space="0"/>
                  </w:tcBorders>
                  <w:vAlign w:val="center"/>
                </w:tcPr>
                <w:p w14:paraId="0910438C">
                  <w:pPr>
                    <w:pStyle w:val="52"/>
                    <w:spacing w:line="300" w:lineRule="exact"/>
                  </w:pPr>
                  <w:r>
                    <w:rPr>
                      <w:lang w:bidi="ar"/>
                    </w:rPr>
                    <w:t>达标</w:t>
                  </w:r>
                </w:p>
              </w:tc>
            </w:tr>
            <w:tr w14:paraId="1174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40" w:type="pct"/>
                  <w:vMerge w:val="continue"/>
                  <w:tcBorders>
                    <w:top w:val="single" w:color="auto" w:sz="4" w:space="0"/>
                    <w:left w:val="single" w:color="auto" w:sz="4" w:space="0"/>
                    <w:bottom w:val="single" w:color="auto" w:sz="4" w:space="0"/>
                    <w:right w:val="single" w:color="auto" w:sz="4" w:space="0"/>
                  </w:tcBorders>
                  <w:vAlign w:val="center"/>
                </w:tcPr>
                <w:p w14:paraId="11BBED8C">
                  <w:pPr>
                    <w:pStyle w:val="52"/>
                    <w:spacing w:line="300" w:lineRule="exact"/>
                  </w:pPr>
                </w:p>
              </w:tc>
              <w:tc>
                <w:tcPr>
                  <w:tcW w:w="687" w:type="pct"/>
                  <w:tcBorders>
                    <w:top w:val="single" w:color="auto" w:sz="4" w:space="0"/>
                    <w:left w:val="single" w:color="auto" w:sz="4" w:space="0"/>
                    <w:bottom w:val="single" w:color="auto" w:sz="4" w:space="0"/>
                    <w:right w:val="single" w:color="auto" w:sz="4" w:space="0"/>
                  </w:tcBorders>
                  <w:vAlign w:val="center"/>
                </w:tcPr>
                <w:p w14:paraId="7194D3D8">
                  <w:pPr>
                    <w:pStyle w:val="52"/>
                    <w:spacing w:line="300" w:lineRule="exact"/>
                  </w:pPr>
                  <w:r>
                    <w:rPr>
                      <w:lang w:bidi="ar"/>
                    </w:rPr>
                    <w:t>NO</w:t>
                  </w:r>
                  <w:r>
                    <w:rPr>
                      <w:vertAlign w:val="subscript"/>
                      <w:lang w:bidi="ar"/>
                    </w:rPr>
                    <w:t>2</w:t>
                  </w:r>
                </w:p>
              </w:tc>
              <w:tc>
                <w:tcPr>
                  <w:tcW w:w="1133" w:type="pct"/>
                  <w:tcBorders>
                    <w:top w:val="single" w:color="auto" w:sz="4" w:space="0"/>
                    <w:left w:val="single" w:color="auto" w:sz="4" w:space="0"/>
                    <w:bottom w:val="single" w:color="auto" w:sz="4" w:space="0"/>
                    <w:right w:val="single" w:color="auto" w:sz="4" w:space="0"/>
                  </w:tcBorders>
                  <w:vAlign w:val="center"/>
                </w:tcPr>
                <w:p w14:paraId="75900A50">
                  <w:pPr>
                    <w:pStyle w:val="52"/>
                    <w:spacing w:line="300" w:lineRule="exact"/>
                  </w:pPr>
                  <w:r>
                    <w:rPr>
                      <w:lang w:bidi="ar"/>
                    </w:rPr>
                    <w:t>年平均质量浓度</w:t>
                  </w:r>
                </w:p>
              </w:tc>
              <w:tc>
                <w:tcPr>
                  <w:tcW w:w="707" w:type="pct"/>
                  <w:tcBorders>
                    <w:top w:val="single" w:color="auto" w:sz="4" w:space="0"/>
                    <w:left w:val="single" w:color="auto" w:sz="4" w:space="0"/>
                    <w:bottom w:val="single" w:color="auto" w:sz="4" w:space="0"/>
                    <w:right w:val="single" w:color="auto" w:sz="4" w:space="0"/>
                  </w:tcBorders>
                  <w:vAlign w:val="center"/>
                </w:tcPr>
                <w:p w14:paraId="31E8A137">
                  <w:pPr>
                    <w:pStyle w:val="52"/>
                    <w:spacing w:line="300" w:lineRule="exact"/>
                    <w:rPr>
                      <w:lang w:bidi="ar"/>
                    </w:rPr>
                  </w:pPr>
                  <w:r>
                    <w:rPr>
                      <w:rFonts w:hint="eastAsia"/>
                      <w:lang w:bidi="ar"/>
                    </w:rPr>
                    <w:t>26</w:t>
                  </w:r>
                </w:p>
              </w:tc>
              <w:tc>
                <w:tcPr>
                  <w:tcW w:w="779" w:type="pct"/>
                  <w:tcBorders>
                    <w:top w:val="single" w:color="auto" w:sz="4" w:space="0"/>
                    <w:left w:val="single" w:color="auto" w:sz="4" w:space="0"/>
                    <w:bottom w:val="single" w:color="auto" w:sz="4" w:space="0"/>
                    <w:right w:val="single" w:color="auto" w:sz="4" w:space="0"/>
                  </w:tcBorders>
                  <w:vAlign w:val="center"/>
                </w:tcPr>
                <w:p w14:paraId="447D8216">
                  <w:pPr>
                    <w:pStyle w:val="52"/>
                    <w:spacing w:line="300" w:lineRule="exact"/>
                  </w:pPr>
                  <w:r>
                    <w:rPr>
                      <w:lang w:bidi="ar"/>
                    </w:rPr>
                    <w:t>40</w:t>
                  </w:r>
                </w:p>
              </w:tc>
              <w:tc>
                <w:tcPr>
                  <w:tcW w:w="581" w:type="pct"/>
                  <w:tcBorders>
                    <w:top w:val="single" w:color="auto" w:sz="4" w:space="0"/>
                    <w:left w:val="single" w:color="auto" w:sz="4" w:space="0"/>
                    <w:bottom w:val="single" w:color="auto" w:sz="4" w:space="0"/>
                    <w:right w:val="single" w:color="auto" w:sz="4" w:space="0"/>
                  </w:tcBorders>
                  <w:vAlign w:val="center"/>
                </w:tcPr>
                <w:p w14:paraId="1DF46E4B">
                  <w:pPr>
                    <w:pStyle w:val="52"/>
                    <w:spacing w:line="300" w:lineRule="exact"/>
                  </w:pPr>
                  <w:r>
                    <w:rPr>
                      <w:rFonts w:hint="eastAsia"/>
                      <w:lang w:bidi="ar"/>
                    </w:rPr>
                    <w:t>65.0</w:t>
                  </w:r>
                </w:p>
              </w:tc>
              <w:tc>
                <w:tcPr>
                  <w:tcW w:w="572" w:type="pct"/>
                  <w:tcBorders>
                    <w:top w:val="single" w:color="auto" w:sz="4" w:space="0"/>
                    <w:left w:val="single" w:color="auto" w:sz="4" w:space="0"/>
                    <w:bottom w:val="single" w:color="auto" w:sz="4" w:space="0"/>
                    <w:right w:val="single" w:color="auto" w:sz="4" w:space="0"/>
                  </w:tcBorders>
                  <w:vAlign w:val="center"/>
                </w:tcPr>
                <w:p w14:paraId="45380717">
                  <w:pPr>
                    <w:pStyle w:val="52"/>
                    <w:spacing w:line="300" w:lineRule="exact"/>
                  </w:pPr>
                  <w:r>
                    <w:rPr>
                      <w:lang w:bidi="ar"/>
                    </w:rPr>
                    <w:t>达标</w:t>
                  </w:r>
                </w:p>
              </w:tc>
            </w:tr>
            <w:tr w14:paraId="424A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40" w:type="pct"/>
                  <w:vMerge w:val="continue"/>
                  <w:tcBorders>
                    <w:top w:val="single" w:color="auto" w:sz="4" w:space="0"/>
                    <w:left w:val="single" w:color="auto" w:sz="4" w:space="0"/>
                    <w:bottom w:val="single" w:color="auto" w:sz="4" w:space="0"/>
                    <w:right w:val="single" w:color="auto" w:sz="4" w:space="0"/>
                  </w:tcBorders>
                  <w:vAlign w:val="center"/>
                </w:tcPr>
                <w:p w14:paraId="4BE8F9E5">
                  <w:pPr>
                    <w:pStyle w:val="52"/>
                    <w:spacing w:line="300" w:lineRule="exact"/>
                  </w:pPr>
                </w:p>
              </w:tc>
              <w:tc>
                <w:tcPr>
                  <w:tcW w:w="687" w:type="pct"/>
                  <w:tcBorders>
                    <w:top w:val="single" w:color="auto" w:sz="4" w:space="0"/>
                    <w:left w:val="single" w:color="auto" w:sz="4" w:space="0"/>
                    <w:bottom w:val="single" w:color="auto" w:sz="4" w:space="0"/>
                    <w:right w:val="single" w:color="auto" w:sz="4" w:space="0"/>
                  </w:tcBorders>
                  <w:vAlign w:val="center"/>
                </w:tcPr>
                <w:p w14:paraId="43C79CCF">
                  <w:pPr>
                    <w:pStyle w:val="52"/>
                    <w:spacing w:line="300" w:lineRule="exact"/>
                  </w:pPr>
                  <w:r>
                    <w:rPr>
                      <w:lang w:bidi="ar"/>
                    </w:rPr>
                    <w:t>PM</w:t>
                  </w:r>
                  <w:r>
                    <w:rPr>
                      <w:vertAlign w:val="subscript"/>
                      <w:lang w:bidi="ar"/>
                    </w:rPr>
                    <w:t>10</w:t>
                  </w:r>
                </w:p>
              </w:tc>
              <w:tc>
                <w:tcPr>
                  <w:tcW w:w="1133" w:type="pct"/>
                  <w:tcBorders>
                    <w:top w:val="single" w:color="auto" w:sz="4" w:space="0"/>
                    <w:left w:val="single" w:color="auto" w:sz="4" w:space="0"/>
                    <w:bottom w:val="single" w:color="auto" w:sz="4" w:space="0"/>
                    <w:right w:val="single" w:color="auto" w:sz="4" w:space="0"/>
                  </w:tcBorders>
                  <w:vAlign w:val="center"/>
                </w:tcPr>
                <w:p w14:paraId="5BD78A23">
                  <w:pPr>
                    <w:pStyle w:val="52"/>
                    <w:spacing w:line="300" w:lineRule="exact"/>
                  </w:pPr>
                  <w:r>
                    <w:rPr>
                      <w:lang w:bidi="ar"/>
                    </w:rPr>
                    <w:t>年平均质量浓度</w:t>
                  </w:r>
                </w:p>
              </w:tc>
              <w:tc>
                <w:tcPr>
                  <w:tcW w:w="707" w:type="pct"/>
                  <w:tcBorders>
                    <w:top w:val="single" w:color="auto" w:sz="4" w:space="0"/>
                    <w:left w:val="single" w:color="auto" w:sz="4" w:space="0"/>
                    <w:bottom w:val="single" w:color="auto" w:sz="4" w:space="0"/>
                    <w:right w:val="single" w:color="auto" w:sz="4" w:space="0"/>
                  </w:tcBorders>
                  <w:vAlign w:val="center"/>
                </w:tcPr>
                <w:p w14:paraId="76DB51DB">
                  <w:pPr>
                    <w:pStyle w:val="52"/>
                    <w:spacing w:line="300" w:lineRule="exact"/>
                    <w:rPr>
                      <w:lang w:bidi="ar"/>
                    </w:rPr>
                  </w:pPr>
                  <w:r>
                    <w:rPr>
                      <w:rFonts w:hint="eastAsia"/>
                      <w:lang w:bidi="ar"/>
                    </w:rPr>
                    <w:t>66</w:t>
                  </w:r>
                </w:p>
              </w:tc>
              <w:tc>
                <w:tcPr>
                  <w:tcW w:w="779" w:type="pct"/>
                  <w:tcBorders>
                    <w:top w:val="single" w:color="auto" w:sz="4" w:space="0"/>
                    <w:left w:val="single" w:color="auto" w:sz="4" w:space="0"/>
                    <w:bottom w:val="single" w:color="auto" w:sz="4" w:space="0"/>
                    <w:right w:val="single" w:color="auto" w:sz="4" w:space="0"/>
                  </w:tcBorders>
                  <w:vAlign w:val="center"/>
                </w:tcPr>
                <w:p w14:paraId="56E02309">
                  <w:pPr>
                    <w:pStyle w:val="52"/>
                    <w:spacing w:line="300" w:lineRule="exact"/>
                  </w:pPr>
                  <w:r>
                    <w:rPr>
                      <w:rFonts w:hint="eastAsia"/>
                      <w:lang w:bidi="ar"/>
                    </w:rPr>
                    <w:t>70</w:t>
                  </w:r>
                </w:p>
              </w:tc>
              <w:tc>
                <w:tcPr>
                  <w:tcW w:w="581" w:type="pct"/>
                  <w:tcBorders>
                    <w:top w:val="single" w:color="auto" w:sz="4" w:space="0"/>
                    <w:left w:val="single" w:color="auto" w:sz="4" w:space="0"/>
                    <w:bottom w:val="single" w:color="auto" w:sz="4" w:space="0"/>
                    <w:right w:val="single" w:color="auto" w:sz="4" w:space="0"/>
                  </w:tcBorders>
                  <w:vAlign w:val="center"/>
                </w:tcPr>
                <w:p w14:paraId="6FAD006F">
                  <w:pPr>
                    <w:pStyle w:val="52"/>
                    <w:spacing w:line="300" w:lineRule="exact"/>
                  </w:pPr>
                  <w:r>
                    <w:rPr>
                      <w:rFonts w:hint="eastAsia"/>
                      <w:lang w:bidi="ar"/>
                    </w:rPr>
                    <w:t>94.3</w:t>
                  </w:r>
                </w:p>
              </w:tc>
              <w:tc>
                <w:tcPr>
                  <w:tcW w:w="572" w:type="pct"/>
                  <w:tcBorders>
                    <w:top w:val="single" w:color="auto" w:sz="4" w:space="0"/>
                    <w:left w:val="single" w:color="auto" w:sz="4" w:space="0"/>
                    <w:bottom w:val="single" w:color="auto" w:sz="4" w:space="0"/>
                    <w:right w:val="single" w:color="auto" w:sz="4" w:space="0"/>
                  </w:tcBorders>
                  <w:vAlign w:val="center"/>
                </w:tcPr>
                <w:p w14:paraId="5AF69F4E">
                  <w:pPr>
                    <w:pStyle w:val="52"/>
                    <w:spacing w:line="300" w:lineRule="exact"/>
                  </w:pPr>
                  <w:r>
                    <w:rPr>
                      <w:rFonts w:hint="eastAsia"/>
                      <w:lang w:bidi="ar"/>
                    </w:rPr>
                    <w:t>达标</w:t>
                  </w:r>
                </w:p>
              </w:tc>
            </w:tr>
            <w:tr w14:paraId="732D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40" w:type="pct"/>
                  <w:vMerge w:val="continue"/>
                  <w:tcBorders>
                    <w:top w:val="single" w:color="auto" w:sz="4" w:space="0"/>
                    <w:left w:val="single" w:color="auto" w:sz="4" w:space="0"/>
                    <w:bottom w:val="single" w:color="auto" w:sz="4" w:space="0"/>
                    <w:right w:val="single" w:color="auto" w:sz="4" w:space="0"/>
                  </w:tcBorders>
                  <w:vAlign w:val="center"/>
                </w:tcPr>
                <w:p w14:paraId="375D0A92">
                  <w:pPr>
                    <w:pStyle w:val="52"/>
                    <w:spacing w:line="300" w:lineRule="exact"/>
                  </w:pPr>
                </w:p>
              </w:tc>
              <w:tc>
                <w:tcPr>
                  <w:tcW w:w="687" w:type="pct"/>
                  <w:tcBorders>
                    <w:top w:val="single" w:color="auto" w:sz="4" w:space="0"/>
                    <w:left w:val="single" w:color="auto" w:sz="4" w:space="0"/>
                    <w:bottom w:val="single" w:color="auto" w:sz="4" w:space="0"/>
                    <w:right w:val="single" w:color="auto" w:sz="4" w:space="0"/>
                  </w:tcBorders>
                  <w:vAlign w:val="center"/>
                </w:tcPr>
                <w:p w14:paraId="076B6786">
                  <w:pPr>
                    <w:pStyle w:val="52"/>
                    <w:spacing w:line="300" w:lineRule="exact"/>
                  </w:pPr>
                  <w:r>
                    <w:rPr>
                      <w:lang w:bidi="ar"/>
                    </w:rPr>
                    <w:t>PM</w:t>
                  </w:r>
                  <w:r>
                    <w:rPr>
                      <w:vertAlign w:val="subscript"/>
                      <w:lang w:bidi="ar"/>
                    </w:rPr>
                    <w:t>2.5</w:t>
                  </w:r>
                </w:p>
              </w:tc>
              <w:tc>
                <w:tcPr>
                  <w:tcW w:w="1133" w:type="pct"/>
                  <w:tcBorders>
                    <w:top w:val="single" w:color="auto" w:sz="4" w:space="0"/>
                    <w:left w:val="single" w:color="auto" w:sz="4" w:space="0"/>
                    <w:bottom w:val="single" w:color="auto" w:sz="4" w:space="0"/>
                    <w:right w:val="single" w:color="auto" w:sz="4" w:space="0"/>
                  </w:tcBorders>
                  <w:vAlign w:val="center"/>
                </w:tcPr>
                <w:p w14:paraId="3E6F230C">
                  <w:pPr>
                    <w:pStyle w:val="52"/>
                    <w:spacing w:line="300" w:lineRule="exact"/>
                  </w:pPr>
                  <w:r>
                    <w:rPr>
                      <w:lang w:bidi="ar"/>
                    </w:rPr>
                    <w:t>年平均质量浓度</w:t>
                  </w:r>
                </w:p>
              </w:tc>
              <w:tc>
                <w:tcPr>
                  <w:tcW w:w="707" w:type="pct"/>
                  <w:tcBorders>
                    <w:top w:val="single" w:color="auto" w:sz="4" w:space="0"/>
                    <w:left w:val="single" w:color="auto" w:sz="4" w:space="0"/>
                    <w:bottom w:val="single" w:color="auto" w:sz="4" w:space="0"/>
                    <w:right w:val="single" w:color="auto" w:sz="4" w:space="0"/>
                  </w:tcBorders>
                  <w:vAlign w:val="center"/>
                </w:tcPr>
                <w:p w14:paraId="48A05302">
                  <w:pPr>
                    <w:pStyle w:val="52"/>
                    <w:spacing w:line="300" w:lineRule="exact"/>
                    <w:rPr>
                      <w:lang w:bidi="ar"/>
                    </w:rPr>
                  </w:pPr>
                  <w:r>
                    <w:rPr>
                      <w:rFonts w:hint="eastAsia"/>
                      <w:lang w:bidi="ar"/>
                    </w:rPr>
                    <w:t>27</w:t>
                  </w:r>
                </w:p>
              </w:tc>
              <w:tc>
                <w:tcPr>
                  <w:tcW w:w="779" w:type="pct"/>
                  <w:tcBorders>
                    <w:top w:val="single" w:color="auto" w:sz="4" w:space="0"/>
                    <w:left w:val="single" w:color="auto" w:sz="4" w:space="0"/>
                    <w:bottom w:val="single" w:color="auto" w:sz="4" w:space="0"/>
                    <w:right w:val="single" w:color="auto" w:sz="4" w:space="0"/>
                  </w:tcBorders>
                  <w:vAlign w:val="center"/>
                </w:tcPr>
                <w:p w14:paraId="499D50CA">
                  <w:pPr>
                    <w:pStyle w:val="52"/>
                    <w:spacing w:line="300" w:lineRule="exact"/>
                  </w:pPr>
                  <w:r>
                    <w:rPr>
                      <w:rFonts w:hint="eastAsia"/>
                      <w:lang w:bidi="ar"/>
                    </w:rPr>
                    <w:t>35</w:t>
                  </w:r>
                </w:p>
              </w:tc>
              <w:tc>
                <w:tcPr>
                  <w:tcW w:w="581" w:type="pct"/>
                  <w:tcBorders>
                    <w:top w:val="single" w:color="auto" w:sz="4" w:space="0"/>
                    <w:left w:val="single" w:color="auto" w:sz="4" w:space="0"/>
                    <w:bottom w:val="single" w:color="auto" w:sz="4" w:space="0"/>
                    <w:right w:val="single" w:color="auto" w:sz="4" w:space="0"/>
                  </w:tcBorders>
                  <w:vAlign w:val="center"/>
                </w:tcPr>
                <w:p w14:paraId="33311FCA">
                  <w:pPr>
                    <w:pStyle w:val="52"/>
                    <w:spacing w:line="300" w:lineRule="exact"/>
                  </w:pPr>
                  <w:r>
                    <w:rPr>
                      <w:rFonts w:hint="eastAsia"/>
                      <w:lang w:bidi="ar"/>
                    </w:rPr>
                    <w:t>77.1</w:t>
                  </w:r>
                </w:p>
              </w:tc>
              <w:tc>
                <w:tcPr>
                  <w:tcW w:w="572" w:type="pct"/>
                  <w:tcBorders>
                    <w:top w:val="single" w:color="auto" w:sz="4" w:space="0"/>
                    <w:left w:val="single" w:color="auto" w:sz="4" w:space="0"/>
                    <w:bottom w:val="single" w:color="auto" w:sz="4" w:space="0"/>
                    <w:right w:val="single" w:color="auto" w:sz="4" w:space="0"/>
                  </w:tcBorders>
                  <w:vAlign w:val="center"/>
                </w:tcPr>
                <w:p w14:paraId="7E9D4A04">
                  <w:pPr>
                    <w:pStyle w:val="52"/>
                    <w:spacing w:line="300" w:lineRule="exact"/>
                  </w:pPr>
                  <w:r>
                    <w:rPr>
                      <w:lang w:bidi="ar"/>
                    </w:rPr>
                    <w:t>达标</w:t>
                  </w:r>
                </w:p>
              </w:tc>
            </w:tr>
            <w:tr w14:paraId="0F4D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40" w:type="pct"/>
                  <w:vMerge w:val="continue"/>
                  <w:tcBorders>
                    <w:top w:val="single" w:color="auto" w:sz="4" w:space="0"/>
                    <w:left w:val="single" w:color="auto" w:sz="4" w:space="0"/>
                    <w:bottom w:val="single" w:color="auto" w:sz="4" w:space="0"/>
                    <w:right w:val="single" w:color="auto" w:sz="4" w:space="0"/>
                  </w:tcBorders>
                  <w:vAlign w:val="center"/>
                </w:tcPr>
                <w:p w14:paraId="339A2605">
                  <w:pPr>
                    <w:pStyle w:val="52"/>
                    <w:spacing w:line="300" w:lineRule="exact"/>
                  </w:pPr>
                </w:p>
              </w:tc>
              <w:tc>
                <w:tcPr>
                  <w:tcW w:w="687" w:type="pct"/>
                  <w:tcBorders>
                    <w:top w:val="single" w:color="auto" w:sz="4" w:space="0"/>
                    <w:left w:val="single" w:color="auto" w:sz="4" w:space="0"/>
                    <w:bottom w:val="single" w:color="auto" w:sz="4" w:space="0"/>
                    <w:right w:val="single" w:color="auto" w:sz="4" w:space="0"/>
                  </w:tcBorders>
                  <w:vAlign w:val="center"/>
                </w:tcPr>
                <w:p w14:paraId="3BB15D2B">
                  <w:pPr>
                    <w:pStyle w:val="52"/>
                    <w:spacing w:line="300" w:lineRule="exact"/>
                  </w:pPr>
                  <w:r>
                    <w:rPr>
                      <w:lang w:bidi="ar"/>
                    </w:rPr>
                    <w:t>CO</w:t>
                  </w:r>
                </w:p>
              </w:tc>
              <w:tc>
                <w:tcPr>
                  <w:tcW w:w="1133" w:type="pct"/>
                  <w:tcBorders>
                    <w:top w:val="single" w:color="auto" w:sz="4" w:space="0"/>
                    <w:left w:val="single" w:color="auto" w:sz="4" w:space="0"/>
                    <w:bottom w:val="single" w:color="auto" w:sz="4" w:space="0"/>
                    <w:right w:val="single" w:color="auto" w:sz="4" w:space="0"/>
                  </w:tcBorders>
                  <w:vAlign w:val="center"/>
                </w:tcPr>
                <w:p w14:paraId="1E4FFBD0">
                  <w:pPr>
                    <w:pStyle w:val="52"/>
                    <w:spacing w:line="300" w:lineRule="exact"/>
                  </w:pPr>
                  <w:r>
                    <w:rPr>
                      <w:rFonts w:hint="eastAsia"/>
                      <w:lang w:bidi="ar"/>
                    </w:rPr>
                    <w:t>百分位数</w:t>
                  </w:r>
                  <w:r>
                    <w:rPr>
                      <w:lang w:bidi="ar"/>
                    </w:rPr>
                    <w:t>日平均质量浓度</w:t>
                  </w:r>
                </w:p>
              </w:tc>
              <w:tc>
                <w:tcPr>
                  <w:tcW w:w="707" w:type="pct"/>
                  <w:tcBorders>
                    <w:top w:val="single" w:color="auto" w:sz="4" w:space="0"/>
                    <w:left w:val="single" w:color="auto" w:sz="4" w:space="0"/>
                    <w:bottom w:val="single" w:color="auto" w:sz="4" w:space="0"/>
                    <w:right w:val="single" w:color="auto" w:sz="4" w:space="0"/>
                  </w:tcBorders>
                  <w:vAlign w:val="center"/>
                </w:tcPr>
                <w:p w14:paraId="7D7C0F15">
                  <w:pPr>
                    <w:pStyle w:val="52"/>
                    <w:spacing w:line="300" w:lineRule="exact"/>
                    <w:rPr>
                      <w:lang w:bidi="ar"/>
                    </w:rPr>
                  </w:pPr>
                  <w:r>
                    <w:rPr>
                      <w:lang w:bidi="ar"/>
                    </w:rPr>
                    <w:t>1.</w:t>
                  </w:r>
                  <w:r>
                    <w:rPr>
                      <w:rFonts w:hint="eastAsia"/>
                      <w:lang w:bidi="ar"/>
                    </w:rPr>
                    <w:t>2</w:t>
                  </w:r>
                  <w:r>
                    <w:rPr>
                      <w:lang w:bidi="ar"/>
                    </w:rPr>
                    <w:t>mg/m</w:t>
                  </w:r>
                  <w:r>
                    <w:rPr>
                      <w:vertAlign w:val="superscript"/>
                      <w:lang w:bidi="ar"/>
                    </w:rPr>
                    <w:t>3</w:t>
                  </w:r>
                </w:p>
              </w:tc>
              <w:tc>
                <w:tcPr>
                  <w:tcW w:w="779" w:type="pct"/>
                  <w:tcBorders>
                    <w:top w:val="single" w:color="auto" w:sz="4" w:space="0"/>
                    <w:left w:val="single" w:color="auto" w:sz="4" w:space="0"/>
                    <w:bottom w:val="single" w:color="auto" w:sz="4" w:space="0"/>
                    <w:right w:val="single" w:color="auto" w:sz="4" w:space="0"/>
                  </w:tcBorders>
                  <w:vAlign w:val="center"/>
                </w:tcPr>
                <w:p w14:paraId="1B5BA57F">
                  <w:pPr>
                    <w:pStyle w:val="52"/>
                    <w:spacing w:line="300" w:lineRule="exact"/>
                  </w:pPr>
                  <w:r>
                    <w:rPr>
                      <w:lang w:bidi="ar"/>
                    </w:rPr>
                    <w:t>4mg/m</w:t>
                  </w:r>
                  <w:r>
                    <w:rPr>
                      <w:vertAlign w:val="superscript"/>
                      <w:lang w:bidi="ar"/>
                    </w:rPr>
                    <w:t>3</w:t>
                  </w:r>
                </w:p>
              </w:tc>
              <w:tc>
                <w:tcPr>
                  <w:tcW w:w="581" w:type="pct"/>
                  <w:tcBorders>
                    <w:top w:val="single" w:color="auto" w:sz="4" w:space="0"/>
                    <w:left w:val="single" w:color="auto" w:sz="4" w:space="0"/>
                    <w:bottom w:val="single" w:color="auto" w:sz="4" w:space="0"/>
                    <w:right w:val="single" w:color="auto" w:sz="4" w:space="0"/>
                  </w:tcBorders>
                  <w:vAlign w:val="center"/>
                </w:tcPr>
                <w:p w14:paraId="25E8BF32">
                  <w:pPr>
                    <w:pStyle w:val="52"/>
                    <w:spacing w:line="300" w:lineRule="exact"/>
                  </w:pPr>
                  <w:r>
                    <w:rPr>
                      <w:rFonts w:hint="eastAsia"/>
                      <w:lang w:bidi="ar"/>
                    </w:rPr>
                    <w:t>30.0</w:t>
                  </w:r>
                </w:p>
              </w:tc>
              <w:tc>
                <w:tcPr>
                  <w:tcW w:w="572" w:type="pct"/>
                  <w:tcBorders>
                    <w:top w:val="single" w:color="auto" w:sz="4" w:space="0"/>
                    <w:left w:val="single" w:color="auto" w:sz="4" w:space="0"/>
                    <w:bottom w:val="single" w:color="auto" w:sz="4" w:space="0"/>
                    <w:right w:val="single" w:color="auto" w:sz="4" w:space="0"/>
                  </w:tcBorders>
                  <w:vAlign w:val="center"/>
                </w:tcPr>
                <w:p w14:paraId="6CFBB4A2">
                  <w:pPr>
                    <w:pStyle w:val="52"/>
                    <w:spacing w:line="300" w:lineRule="exact"/>
                  </w:pPr>
                  <w:r>
                    <w:rPr>
                      <w:lang w:bidi="ar"/>
                    </w:rPr>
                    <w:t>达标</w:t>
                  </w:r>
                </w:p>
              </w:tc>
            </w:tr>
            <w:tr w14:paraId="303A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40" w:type="pct"/>
                  <w:vMerge w:val="continue"/>
                  <w:tcBorders>
                    <w:top w:val="single" w:color="auto" w:sz="4" w:space="0"/>
                    <w:left w:val="single" w:color="auto" w:sz="4" w:space="0"/>
                    <w:bottom w:val="single" w:color="auto" w:sz="4" w:space="0"/>
                    <w:right w:val="single" w:color="auto" w:sz="4" w:space="0"/>
                  </w:tcBorders>
                  <w:vAlign w:val="center"/>
                </w:tcPr>
                <w:p w14:paraId="2DE7F507">
                  <w:pPr>
                    <w:pStyle w:val="52"/>
                    <w:spacing w:line="300" w:lineRule="exact"/>
                  </w:pPr>
                </w:p>
              </w:tc>
              <w:tc>
                <w:tcPr>
                  <w:tcW w:w="687" w:type="pct"/>
                  <w:tcBorders>
                    <w:top w:val="single" w:color="auto" w:sz="4" w:space="0"/>
                    <w:left w:val="single" w:color="auto" w:sz="4" w:space="0"/>
                    <w:bottom w:val="single" w:color="auto" w:sz="4" w:space="0"/>
                    <w:right w:val="single" w:color="auto" w:sz="4" w:space="0"/>
                  </w:tcBorders>
                  <w:vAlign w:val="center"/>
                </w:tcPr>
                <w:p w14:paraId="36AFE942">
                  <w:pPr>
                    <w:pStyle w:val="52"/>
                    <w:spacing w:line="300" w:lineRule="exact"/>
                  </w:pPr>
                  <w:r>
                    <w:rPr>
                      <w:lang w:bidi="ar"/>
                    </w:rPr>
                    <w:t>O</w:t>
                  </w:r>
                  <w:r>
                    <w:rPr>
                      <w:vertAlign w:val="subscript"/>
                      <w:lang w:bidi="ar"/>
                    </w:rPr>
                    <w:t>3</w:t>
                  </w:r>
                  <w:r>
                    <w:rPr>
                      <w:rFonts w:hint="eastAsia"/>
                      <w:vertAlign w:val="subscript"/>
                      <w:lang w:bidi="ar"/>
                    </w:rPr>
                    <w:t>（</w:t>
                  </w:r>
                  <w:r>
                    <w:rPr>
                      <w:lang w:bidi="ar"/>
                    </w:rPr>
                    <w:t>8小时</w:t>
                  </w:r>
                  <w:r>
                    <w:rPr>
                      <w:rFonts w:hint="eastAsia"/>
                      <w:lang w:bidi="ar"/>
                    </w:rPr>
                    <w:t>）</w:t>
                  </w:r>
                </w:p>
              </w:tc>
              <w:tc>
                <w:tcPr>
                  <w:tcW w:w="1133" w:type="pct"/>
                  <w:tcBorders>
                    <w:top w:val="single" w:color="auto" w:sz="4" w:space="0"/>
                    <w:left w:val="single" w:color="auto" w:sz="4" w:space="0"/>
                    <w:bottom w:val="single" w:color="auto" w:sz="4" w:space="0"/>
                    <w:right w:val="single" w:color="auto" w:sz="4" w:space="0"/>
                  </w:tcBorders>
                  <w:vAlign w:val="center"/>
                </w:tcPr>
                <w:p w14:paraId="1594490B">
                  <w:pPr>
                    <w:pStyle w:val="52"/>
                    <w:spacing w:line="300" w:lineRule="exact"/>
                  </w:pPr>
                  <w:r>
                    <w:rPr>
                      <w:rFonts w:hint="eastAsia"/>
                      <w:lang w:bidi="ar"/>
                    </w:rPr>
                    <w:t>百分位数</w:t>
                  </w:r>
                  <w:r>
                    <w:rPr>
                      <w:lang w:bidi="ar"/>
                    </w:rPr>
                    <w:t>8h平均质量浓度</w:t>
                  </w:r>
                </w:p>
              </w:tc>
              <w:tc>
                <w:tcPr>
                  <w:tcW w:w="707" w:type="pct"/>
                  <w:tcBorders>
                    <w:top w:val="single" w:color="auto" w:sz="4" w:space="0"/>
                    <w:left w:val="single" w:color="auto" w:sz="4" w:space="0"/>
                    <w:bottom w:val="single" w:color="auto" w:sz="4" w:space="0"/>
                    <w:right w:val="single" w:color="auto" w:sz="4" w:space="0"/>
                  </w:tcBorders>
                  <w:vAlign w:val="center"/>
                </w:tcPr>
                <w:p w14:paraId="74C2EA15">
                  <w:pPr>
                    <w:pStyle w:val="52"/>
                    <w:spacing w:line="300" w:lineRule="exact"/>
                    <w:rPr>
                      <w:lang w:bidi="ar"/>
                    </w:rPr>
                  </w:pPr>
                  <w:r>
                    <w:rPr>
                      <w:rFonts w:hint="eastAsia"/>
                      <w:lang w:bidi="ar"/>
                    </w:rPr>
                    <w:t>155</w:t>
                  </w:r>
                </w:p>
              </w:tc>
              <w:tc>
                <w:tcPr>
                  <w:tcW w:w="779" w:type="pct"/>
                  <w:tcBorders>
                    <w:top w:val="single" w:color="auto" w:sz="4" w:space="0"/>
                    <w:left w:val="single" w:color="auto" w:sz="4" w:space="0"/>
                    <w:bottom w:val="single" w:color="auto" w:sz="4" w:space="0"/>
                    <w:right w:val="single" w:color="auto" w:sz="4" w:space="0"/>
                  </w:tcBorders>
                  <w:vAlign w:val="center"/>
                </w:tcPr>
                <w:p w14:paraId="749B2595">
                  <w:pPr>
                    <w:pStyle w:val="52"/>
                    <w:spacing w:line="300" w:lineRule="exact"/>
                  </w:pPr>
                  <w:r>
                    <w:rPr>
                      <w:lang w:bidi="ar"/>
                    </w:rPr>
                    <w:t>160</w:t>
                  </w:r>
                </w:p>
              </w:tc>
              <w:tc>
                <w:tcPr>
                  <w:tcW w:w="581" w:type="pct"/>
                  <w:tcBorders>
                    <w:top w:val="single" w:color="auto" w:sz="4" w:space="0"/>
                    <w:left w:val="single" w:color="auto" w:sz="4" w:space="0"/>
                    <w:bottom w:val="single" w:color="auto" w:sz="4" w:space="0"/>
                    <w:right w:val="single" w:color="auto" w:sz="4" w:space="0"/>
                  </w:tcBorders>
                  <w:vAlign w:val="center"/>
                </w:tcPr>
                <w:p w14:paraId="7EFDAC00">
                  <w:pPr>
                    <w:pStyle w:val="52"/>
                    <w:spacing w:line="300" w:lineRule="exact"/>
                  </w:pPr>
                  <w:r>
                    <w:rPr>
                      <w:rFonts w:hint="eastAsia"/>
                    </w:rPr>
                    <w:t>96.875</w:t>
                  </w:r>
                </w:p>
              </w:tc>
              <w:tc>
                <w:tcPr>
                  <w:tcW w:w="572" w:type="pct"/>
                  <w:tcBorders>
                    <w:top w:val="single" w:color="auto" w:sz="4" w:space="0"/>
                    <w:left w:val="single" w:color="auto" w:sz="4" w:space="0"/>
                    <w:bottom w:val="single" w:color="auto" w:sz="4" w:space="0"/>
                    <w:right w:val="single" w:color="auto" w:sz="4" w:space="0"/>
                  </w:tcBorders>
                  <w:vAlign w:val="center"/>
                </w:tcPr>
                <w:p w14:paraId="64BC8B56">
                  <w:pPr>
                    <w:pStyle w:val="52"/>
                    <w:spacing w:line="300" w:lineRule="exact"/>
                  </w:pPr>
                  <w:r>
                    <w:rPr>
                      <w:lang w:bidi="ar"/>
                    </w:rPr>
                    <w:t>达标</w:t>
                  </w:r>
                </w:p>
              </w:tc>
            </w:tr>
          </w:tbl>
          <w:p w14:paraId="47E2E37D">
            <w:pPr>
              <w:spacing w:line="440" w:lineRule="exact"/>
              <w:ind w:firstLine="480" w:firstLineChars="200"/>
              <w:rPr>
                <w:sz w:val="24"/>
                <w:lang w:bidi="ar"/>
              </w:rPr>
            </w:pPr>
            <w:r>
              <w:rPr>
                <w:sz w:val="24"/>
              </w:rPr>
              <w:t>由上表可知，</w:t>
            </w:r>
            <w:r>
              <w:rPr>
                <w:sz w:val="24"/>
                <w:szCs w:val="32"/>
                <w:lang w:bidi="ar"/>
              </w:rPr>
              <w:t>202</w:t>
            </w:r>
            <w:r>
              <w:rPr>
                <w:rFonts w:hint="eastAsia"/>
                <w:sz w:val="24"/>
                <w:szCs w:val="32"/>
                <w:lang w:bidi="ar"/>
              </w:rPr>
              <w:t>5</w:t>
            </w:r>
            <w:r>
              <w:rPr>
                <w:sz w:val="24"/>
                <w:szCs w:val="32"/>
                <w:lang w:bidi="ar"/>
              </w:rPr>
              <w:t>年</w:t>
            </w:r>
            <w:r>
              <w:rPr>
                <w:rFonts w:hint="eastAsia"/>
                <w:sz w:val="24"/>
              </w:rPr>
              <w:t>盂县</w:t>
            </w:r>
            <w:r>
              <w:rPr>
                <w:sz w:val="24"/>
                <w:szCs w:val="32"/>
                <w:lang w:bidi="ar"/>
              </w:rPr>
              <w:t>SO</w:t>
            </w:r>
            <w:r>
              <w:rPr>
                <w:sz w:val="24"/>
                <w:szCs w:val="32"/>
                <w:vertAlign w:val="subscript"/>
                <w:lang w:bidi="ar"/>
              </w:rPr>
              <w:t>2</w:t>
            </w:r>
            <w:r>
              <w:rPr>
                <w:sz w:val="24"/>
                <w:szCs w:val="32"/>
                <w:lang w:bidi="ar"/>
              </w:rPr>
              <w:t>、NO</w:t>
            </w:r>
            <w:r>
              <w:rPr>
                <w:sz w:val="24"/>
                <w:szCs w:val="32"/>
                <w:vertAlign w:val="subscript"/>
                <w:lang w:bidi="ar"/>
              </w:rPr>
              <w:t>2</w:t>
            </w:r>
            <w:r>
              <w:rPr>
                <w:sz w:val="24"/>
                <w:szCs w:val="32"/>
                <w:lang w:bidi="ar"/>
              </w:rPr>
              <w:t>、PM</w:t>
            </w:r>
            <w:r>
              <w:rPr>
                <w:sz w:val="24"/>
                <w:szCs w:val="32"/>
                <w:vertAlign w:val="subscript"/>
                <w:lang w:bidi="ar"/>
              </w:rPr>
              <w:t>10</w:t>
            </w:r>
            <w:r>
              <w:rPr>
                <w:rFonts w:hint="eastAsia"/>
                <w:sz w:val="24"/>
                <w:szCs w:val="32"/>
                <w:lang w:bidi="ar"/>
              </w:rPr>
              <w:t>、PM</w:t>
            </w:r>
            <w:r>
              <w:rPr>
                <w:rFonts w:hint="eastAsia"/>
                <w:sz w:val="24"/>
                <w:szCs w:val="32"/>
                <w:vertAlign w:val="subscript"/>
                <w:lang w:bidi="ar"/>
              </w:rPr>
              <w:t>2.5</w:t>
            </w:r>
            <w:r>
              <w:rPr>
                <w:rFonts w:hint="eastAsia"/>
                <w:sz w:val="24"/>
                <w:szCs w:val="32"/>
                <w:lang w:bidi="ar"/>
              </w:rPr>
              <w:t>、</w:t>
            </w:r>
            <w:r>
              <w:rPr>
                <w:sz w:val="24"/>
                <w:szCs w:val="32"/>
                <w:lang w:bidi="ar"/>
              </w:rPr>
              <w:t>CO</w:t>
            </w:r>
            <w:r>
              <w:rPr>
                <w:rFonts w:hint="eastAsia"/>
                <w:sz w:val="24"/>
                <w:szCs w:val="32"/>
                <w:lang w:bidi="ar"/>
              </w:rPr>
              <w:t>、O</w:t>
            </w:r>
            <w:r>
              <w:rPr>
                <w:rFonts w:hint="eastAsia"/>
                <w:sz w:val="24"/>
                <w:szCs w:val="32"/>
                <w:vertAlign w:val="subscript"/>
                <w:lang w:bidi="ar"/>
              </w:rPr>
              <w:t>3</w:t>
            </w:r>
            <w:r>
              <w:rPr>
                <w:sz w:val="24"/>
                <w:szCs w:val="32"/>
                <w:lang w:bidi="ar"/>
              </w:rPr>
              <w:t>能够达到《环境空气质量标准》（GB3095-20</w:t>
            </w:r>
            <w:r>
              <w:rPr>
                <w:rFonts w:hint="eastAsia"/>
                <w:sz w:val="24"/>
                <w:szCs w:val="32"/>
                <w:lang w:bidi="ar"/>
              </w:rPr>
              <w:t>12</w:t>
            </w:r>
            <w:r>
              <w:rPr>
                <w:sz w:val="24"/>
                <w:szCs w:val="32"/>
                <w:lang w:bidi="ar"/>
              </w:rPr>
              <w:t>）中二级标准要求，</w:t>
            </w:r>
            <w:r>
              <w:rPr>
                <w:rFonts w:hint="eastAsia"/>
                <w:sz w:val="24"/>
                <w:szCs w:val="32"/>
                <w:lang w:bidi="ar"/>
              </w:rPr>
              <w:t>盂县</w:t>
            </w:r>
            <w:r>
              <w:rPr>
                <w:sz w:val="24"/>
                <w:szCs w:val="32"/>
                <w:lang w:bidi="ar"/>
              </w:rPr>
              <w:t>202</w:t>
            </w:r>
            <w:r>
              <w:rPr>
                <w:rFonts w:hint="eastAsia"/>
                <w:sz w:val="24"/>
                <w:szCs w:val="32"/>
                <w:lang w:bidi="ar"/>
              </w:rPr>
              <w:t>5</w:t>
            </w:r>
            <w:r>
              <w:rPr>
                <w:sz w:val="24"/>
                <w:szCs w:val="32"/>
                <w:lang w:bidi="ar"/>
              </w:rPr>
              <w:t>年</w:t>
            </w:r>
            <w:r>
              <w:rPr>
                <w:sz w:val="24"/>
                <w:lang w:bidi="ar"/>
              </w:rPr>
              <w:t>属于环境空气质量达标区</w:t>
            </w:r>
            <w:r>
              <w:rPr>
                <w:rFonts w:hint="eastAsia"/>
                <w:sz w:val="24"/>
                <w:lang w:bidi="ar"/>
              </w:rPr>
              <w:t>。</w:t>
            </w:r>
          </w:p>
          <w:p w14:paraId="663DFB77">
            <w:pPr>
              <w:spacing w:line="440" w:lineRule="exact"/>
              <w:ind w:firstLine="480" w:firstLineChars="200"/>
              <w:rPr>
                <w:sz w:val="24"/>
                <w:lang w:bidi="ar"/>
              </w:rPr>
            </w:pPr>
            <w:r>
              <w:rPr>
                <w:rFonts w:hint="eastAsia"/>
                <w:sz w:val="24"/>
                <w:lang w:bidi="ar"/>
              </w:rPr>
              <w:t>此外，2</w:t>
            </w:r>
            <w:r>
              <w:rPr>
                <w:sz w:val="24"/>
                <w:szCs w:val="32"/>
                <w:lang w:bidi="ar"/>
              </w:rPr>
              <w:t>02</w:t>
            </w:r>
            <w:r>
              <w:rPr>
                <w:rFonts w:hint="eastAsia"/>
                <w:sz w:val="24"/>
                <w:szCs w:val="32"/>
                <w:lang w:bidi="ar"/>
              </w:rPr>
              <w:t>5</w:t>
            </w:r>
            <w:r>
              <w:rPr>
                <w:sz w:val="24"/>
                <w:szCs w:val="32"/>
                <w:lang w:bidi="ar"/>
              </w:rPr>
              <w:t>年</w:t>
            </w:r>
            <w:r>
              <w:rPr>
                <w:rFonts w:hint="eastAsia"/>
                <w:sz w:val="24"/>
              </w:rPr>
              <w:t>盂县</w:t>
            </w:r>
            <w:r>
              <w:rPr>
                <w:sz w:val="24"/>
                <w:szCs w:val="32"/>
                <w:lang w:bidi="ar"/>
              </w:rPr>
              <w:t>SO</w:t>
            </w:r>
            <w:r>
              <w:rPr>
                <w:sz w:val="24"/>
                <w:szCs w:val="32"/>
                <w:vertAlign w:val="subscript"/>
                <w:lang w:bidi="ar"/>
              </w:rPr>
              <w:t>2</w:t>
            </w:r>
            <w:r>
              <w:rPr>
                <w:sz w:val="24"/>
                <w:szCs w:val="32"/>
                <w:lang w:bidi="ar"/>
              </w:rPr>
              <w:t>、NO</w:t>
            </w:r>
            <w:r>
              <w:rPr>
                <w:sz w:val="24"/>
                <w:szCs w:val="32"/>
                <w:vertAlign w:val="subscript"/>
                <w:lang w:bidi="ar"/>
              </w:rPr>
              <w:t>2</w:t>
            </w:r>
            <w:r>
              <w:rPr>
                <w:sz w:val="24"/>
                <w:szCs w:val="32"/>
                <w:lang w:bidi="ar"/>
              </w:rPr>
              <w:t>、PM</w:t>
            </w:r>
            <w:r>
              <w:rPr>
                <w:sz w:val="24"/>
                <w:szCs w:val="32"/>
                <w:vertAlign w:val="subscript"/>
                <w:lang w:bidi="ar"/>
              </w:rPr>
              <w:t>10</w:t>
            </w:r>
            <w:r>
              <w:rPr>
                <w:rFonts w:hint="eastAsia"/>
                <w:sz w:val="24"/>
                <w:szCs w:val="32"/>
                <w:lang w:bidi="ar"/>
              </w:rPr>
              <w:t>、PM</w:t>
            </w:r>
            <w:r>
              <w:rPr>
                <w:rFonts w:hint="eastAsia"/>
                <w:sz w:val="24"/>
                <w:szCs w:val="32"/>
                <w:vertAlign w:val="subscript"/>
                <w:lang w:bidi="ar"/>
              </w:rPr>
              <w:t>2.5</w:t>
            </w:r>
            <w:r>
              <w:rPr>
                <w:rFonts w:hint="eastAsia"/>
                <w:sz w:val="24"/>
                <w:szCs w:val="32"/>
                <w:lang w:bidi="ar"/>
              </w:rPr>
              <w:t>、</w:t>
            </w:r>
            <w:r>
              <w:rPr>
                <w:sz w:val="24"/>
                <w:szCs w:val="32"/>
                <w:lang w:bidi="ar"/>
              </w:rPr>
              <w:t>CO</w:t>
            </w:r>
            <w:r>
              <w:rPr>
                <w:rFonts w:hint="eastAsia"/>
                <w:sz w:val="24"/>
                <w:szCs w:val="32"/>
                <w:lang w:bidi="ar"/>
              </w:rPr>
              <w:t>、O</w:t>
            </w:r>
            <w:r>
              <w:rPr>
                <w:rFonts w:hint="eastAsia"/>
                <w:sz w:val="24"/>
                <w:szCs w:val="32"/>
                <w:vertAlign w:val="subscript"/>
                <w:lang w:bidi="ar"/>
              </w:rPr>
              <w:t>3</w:t>
            </w:r>
            <w:r>
              <w:rPr>
                <w:sz w:val="24"/>
                <w:szCs w:val="32"/>
                <w:lang w:bidi="ar"/>
              </w:rPr>
              <w:t>能够达到《环境空气质量标准》（GB3095-20</w:t>
            </w:r>
            <w:r>
              <w:rPr>
                <w:rFonts w:hint="eastAsia"/>
                <w:sz w:val="24"/>
                <w:szCs w:val="32"/>
                <w:lang w:bidi="ar"/>
              </w:rPr>
              <w:t>26</w:t>
            </w:r>
            <w:r>
              <w:rPr>
                <w:sz w:val="24"/>
                <w:szCs w:val="32"/>
                <w:lang w:bidi="ar"/>
              </w:rPr>
              <w:t>）中</w:t>
            </w:r>
            <w:r>
              <w:rPr>
                <w:rFonts w:hint="eastAsia"/>
                <w:sz w:val="24"/>
                <w:szCs w:val="32"/>
                <w:lang w:bidi="ar"/>
              </w:rPr>
              <w:t>过渡阶段浓度限值</w:t>
            </w:r>
            <w:r>
              <w:rPr>
                <w:sz w:val="24"/>
                <w:szCs w:val="32"/>
                <w:lang w:bidi="ar"/>
              </w:rPr>
              <w:t>二级标准要求，PM</w:t>
            </w:r>
            <w:r>
              <w:rPr>
                <w:sz w:val="24"/>
                <w:szCs w:val="32"/>
                <w:vertAlign w:val="subscript"/>
                <w:lang w:bidi="ar"/>
              </w:rPr>
              <w:t>10</w:t>
            </w:r>
            <w:r>
              <w:rPr>
                <w:rFonts w:hint="eastAsia"/>
                <w:sz w:val="24"/>
                <w:szCs w:val="32"/>
                <w:lang w:bidi="ar"/>
              </w:rPr>
              <w:t>超过</w:t>
            </w:r>
            <w:r>
              <w:rPr>
                <w:sz w:val="24"/>
                <w:szCs w:val="32"/>
                <w:lang w:bidi="ar"/>
              </w:rPr>
              <w:t>《环境空气质量标准》（GB3095-20</w:t>
            </w:r>
            <w:r>
              <w:rPr>
                <w:rFonts w:hint="eastAsia"/>
                <w:sz w:val="24"/>
                <w:szCs w:val="32"/>
                <w:lang w:bidi="ar"/>
              </w:rPr>
              <w:t>26</w:t>
            </w:r>
            <w:r>
              <w:rPr>
                <w:sz w:val="24"/>
                <w:szCs w:val="32"/>
                <w:lang w:bidi="ar"/>
              </w:rPr>
              <w:t>）中</w:t>
            </w:r>
            <w:r>
              <w:rPr>
                <w:rFonts w:hint="eastAsia"/>
                <w:sz w:val="24"/>
                <w:szCs w:val="32"/>
                <w:lang w:bidi="ar"/>
              </w:rPr>
              <w:t>过渡阶段浓度限值</w:t>
            </w:r>
            <w:r>
              <w:rPr>
                <w:sz w:val="24"/>
                <w:szCs w:val="32"/>
                <w:lang w:bidi="ar"/>
              </w:rPr>
              <w:t>二级标准要求</w:t>
            </w:r>
            <w:r>
              <w:rPr>
                <w:rFonts w:hint="eastAsia"/>
                <w:sz w:val="24"/>
                <w:szCs w:val="32"/>
                <w:lang w:bidi="ar"/>
              </w:rPr>
              <w:t>（60</w:t>
            </w:r>
            <w:r>
              <w:rPr>
                <w:sz w:val="24"/>
              </w:rPr>
              <w:t>ug/Nm</w:t>
            </w:r>
            <w:r>
              <w:rPr>
                <w:sz w:val="24"/>
                <w:vertAlign w:val="superscript"/>
              </w:rPr>
              <w:t>3</w:t>
            </w:r>
            <w:r>
              <w:rPr>
                <w:rFonts w:hint="eastAsia"/>
                <w:sz w:val="24"/>
                <w:szCs w:val="32"/>
                <w:lang w:bidi="ar"/>
              </w:rPr>
              <w:t>）。</w:t>
            </w:r>
          </w:p>
          <w:p w14:paraId="72E4E1E3">
            <w:pPr>
              <w:spacing w:line="440" w:lineRule="exact"/>
              <w:ind w:firstLine="480" w:firstLineChars="200"/>
              <w:rPr>
                <w:kern w:val="0"/>
                <w:sz w:val="24"/>
                <w:szCs w:val="22"/>
                <w:lang w:val="zh-CN"/>
              </w:rPr>
            </w:pPr>
            <w:r>
              <w:rPr>
                <w:rFonts w:hint="eastAsia"/>
                <w:kern w:val="0"/>
                <w:sz w:val="24"/>
                <w:szCs w:val="22"/>
                <w:lang w:val="zh-CN"/>
              </w:rPr>
              <w:t>2）特征污染物补充监测</w:t>
            </w:r>
          </w:p>
          <w:p w14:paraId="51BAC39D">
            <w:pPr>
              <w:spacing w:line="440" w:lineRule="exact"/>
              <w:ind w:firstLine="480" w:firstLineChars="200"/>
              <w:rPr>
                <w:sz w:val="24"/>
                <w:szCs w:val="32"/>
                <w:lang w:val="zh-CN"/>
              </w:rPr>
            </w:pPr>
            <w:r>
              <w:rPr>
                <w:rFonts w:hint="eastAsia"/>
                <w:sz w:val="24"/>
                <w:szCs w:val="32"/>
                <w:lang w:val="zh-CN"/>
              </w:rPr>
              <w:t>本项目涉及无组织粉尘排放，特征污染物为T</w:t>
            </w:r>
            <w:r>
              <w:rPr>
                <w:sz w:val="24"/>
                <w:szCs w:val="32"/>
                <w:lang w:val="zh-CN"/>
              </w:rPr>
              <w:t>SP</w:t>
            </w:r>
            <w:r>
              <w:rPr>
                <w:rFonts w:hint="eastAsia"/>
                <w:sz w:val="24"/>
                <w:szCs w:val="32"/>
                <w:lang w:val="zh-CN"/>
              </w:rPr>
              <w:t>，为了解项目区域特征污染物环境质量现状，本次评价引用《</w:t>
            </w:r>
            <w:r>
              <w:rPr>
                <w:rFonts w:hint="eastAsia"/>
                <w:sz w:val="24"/>
                <w:szCs w:val="32"/>
              </w:rPr>
              <w:t>盂县芝角石料厂建筑石料用灰岩矿开采项目环境影响报告书</w:t>
            </w:r>
            <w:r>
              <w:rPr>
                <w:rFonts w:hint="eastAsia"/>
                <w:sz w:val="24"/>
                <w:szCs w:val="32"/>
                <w:lang w:val="zh-CN"/>
              </w:rPr>
              <w:t>》</w:t>
            </w:r>
            <w:r>
              <w:rPr>
                <w:rFonts w:hint="eastAsia"/>
                <w:sz w:val="24"/>
                <w:szCs w:val="32"/>
              </w:rPr>
              <w:t>对一采区工业场地、二采区工业场地、熬子坡村、程家涯4个监测点的</w:t>
            </w:r>
            <w:r>
              <w:rPr>
                <w:rFonts w:hint="eastAsia"/>
                <w:sz w:val="24"/>
                <w:szCs w:val="32"/>
                <w:lang w:val="zh-CN"/>
              </w:rPr>
              <w:t>监测数据。监测时间为</w:t>
            </w:r>
            <w:r>
              <w:rPr>
                <w:rFonts w:hint="eastAsia"/>
                <w:sz w:val="24"/>
                <w:szCs w:val="32"/>
              </w:rPr>
              <w:t>2025</w:t>
            </w:r>
            <w:r>
              <w:rPr>
                <w:rFonts w:hint="eastAsia"/>
                <w:sz w:val="24"/>
                <w:szCs w:val="32"/>
                <w:lang w:val="zh-CN"/>
              </w:rPr>
              <w:t>年</w:t>
            </w:r>
            <w:r>
              <w:rPr>
                <w:rFonts w:hint="eastAsia"/>
                <w:sz w:val="24"/>
                <w:szCs w:val="32"/>
              </w:rPr>
              <w:t>1</w:t>
            </w:r>
            <w:r>
              <w:rPr>
                <w:rFonts w:hint="eastAsia"/>
                <w:sz w:val="24"/>
                <w:szCs w:val="32"/>
                <w:lang w:val="zh-CN"/>
              </w:rPr>
              <w:t>月</w:t>
            </w:r>
            <w:r>
              <w:rPr>
                <w:rFonts w:hint="eastAsia"/>
                <w:sz w:val="24"/>
                <w:szCs w:val="32"/>
              </w:rPr>
              <w:t>21</w:t>
            </w:r>
            <w:r>
              <w:rPr>
                <w:rFonts w:hint="eastAsia"/>
                <w:sz w:val="24"/>
                <w:szCs w:val="32"/>
                <w:lang w:val="zh-CN"/>
              </w:rPr>
              <w:t>日—</w:t>
            </w:r>
            <w:r>
              <w:rPr>
                <w:rFonts w:hint="eastAsia"/>
                <w:sz w:val="24"/>
                <w:szCs w:val="32"/>
              </w:rPr>
              <w:t>1</w:t>
            </w:r>
            <w:r>
              <w:rPr>
                <w:rFonts w:hint="eastAsia"/>
                <w:sz w:val="24"/>
                <w:szCs w:val="32"/>
                <w:lang w:val="zh-CN"/>
              </w:rPr>
              <w:t>月</w:t>
            </w:r>
            <w:r>
              <w:rPr>
                <w:rFonts w:hint="eastAsia"/>
                <w:sz w:val="24"/>
                <w:szCs w:val="32"/>
              </w:rPr>
              <w:t>27</w:t>
            </w:r>
            <w:r>
              <w:rPr>
                <w:rFonts w:hint="eastAsia"/>
                <w:sz w:val="24"/>
                <w:szCs w:val="32"/>
                <w:lang w:val="zh-CN"/>
              </w:rPr>
              <w:t>日，</w:t>
            </w:r>
            <w:r>
              <w:rPr>
                <w:rFonts w:hint="eastAsia"/>
                <w:sz w:val="24"/>
                <w:szCs w:val="32"/>
              </w:rPr>
              <w:t>各监测点均在本项目周边5km范围内（</w:t>
            </w:r>
            <w:bookmarkStart w:id="50" w:name="OLE_LINK79"/>
            <w:r>
              <w:rPr>
                <w:rFonts w:hint="eastAsia"/>
                <w:sz w:val="24"/>
                <w:szCs w:val="32"/>
              </w:rPr>
              <w:t>引用监测点位布置图</w:t>
            </w:r>
            <w:bookmarkEnd w:id="50"/>
            <w:r>
              <w:rPr>
                <w:rFonts w:hint="eastAsia"/>
                <w:sz w:val="24"/>
                <w:szCs w:val="32"/>
              </w:rPr>
              <w:t>见附图12）</w:t>
            </w:r>
            <w:r>
              <w:rPr>
                <w:rFonts w:hint="eastAsia"/>
                <w:sz w:val="24"/>
                <w:szCs w:val="32"/>
                <w:lang w:val="zh-CN"/>
              </w:rPr>
              <w:t>，时效性及相对位置均满足本次评价要求。监测结果统计见下表。</w:t>
            </w:r>
          </w:p>
          <w:p w14:paraId="04EF4B82">
            <w:pPr>
              <w:pStyle w:val="49"/>
              <w:numPr>
                <w:ilvl w:val="0"/>
                <w:numId w:val="0"/>
              </w:numPr>
              <w:spacing w:line="240" w:lineRule="auto"/>
              <w:rPr>
                <w:rFonts w:cs="黑体"/>
                <w:sz w:val="24"/>
              </w:rPr>
            </w:pPr>
            <w:r>
              <w:rPr>
                <w:rFonts w:hint="eastAsia" w:cs="黑体"/>
                <w:sz w:val="24"/>
              </w:rPr>
              <w:t>表3-2  其他污染物补充监测结果表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23"/>
              <w:gridCol w:w="1474"/>
              <w:gridCol w:w="1359"/>
              <w:gridCol w:w="856"/>
              <w:gridCol w:w="856"/>
              <w:gridCol w:w="856"/>
              <w:gridCol w:w="1168"/>
              <w:gridCol w:w="854"/>
            </w:tblGrid>
            <w:tr w14:paraId="7E06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44" w:type="pct"/>
                  <w:vAlign w:val="center"/>
                </w:tcPr>
                <w:p w14:paraId="6B307C29">
                  <w:pPr>
                    <w:pStyle w:val="52"/>
                  </w:pPr>
                  <w:r>
                    <w:t>序号</w:t>
                  </w:r>
                </w:p>
              </w:tc>
              <w:tc>
                <w:tcPr>
                  <w:tcW w:w="904" w:type="pct"/>
                  <w:vAlign w:val="center"/>
                </w:tcPr>
                <w:p w14:paraId="3E182B1A">
                  <w:pPr>
                    <w:pStyle w:val="52"/>
                  </w:pPr>
                  <w:r>
                    <w:t>监测点</w:t>
                  </w:r>
                </w:p>
              </w:tc>
              <w:tc>
                <w:tcPr>
                  <w:tcW w:w="834" w:type="pct"/>
                  <w:vAlign w:val="center"/>
                </w:tcPr>
                <w:p w14:paraId="403A682D">
                  <w:pPr>
                    <w:pStyle w:val="52"/>
                  </w:pPr>
                  <w:r>
                    <w:t>日均浓度范围</w:t>
                  </w:r>
                </w:p>
                <w:p w14:paraId="1BBB571F">
                  <w:pPr>
                    <w:pStyle w:val="52"/>
                  </w:pPr>
                  <w:r>
                    <w:rPr>
                      <w:rFonts w:hint="eastAsia"/>
                    </w:rPr>
                    <w:t>(</w:t>
                  </w:r>
                  <w:r>
                    <w:t>mg/Nm</w:t>
                  </w:r>
                  <w:r>
                    <w:rPr>
                      <w:vertAlign w:val="superscript"/>
                    </w:rPr>
                    <w:t>3</w:t>
                  </w:r>
                  <w:r>
                    <w:rPr>
                      <w:rFonts w:hint="eastAsia"/>
                      <w:vertAlign w:val="superscript"/>
                    </w:rPr>
                    <w:t>)</w:t>
                  </w:r>
                </w:p>
              </w:tc>
              <w:tc>
                <w:tcPr>
                  <w:tcW w:w="525" w:type="pct"/>
                  <w:vAlign w:val="center"/>
                </w:tcPr>
                <w:p w14:paraId="7D0A12C1">
                  <w:pPr>
                    <w:pStyle w:val="52"/>
                  </w:pPr>
                  <w:r>
                    <w:t>样本</w:t>
                  </w:r>
                </w:p>
                <w:p w14:paraId="067E75CC">
                  <w:pPr>
                    <w:pStyle w:val="52"/>
                  </w:pPr>
                  <w:r>
                    <w:t>个数</w:t>
                  </w:r>
                </w:p>
              </w:tc>
              <w:tc>
                <w:tcPr>
                  <w:tcW w:w="525" w:type="pct"/>
                  <w:vAlign w:val="center"/>
                </w:tcPr>
                <w:p w14:paraId="3C79B401">
                  <w:pPr>
                    <w:pStyle w:val="52"/>
                  </w:pPr>
                  <w:r>
                    <w:t>超标</w:t>
                  </w:r>
                </w:p>
                <w:p w14:paraId="23FB5A3D">
                  <w:pPr>
                    <w:pStyle w:val="52"/>
                  </w:pPr>
                  <w:r>
                    <w:t>个数</w:t>
                  </w:r>
                </w:p>
              </w:tc>
              <w:tc>
                <w:tcPr>
                  <w:tcW w:w="525" w:type="pct"/>
                  <w:vAlign w:val="center"/>
                </w:tcPr>
                <w:p w14:paraId="7CC1A1C2">
                  <w:pPr>
                    <w:pStyle w:val="52"/>
                  </w:pPr>
                  <w:r>
                    <w:t>超标率</w:t>
                  </w:r>
                </w:p>
                <w:p w14:paraId="2B679A3F">
                  <w:pPr>
                    <w:pStyle w:val="52"/>
                  </w:pPr>
                  <w:r>
                    <w:t>（%）</w:t>
                  </w:r>
                </w:p>
              </w:tc>
              <w:tc>
                <w:tcPr>
                  <w:tcW w:w="717" w:type="pct"/>
                  <w:vAlign w:val="center"/>
                </w:tcPr>
                <w:p w14:paraId="409525A6">
                  <w:pPr>
                    <w:pStyle w:val="52"/>
                  </w:pPr>
                  <w:r>
                    <w:t>最大浓度占标率（%）</w:t>
                  </w:r>
                </w:p>
              </w:tc>
              <w:tc>
                <w:tcPr>
                  <w:tcW w:w="524" w:type="pct"/>
                  <w:vAlign w:val="center"/>
                </w:tcPr>
                <w:p w14:paraId="34D22513">
                  <w:pPr>
                    <w:pStyle w:val="52"/>
                  </w:pPr>
                  <w:r>
                    <w:t>达标</w:t>
                  </w:r>
                </w:p>
                <w:p w14:paraId="7CE52696">
                  <w:pPr>
                    <w:pStyle w:val="52"/>
                  </w:pPr>
                  <w:r>
                    <w:t>情况</w:t>
                  </w:r>
                </w:p>
              </w:tc>
            </w:tr>
            <w:tr w14:paraId="48F8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44" w:type="pct"/>
                  <w:vAlign w:val="center"/>
                </w:tcPr>
                <w:p w14:paraId="50569AE6">
                  <w:pPr>
                    <w:pStyle w:val="52"/>
                  </w:pPr>
                  <w:r>
                    <w:t>1#</w:t>
                  </w:r>
                </w:p>
              </w:tc>
              <w:tc>
                <w:tcPr>
                  <w:tcW w:w="904" w:type="pct"/>
                  <w:vAlign w:val="center"/>
                </w:tcPr>
                <w:p w14:paraId="25814618">
                  <w:pPr>
                    <w:pStyle w:val="52"/>
                  </w:pPr>
                  <w:r>
                    <w:rPr>
                      <w:rFonts w:hint="eastAsia" w:ascii="华文中宋" w:hAnsi="华文中宋"/>
                      <w:snapToGrid w:val="0"/>
                      <w:kern w:val="0"/>
                    </w:rPr>
                    <w:t>一采区工业场地</w:t>
                  </w:r>
                </w:p>
              </w:tc>
              <w:tc>
                <w:tcPr>
                  <w:tcW w:w="834" w:type="pct"/>
                  <w:vAlign w:val="center"/>
                </w:tcPr>
                <w:p w14:paraId="6B6AC6B5">
                  <w:pPr>
                    <w:pStyle w:val="52"/>
                  </w:pPr>
                  <w:r>
                    <w:t>0.1</w:t>
                  </w:r>
                  <w:r>
                    <w:rPr>
                      <w:rFonts w:hint="eastAsia"/>
                    </w:rPr>
                    <w:t>92</w:t>
                  </w:r>
                  <w:r>
                    <w:t>~0.</w:t>
                  </w:r>
                  <w:r>
                    <w:rPr>
                      <w:rFonts w:hint="eastAsia"/>
                    </w:rPr>
                    <w:t>194</w:t>
                  </w:r>
                </w:p>
              </w:tc>
              <w:tc>
                <w:tcPr>
                  <w:tcW w:w="525" w:type="pct"/>
                  <w:vAlign w:val="center"/>
                </w:tcPr>
                <w:p w14:paraId="7A55EC3C">
                  <w:pPr>
                    <w:pStyle w:val="52"/>
                  </w:pPr>
                  <w:r>
                    <w:t>7</w:t>
                  </w:r>
                </w:p>
              </w:tc>
              <w:tc>
                <w:tcPr>
                  <w:tcW w:w="525" w:type="pct"/>
                  <w:vAlign w:val="center"/>
                </w:tcPr>
                <w:p w14:paraId="4D54BBF2">
                  <w:pPr>
                    <w:pStyle w:val="52"/>
                  </w:pPr>
                  <w:r>
                    <w:t>0</w:t>
                  </w:r>
                </w:p>
              </w:tc>
              <w:tc>
                <w:tcPr>
                  <w:tcW w:w="525" w:type="pct"/>
                  <w:vAlign w:val="center"/>
                </w:tcPr>
                <w:p w14:paraId="46BB2062">
                  <w:pPr>
                    <w:pStyle w:val="52"/>
                  </w:pPr>
                  <w:r>
                    <w:t>0</w:t>
                  </w:r>
                </w:p>
              </w:tc>
              <w:tc>
                <w:tcPr>
                  <w:tcW w:w="717" w:type="pct"/>
                  <w:vAlign w:val="center"/>
                </w:tcPr>
                <w:p w14:paraId="13D637E8">
                  <w:pPr>
                    <w:pStyle w:val="52"/>
                  </w:pPr>
                  <w:r>
                    <w:rPr>
                      <w:rFonts w:hint="eastAsia"/>
                    </w:rPr>
                    <w:t>64.7</w:t>
                  </w:r>
                </w:p>
              </w:tc>
              <w:tc>
                <w:tcPr>
                  <w:tcW w:w="524" w:type="pct"/>
                  <w:vAlign w:val="center"/>
                </w:tcPr>
                <w:p w14:paraId="1C2B6CC4">
                  <w:pPr>
                    <w:pStyle w:val="52"/>
                  </w:pPr>
                  <w:r>
                    <w:t>达标</w:t>
                  </w:r>
                </w:p>
              </w:tc>
            </w:tr>
            <w:tr w14:paraId="7A24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44" w:type="pct"/>
                  <w:vAlign w:val="center"/>
                </w:tcPr>
                <w:p w14:paraId="7A67C9F0">
                  <w:pPr>
                    <w:pStyle w:val="52"/>
                  </w:pPr>
                  <w:r>
                    <w:t>2#</w:t>
                  </w:r>
                </w:p>
              </w:tc>
              <w:tc>
                <w:tcPr>
                  <w:tcW w:w="904" w:type="pct"/>
                  <w:vAlign w:val="center"/>
                </w:tcPr>
                <w:p w14:paraId="7ABAF92A">
                  <w:pPr>
                    <w:pStyle w:val="52"/>
                  </w:pPr>
                  <w:r>
                    <w:rPr>
                      <w:rFonts w:hint="eastAsia" w:ascii="华文中宋" w:hAnsi="华文中宋"/>
                      <w:snapToGrid w:val="0"/>
                      <w:kern w:val="0"/>
                    </w:rPr>
                    <w:t>二采区工业场地</w:t>
                  </w:r>
                </w:p>
              </w:tc>
              <w:tc>
                <w:tcPr>
                  <w:tcW w:w="834" w:type="pct"/>
                  <w:vAlign w:val="center"/>
                </w:tcPr>
                <w:p w14:paraId="71F5BF8F">
                  <w:pPr>
                    <w:pStyle w:val="52"/>
                  </w:pPr>
                  <w:r>
                    <w:t>0.</w:t>
                  </w:r>
                  <w:r>
                    <w:rPr>
                      <w:rFonts w:hint="eastAsia"/>
                    </w:rPr>
                    <w:t>189</w:t>
                  </w:r>
                  <w:r>
                    <w:t>~</w:t>
                  </w:r>
                  <w:r>
                    <w:rPr>
                      <w:rFonts w:hint="eastAsia"/>
                    </w:rPr>
                    <w:t>0.195</w:t>
                  </w:r>
                </w:p>
              </w:tc>
              <w:tc>
                <w:tcPr>
                  <w:tcW w:w="525" w:type="pct"/>
                  <w:vAlign w:val="center"/>
                </w:tcPr>
                <w:p w14:paraId="7BC2C22A">
                  <w:pPr>
                    <w:pStyle w:val="52"/>
                  </w:pPr>
                  <w:r>
                    <w:t>7</w:t>
                  </w:r>
                </w:p>
              </w:tc>
              <w:tc>
                <w:tcPr>
                  <w:tcW w:w="525" w:type="pct"/>
                  <w:vAlign w:val="center"/>
                </w:tcPr>
                <w:p w14:paraId="799FB0C7">
                  <w:pPr>
                    <w:pStyle w:val="52"/>
                  </w:pPr>
                  <w:r>
                    <w:t>0</w:t>
                  </w:r>
                </w:p>
              </w:tc>
              <w:tc>
                <w:tcPr>
                  <w:tcW w:w="525" w:type="pct"/>
                  <w:vAlign w:val="center"/>
                </w:tcPr>
                <w:p w14:paraId="7E4DB54E">
                  <w:pPr>
                    <w:pStyle w:val="52"/>
                  </w:pPr>
                  <w:r>
                    <w:t>0</w:t>
                  </w:r>
                </w:p>
              </w:tc>
              <w:tc>
                <w:tcPr>
                  <w:tcW w:w="717" w:type="pct"/>
                  <w:vAlign w:val="center"/>
                </w:tcPr>
                <w:p w14:paraId="06316AA6">
                  <w:pPr>
                    <w:pStyle w:val="52"/>
                  </w:pPr>
                  <w:r>
                    <w:rPr>
                      <w:rFonts w:hint="eastAsia"/>
                    </w:rPr>
                    <w:t>65.3</w:t>
                  </w:r>
                </w:p>
              </w:tc>
              <w:tc>
                <w:tcPr>
                  <w:tcW w:w="524" w:type="pct"/>
                  <w:vAlign w:val="center"/>
                </w:tcPr>
                <w:p w14:paraId="30D518C7">
                  <w:pPr>
                    <w:pStyle w:val="52"/>
                  </w:pPr>
                  <w:r>
                    <w:t>达标</w:t>
                  </w:r>
                </w:p>
              </w:tc>
            </w:tr>
            <w:tr w14:paraId="7CFE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44" w:type="pct"/>
                  <w:vAlign w:val="center"/>
                </w:tcPr>
                <w:p w14:paraId="616FDA88">
                  <w:pPr>
                    <w:pStyle w:val="52"/>
                  </w:pPr>
                  <w:r>
                    <w:rPr>
                      <w:rFonts w:hint="eastAsia"/>
                    </w:rPr>
                    <w:t>3#</w:t>
                  </w:r>
                </w:p>
              </w:tc>
              <w:tc>
                <w:tcPr>
                  <w:tcW w:w="904" w:type="pct"/>
                  <w:vAlign w:val="center"/>
                </w:tcPr>
                <w:p w14:paraId="1B1F70B2">
                  <w:pPr>
                    <w:pStyle w:val="52"/>
                    <w:rPr>
                      <w:rFonts w:hint="eastAsia" w:ascii="华文中宋" w:hAnsi="华文中宋"/>
                      <w:snapToGrid w:val="0"/>
                      <w:kern w:val="0"/>
                    </w:rPr>
                  </w:pPr>
                  <w:r>
                    <w:rPr>
                      <w:rFonts w:hint="eastAsia" w:ascii="华文中宋" w:hAnsi="华文中宋"/>
                      <w:snapToGrid w:val="0"/>
                      <w:kern w:val="0"/>
                    </w:rPr>
                    <w:t>熬子坡村</w:t>
                  </w:r>
                </w:p>
              </w:tc>
              <w:tc>
                <w:tcPr>
                  <w:tcW w:w="834" w:type="pct"/>
                  <w:vAlign w:val="center"/>
                </w:tcPr>
                <w:p w14:paraId="2033159D">
                  <w:pPr>
                    <w:pStyle w:val="52"/>
                  </w:pPr>
                  <w:r>
                    <w:t>0.</w:t>
                  </w:r>
                  <w:r>
                    <w:rPr>
                      <w:rFonts w:hint="eastAsia"/>
                    </w:rPr>
                    <w:t>185</w:t>
                  </w:r>
                  <w:r>
                    <w:t>~</w:t>
                  </w:r>
                  <w:r>
                    <w:rPr>
                      <w:rFonts w:hint="eastAsia"/>
                    </w:rPr>
                    <w:t>0.188</w:t>
                  </w:r>
                </w:p>
              </w:tc>
              <w:tc>
                <w:tcPr>
                  <w:tcW w:w="525" w:type="pct"/>
                  <w:vAlign w:val="center"/>
                </w:tcPr>
                <w:p w14:paraId="62D0DD4F">
                  <w:pPr>
                    <w:pStyle w:val="52"/>
                  </w:pPr>
                  <w:r>
                    <w:rPr>
                      <w:rFonts w:hint="eastAsia"/>
                    </w:rPr>
                    <w:t>7</w:t>
                  </w:r>
                </w:p>
              </w:tc>
              <w:tc>
                <w:tcPr>
                  <w:tcW w:w="525" w:type="pct"/>
                  <w:vAlign w:val="center"/>
                </w:tcPr>
                <w:p w14:paraId="01C6FF29">
                  <w:pPr>
                    <w:pStyle w:val="52"/>
                  </w:pPr>
                  <w:r>
                    <w:rPr>
                      <w:rFonts w:hint="eastAsia"/>
                    </w:rPr>
                    <w:t>0</w:t>
                  </w:r>
                </w:p>
              </w:tc>
              <w:tc>
                <w:tcPr>
                  <w:tcW w:w="525" w:type="pct"/>
                  <w:vAlign w:val="center"/>
                </w:tcPr>
                <w:p w14:paraId="4A378B1B">
                  <w:pPr>
                    <w:pStyle w:val="52"/>
                  </w:pPr>
                  <w:r>
                    <w:rPr>
                      <w:rFonts w:hint="eastAsia"/>
                    </w:rPr>
                    <w:t>0</w:t>
                  </w:r>
                </w:p>
              </w:tc>
              <w:tc>
                <w:tcPr>
                  <w:tcW w:w="717" w:type="pct"/>
                  <w:vAlign w:val="center"/>
                </w:tcPr>
                <w:p w14:paraId="4FE06207">
                  <w:pPr>
                    <w:pStyle w:val="52"/>
                  </w:pPr>
                  <w:r>
                    <w:rPr>
                      <w:rFonts w:hint="eastAsia"/>
                    </w:rPr>
                    <w:t>62.7</w:t>
                  </w:r>
                </w:p>
              </w:tc>
              <w:tc>
                <w:tcPr>
                  <w:tcW w:w="524" w:type="pct"/>
                  <w:vAlign w:val="center"/>
                </w:tcPr>
                <w:p w14:paraId="6E1D8181">
                  <w:pPr>
                    <w:pStyle w:val="52"/>
                  </w:pPr>
                  <w:r>
                    <w:rPr>
                      <w:rFonts w:hint="eastAsia"/>
                    </w:rPr>
                    <w:t>达标</w:t>
                  </w:r>
                </w:p>
              </w:tc>
            </w:tr>
            <w:tr w14:paraId="6D7F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44" w:type="pct"/>
                  <w:vAlign w:val="center"/>
                </w:tcPr>
                <w:p w14:paraId="3C04E841">
                  <w:pPr>
                    <w:pStyle w:val="52"/>
                  </w:pPr>
                  <w:r>
                    <w:rPr>
                      <w:rFonts w:hint="eastAsia"/>
                    </w:rPr>
                    <w:t>4#</w:t>
                  </w:r>
                </w:p>
              </w:tc>
              <w:tc>
                <w:tcPr>
                  <w:tcW w:w="904" w:type="pct"/>
                  <w:vAlign w:val="center"/>
                </w:tcPr>
                <w:p w14:paraId="234EE081">
                  <w:pPr>
                    <w:pStyle w:val="52"/>
                    <w:rPr>
                      <w:rFonts w:hint="eastAsia" w:ascii="华文中宋" w:hAnsi="华文中宋"/>
                      <w:snapToGrid w:val="0"/>
                      <w:kern w:val="0"/>
                    </w:rPr>
                  </w:pPr>
                  <w:r>
                    <w:rPr>
                      <w:rFonts w:hint="eastAsia" w:ascii="华文中宋" w:hAnsi="华文中宋"/>
                      <w:snapToGrid w:val="0"/>
                      <w:kern w:val="0"/>
                    </w:rPr>
                    <w:t>程家崖村</w:t>
                  </w:r>
                </w:p>
              </w:tc>
              <w:tc>
                <w:tcPr>
                  <w:tcW w:w="834" w:type="pct"/>
                  <w:vAlign w:val="center"/>
                </w:tcPr>
                <w:p w14:paraId="24077501">
                  <w:pPr>
                    <w:pStyle w:val="52"/>
                  </w:pPr>
                  <w:r>
                    <w:t>0.</w:t>
                  </w:r>
                  <w:r>
                    <w:rPr>
                      <w:rFonts w:hint="eastAsia"/>
                    </w:rPr>
                    <w:t>181</w:t>
                  </w:r>
                  <w:r>
                    <w:t>~</w:t>
                  </w:r>
                  <w:r>
                    <w:rPr>
                      <w:rFonts w:hint="eastAsia"/>
                    </w:rPr>
                    <w:t>0.185</w:t>
                  </w:r>
                </w:p>
              </w:tc>
              <w:tc>
                <w:tcPr>
                  <w:tcW w:w="525" w:type="pct"/>
                  <w:vAlign w:val="center"/>
                </w:tcPr>
                <w:p w14:paraId="4D206D6C">
                  <w:pPr>
                    <w:pStyle w:val="52"/>
                  </w:pPr>
                  <w:r>
                    <w:rPr>
                      <w:rFonts w:hint="eastAsia"/>
                    </w:rPr>
                    <w:t>7</w:t>
                  </w:r>
                </w:p>
              </w:tc>
              <w:tc>
                <w:tcPr>
                  <w:tcW w:w="525" w:type="pct"/>
                  <w:vAlign w:val="center"/>
                </w:tcPr>
                <w:p w14:paraId="70129BB4">
                  <w:pPr>
                    <w:pStyle w:val="52"/>
                  </w:pPr>
                  <w:r>
                    <w:rPr>
                      <w:rFonts w:hint="eastAsia"/>
                    </w:rPr>
                    <w:t>0</w:t>
                  </w:r>
                </w:p>
              </w:tc>
              <w:tc>
                <w:tcPr>
                  <w:tcW w:w="525" w:type="pct"/>
                  <w:vAlign w:val="center"/>
                </w:tcPr>
                <w:p w14:paraId="14EC2F92">
                  <w:pPr>
                    <w:pStyle w:val="52"/>
                  </w:pPr>
                  <w:r>
                    <w:rPr>
                      <w:rFonts w:hint="eastAsia"/>
                    </w:rPr>
                    <w:t>0</w:t>
                  </w:r>
                </w:p>
              </w:tc>
              <w:tc>
                <w:tcPr>
                  <w:tcW w:w="717" w:type="pct"/>
                  <w:vAlign w:val="center"/>
                </w:tcPr>
                <w:p w14:paraId="43E9AC29">
                  <w:pPr>
                    <w:pStyle w:val="52"/>
                  </w:pPr>
                  <w:r>
                    <w:rPr>
                      <w:rFonts w:hint="eastAsia"/>
                    </w:rPr>
                    <w:t>61.7</w:t>
                  </w:r>
                </w:p>
              </w:tc>
              <w:tc>
                <w:tcPr>
                  <w:tcW w:w="524" w:type="pct"/>
                  <w:vAlign w:val="center"/>
                </w:tcPr>
                <w:p w14:paraId="767E7C9B">
                  <w:pPr>
                    <w:pStyle w:val="52"/>
                  </w:pPr>
                  <w:r>
                    <w:rPr>
                      <w:rFonts w:hint="eastAsia"/>
                    </w:rPr>
                    <w:t>达标</w:t>
                  </w:r>
                </w:p>
              </w:tc>
            </w:tr>
            <w:tr w14:paraId="186F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349" w:type="pct"/>
                  <w:gridSpan w:val="2"/>
                  <w:vAlign w:val="center"/>
                </w:tcPr>
                <w:p w14:paraId="42E40DD3">
                  <w:pPr>
                    <w:pStyle w:val="52"/>
                  </w:pPr>
                  <w:r>
                    <w:rPr>
                      <w:rFonts w:hint="eastAsia"/>
                    </w:rPr>
                    <w:t>评价区</w:t>
                  </w:r>
                </w:p>
              </w:tc>
              <w:tc>
                <w:tcPr>
                  <w:tcW w:w="834" w:type="pct"/>
                  <w:vAlign w:val="center"/>
                </w:tcPr>
                <w:p w14:paraId="41F33649">
                  <w:pPr>
                    <w:pStyle w:val="52"/>
                  </w:pPr>
                  <w:r>
                    <w:t>0.1</w:t>
                  </w:r>
                  <w:r>
                    <w:rPr>
                      <w:rFonts w:hint="eastAsia"/>
                    </w:rPr>
                    <w:t>81</w:t>
                  </w:r>
                  <w:r>
                    <w:t>~0.</w:t>
                  </w:r>
                  <w:r>
                    <w:rPr>
                      <w:rFonts w:hint="eastAsia"/>
                    </w:rPr>
                    <w:t>195</w:t>
                  </w:r>
                </w:p>
              </w:tc>
              <w:tc>
                <w:tcPr>
                  <w:tcW w:w="525" w:type="pct"/>
                  <w:vAlign w:val="center"/>
                </w:tcPr>
                <w:p w14:paraId="2A76782C">
                  <w:pPr>
                    <w:pStyle w:val="52"/>
                  </w:pPr>
                  <w:r>
                    <w:rPr>
                      <w:rFonts w:hint="eastAsia"/>
                    </w:rPr>
                    <w:t>28</w:t>
                  </w:r>
                </w:p>
              </w:tc>
              <w:tc>
                <w:tcPr>
                  <w:tcW w:w="525" w:type="pct"/>
                  <w:vAlign w:val="center"/>
                </w:tcPr>
                <w:p w14:paraId="1DECE7CF">
                  <w:pPr>
                    <w:pStyle w:val="52"/>
                  </w:pPr>
                  <w:r>
                    <w:t>0</w:t>
                  </w:r>
                </w:p>
              </w:tc>
              <w:tc>
                <w:tcPr>
                  <w:tcW w:w="525" w:type="pct"/>
                  <w:vAlign w:val="center"/>
                </w:tcPr>
                <w:p w14:paraId="2485B00A">
                  <w:pPr>
                    <w:pStyle w:val="52"/>
                  </w:pPr>
                  <w:r>
                    <w:t>0</w:t>
                  </w:r>
                </w:p>
              </w:tc>
              <w:tc>
                <w:tcPr>
                  <w:tcW w:w="717" w:type="pct"/>
                  <w:vAlign w:val="center"/>
                </w:tcPr>
                <w:p w14:paraId="37BF402E">
                  <w:pPr>
                    <w:pStyle w:val="52"/>
                  </w:pPr>
                  <w:r>
                    <w:rPr>
                      <w:rFonts w:hint="eastAsia"/>
                    </w:rPr>
                    <w:t>65.3</w:t>
                  </w:r>
                </w:p>
              </w:tc>
              <w:tc>
                <w:tcPr>
                  <w:tcW w:w="524" w:type="pct"/>
                  <w:vAlign w:val="center"/>
                </w:tcPr>
                <w:p w14:paraId="3F0E08AA">
                  <w:pPr>
                    <w:pStyle w:val="52"/>
                  </w:pPr>
                  <w:r>
                    <w:t>达标</w:t>
                  </w:r>
                </w:p>
              </w:tc>
            </w:tr>
          </w:tbl>
          <w:p w14:paraId="001459D3">
            <w:pPr>
              <w:pStyle w:val="72"/>
              <w:spacing w:line="400" w:lineRule="exact"/>
              <w:ind w:firstLine="480"/>
              <w:rPr>
                <w:sz w:val="24"/>
                <w:szCs w:val="22"/>
              </w:rPr>
            </w:pPr>
            <w:r>
              <w:rPr>
                <w:kern w:val="2"/>
                <w:sz w:val="24"/>
                <w:szCs w:val="32"/>
              </w:rPr>
              <w:t>由监测统计结果可知，</w:t>
            </w:r>
            <w:r>
              <w:rPr>
                <w:rFonts w:hint="eastAsia"/>
                <w:kern w:val="2"/>
                <w:sz w:val="24"/>
                <w:szCs w:val="32"/>
                <w:lang w:val="en-US"/>
              </w:rPr>
              <w:t>4</w:t>
            </w:r>
            <w:r>
              <w:rPr>
                <w:kern w:val="2"/>
                <w:sz w:val="24"/>
                <w:szCs w:val="32"/>
              </w:rPr>
              <w:t>个监测点连续监测7天，共得到日均值</w:t>
            </w:r>
            <w:r>
              <w:rPr>
                <w:rFonts w:hint="eastAsia"/>
                <w:kern w:val="2"/>
                <w:sz w:val="24"/>
                <w:szCs w:val="32"/>
                <w:lang w:val="en-US"/>
              </w:rPr>
              <w:t>28</w:t>
            </w:r>
            <w:r>
              <w:rPr>
                <w:kern w:val="2"/>
                <w:sz w:val="24"/>
                <w:szCs w:val="32"/>
              </w:rPr>
              <w:t>个。TSP日均浓度范围</w:t>
            </w:r>
            <w:r>
              <w:rPr>
                <w:rFonts w:hint="eastAsia"/>
                <w:kern w:val="2"/>
                <w:sz w:val="24"/>
                <w:szCs w:val="32"/>
                <w:lang w:val="en-US"/>
              </w:rPr>
              <w:t>181</w:t>
            </w:r>
            <w:r>
              <w:rPr>
                <w:kern w:val="2"/>
                <w:sz w:val="24"/>
                <w:szCs w:val="32"/>
              </w:rPr>
              <w:t>~</w:t>
            </w:r>
            <w:r>
              <w:rPr>
                <w:rFonts w:hint="eastAsia"/>
                <w:kern w:val="2"/>
                <w:sz w:val="24"/>
                <w:szCs w:val="32"/>
                <w:lang w:val="en-US"/>
              </w:rPr>
              <w:t>195</w:t>
            </w:r>
            <w:r>
              <w:rPr>
                <w:kern w:val="2"/>
                <w:sz w:val="24"/>
                <w:szCs w:val="32"/>
              </w:rPr>
              <w:t>μg/m</w:t>
            </w:r>
            <w:r>
              <w:rPr>
                <w:kern w:val="2"/>
                <w:sz w:val="24"/>
                <w:szCs w:val="32"/>
                <w:vertAlign w:val="superscript"/>
              </w:rPr>
              <w:t>3</w:t>
            </w:r>
            <w:r>
              <w:rPr>
                <w:kern w:val="2"/>
                <w:sz w:val="24"/>
                <w:szCs w:val="32"/>
              </w:rPr>
              <w:t>，最大浓度占标率</w:t>
            </w:r>
            <w:r>
              <w:rPr>
                <w:rFonts w:hint="eastAsia"/>
                <w:kern w:val="2"/>
                <w:sz w:val="24"/>
                <w:szCs w:val="32"/>
                <w:lang w:val="en-US"/>
              </w:rPr>
              <w:t>65.3</w:t>
            </w:r>
            <w:r>
              <w:rPr>
                <w:kern w:val="2"/>
                <w:sz w:val="24"/>
                <w:szCs w:val="32"/>
              </w:rPr>
              <w:t>%，能够满足《环境空气质量标准》（GB3095-20</w:t>
            </w:r>
            <w:r>
              <w:rPr>
                <w:rFonts w:hint="eastAsia"/>
                <w:kern w:val="2"/>
                <w:sz w:val="24"/>
                <w:szCs w:val="32"/>
                <w:lang w:val="en-US"/>
              </w:rPr>
              <w:t>26</w:t>
            </w:r>
            <w:r>
              <w:rPr>
                <w:kern w:val="2"/>
                <w:sz w:val="24"/>
                <w:szCs w:val="32"/>
              </w:rPr>
              <w:t>）二级标准（300</w:t>
            </w:r>
            <w:bookmarkStart w:id="51" w:name="OLE_LINK78"/>
            <w:r>
              <w:rPr>
                <w:kern w:val="2"/>
                <w:sz w:val="24"/>
                <w:szCs w:val="32"/>
              </w:rPr>
              <w:t>μg/m</w:t>
            </w:r>
            <w:r>
              <w:rPr>
                <w:kern w:val="2"/>
                <w:sz w:val="24"/>
                <w:szCs w:val="32"/>
                <w:vertAlign w:val="superscript"/>
              </w:rPr>
              <w:t>3</w:t>
            </w:r>
            <w:bookmarkEnd w:id="51"/>
            <w:r>
              <w:rPr>
                <w:kern w:val="2"/>
                <w:sz w:val="24"/>
                <w:szCs w:val="32"/>
              </w:rPr>
              <w:t>）的要求。说明评价区环境空气质量现状良好。</w:t>
            </w:r>
          </w:p>
          <w:p w14:paraId="27C6A7BB">
            <w:pPr>
              <w:pStyle w:val="91"/>
              <w:spacing w:before="0" w:after="0" w:line="440" w:lineRule="exact"/>
            </w:pPr>
            <w:r>
              <w:rPr>
                <w:rFonts w:hint="eastAsia"/>
              </w:rPr>
              <w:t>二、地表水环境质量现状</w:t>
            </w:r>
          </w:p>
          <w:p w14:paraId="0B1D6DA1">
            <w:pPr>
              <w:pStyle w:val="68"/>
              <w:spacing w:line="440" w:lineRule="exact"/>
              <w:ind w:firstLine="480"/>
              <w:rPr>
                <w:sz w:val="24"/>
                <w:szCs w:val="24"/>
              </w:rPr>
            </w:pPr>
            <w:bookmarkStart w:id="52" w:name="_Hlk238649463"/>
            <w:r>
              <w:rPr>
                <w:rFonts w:hint="eastAsia"/>
                <w:sz w:val="24"/>
                <w:szCs w:val="24"/>
              </w:rPr>
              <w:t>本项目所在区域地表水体属于</w:t>
            </w:r>
            <w:bookmarkStart w:id="53" w:name="OLE_LINK42"/>
            <w:r>
              <w:rPr>
                <w:rFonts w:hint="eastAsia"/>
                <w:sz w:val="24"/>
                <w:szCs w:val="24"/>
              </w:rPr>
              <w:t>温河</w:t>
            </w:r>
            <w:bookmarkEnd w:id="53"/>
            <w:r>
              <w:rPr>
                <w:rFonts w:hint="eastAsia"/>
                <w:sz w:val="24"/>
                <w:szCs w:val="24"/>
              </w:rPr>
              <w:t>，根据《山西省地表水水环境功能区划》（DB14/67-2019），项目所在地河段属于温河南娄～辛庄段，水质目标为《地表水环境质量标准》（GB3838-2002）Ⅳ类水质标准。</w:t>
            </w:r>
          </w:p>
          <w:bookmarkEnd w:id="52"/>
          <w:p w14:paraId="03037F8D">
            <w:pPr>
              <w:pStyle w:val="68"/>
              <w:spacing w:line="440" w:lineRule="exact"/>
              <w:ind w:firstLine="480"/>
              <w:rPr>
                <w:sz w:val="24"/>
                <w:szCs w:val="24"/>
              </w:rPr>
            </w:pPr>
            <w:r>
              <w:rPr>
                <w:sz w:val="24"/>
                <w:szCs w:val="24"/>
              </w:rPr>
              <w:t>本次评价收集了</w:t>
            </w:r>
            <w:r>
              <w:rPr>
                <w:rFonts w:hint="eastAsia"/>
                <w:sz w:val="24"/>
                <w:szCs w:val="24"/>
              </w:rPr>
              <w:t>山西省生态环境厅网站公布的2</w:t>
            </w:r>
            <w:r>
              <w:rPr>
                <w:sz w:val="24"/>
                <w:szCs w:val="24"/>
              </w:rPr>
              <w:t>02</w:t>
            </w:r>
            <w:r>
              <w:rPr>
                <w:rFonts w:hint="eastAsia"/>
                <w:sz w:val="24"/>
                <w:szCs w:val="24"/>
              </w:rPr>
              <w:t>5年</w:t>
            </w:r>
            <w:r>
              <w:rPr>
                <w:sz w:val="24"/>
                <w:szCs w:val="24"/>
              </w:rPr>
              <w:t>1</w:t>
            </w:r>
            <w:r>
              <w:rPr>
                <w:rFonts w:hint="eastAsia"/>
                <w:sz w:val="24"/>
                <w:szCs w:val="24"/>
              </w:rPr>
              <w:t>月—2025年</w:t>
            </w:r>
            <w:r>
              <w:rPr>
                <w:sz w:val="24"/>
                <w:szCs w:val="24"/>
              </w:rPr>
              <w:t>1</w:t>
            </w:r>
            <w:r>
              <w:rPr>
                <w:rFonts w:hint="eastAsia"/>
                <w:sz w:val="24"/>
                <w:szCs w:val="24"/>
              </w:rPr>
              <w:t>2月《山西省地表水环境质量报告》中温池监控断面水质类别监测结果，具体水质类别见下表。</w:t>
            </w:r>
          </w:p>
          <w:p w14:paraId="3840F155">
            <w:pPr>
              <w:pStyle w:val="49"/>
              <w:numPr>
                <w:ilvl w:val="0"/>
                <w:numId w:val="0"/>
              </w:numPr>
              <w:rPr>
                <w:rFonts w:cs="黑体"/>
                <w:sz w:val="24"/>
              </w:rPr>
            </w:pPr>
            <w:r>
              <w:rPr>
                <w:rFonts w:hint="eastAsia" w:cs="黑体"/>
                <w:sz w:val="24"/>
              </w:rPr>
              <w:t>表3-3  温河温池断面2025年水质监测结果表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3"/>
              <w:gridCol w:w="588"/>
              <w:gridCol w:w="588"/>
              <w:gridCol w:w="588"/>
              <w:gridCol w:w="588"/>
              <w:gridCol w:w="588"/>
              <w:gridCol w:w="588"/>
              <w:gridCol w:w="588"/>
              <w:gridCol w:w="588"/>
              <w:gridCol w:w="588"/>
              <w:gridCol w:w="693"/>
              <w:gridCol w:w="685"/>
              <w:gridCol w:w="693"/>
            </w:tblGrid>
            <w:tr w14:paraId="40BF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567" w:type="pct"/>
                  <w:vAlign w:val="center"/>
                </w:tcPr>
                <w:p w14:paraId="2E770AB2">
                  <w:pPr>
                    <w:pStyle w:val="52"/>
                  </w:pPr>
                  <w:r>
                    <w:t>时间</w:t>
                  </w:r>
                </w:p>
              </w:tc>
              <w:tc>
                <w:tcPr>
                  <w:tcW w:w="362" w:type="pct"/>
                  <w:vAlign w:val="center"/>
                </w:tcPr>
                <w:p w14:paraId="27E21DB7">
                  <w:pPr>
                    <w:pStyle w:val="52"/>
                  </w:pPr>
                  <w:r>
                    <w:t>202</w:t>
                  </w:r>
                  <w:r>
                    <w:rPr>
                      <w:rFonts w:hint="eastAsia"/>
                    </w:rPr>
                    <w:t>5</w:t>
                  </w:r>
                  <w:r>
                    <w:t>.1</w:t>
                  </w:r>
                </w:p>
              </w:tc>
              <w:tc>
                <w:tcPr>
                  <w:tcW w:w="365" w:type="pct"/>
                  <w:vAlign w:val="center"/>
                </w:tcPr>
                <w:p w14:paraId="289AC129">
                  <w:pPr>
                    <w:pStyle w:val="52"/>
                  </w:pPr>
                  <w:r>
                    <w:t>202</w:t>
                  </w:r>
                  <w:r>
                    <w:rPr>
                      <w:rFonts w:hint="eastAsia"/>
                    </w:rPr>
                    <w:t>5</w:t>
                  </w:r>
                  <w:r>
                    <w:t>.2</w:t>
                  </w:r>
                </w:p>
              </w:tc>
              <w:tc>
                <w:tcPr>
                  <w:tcW w:w="365" w:type="pct"/>
                  <w:vAlign w:val="center"/>
                </w:tcPr>
                <w:p w14:paraId="53F106E7">
                  <w:pPr>
                    <w:pStyle w:val="52"/>
                  </w:pPr>
                  <w:r>
                    <w:t>202</w:t>
                  </w:r>
                  <w:r>
                    <w:rPr>
                      <w:rFonts w:hint="eastAsia"/>
                    </w:rPr>
                    <w:t>5</w:t>
                  </w:r>
                  <w:r>
                    <w:t>.3</w:t>
                  </w:r>
                </w:p>
              </w:tc>
              <w:tc>
                <w:tcPr>
                  <w:tcW w:w="365" w:type="pct"/>
                  <w:vAlign w:val="center"/>
                </w:tcPr>
                <w:p w14:paraId="60A2B0EB">
                  <w:pPr>
                    <w:pStyle w:val="52"/>
                  </w:pPr>
                  <w:r>
                    <w:t>202</w:t>
                  </w:r>
                  <w:r>
                    <w:rPr>
                      <w:rFonts w:hint="eastAsia"/>
                    </w:rPr>
                    <w:t>5</w:t>
                  </w:r>
                  <w:r>
                    <w:t>.4</w:t>
                  </w:r>
                </w:p>
              </w:tc>
              <w:tc>
                <w:tcPr>
                  <w:tcW w:w="365" w:type="pct"/>
                  <w:vAlign w:val="center"/>
                </w:tcPr>
                <w:p w14:paraId="5C6A21E1">
                  <w:pPr>
                    <w:pStyle w:val="52"/>
                  </w:pPr>
                  <w:r>
                    <w:t>202</w:t>
                  </w:r>
                  <w:r>
                    <w:rPr>
                      <w:rFonts w:hint="eastAsia"/>
                    </w:rPr>
                    <w:t>5</w:t>
                  </w:r>
                  <w:r>
                    <w:t>.5</w:t>
                  </w:r>
                </w:p>
              </w:tc>
              <w:tc>
                <w:tcPr>
                  <w:tcW w:w="335" w:type="pct"/>
                  <w:vAlign w:val="center"/>
                </w:tcPr>
                <w:p w14:paraId="6EA28DE7">
                  <w:pPr>
                    <w:pStyle w:val="52"/>
                  </w:pPr>
                  <w:r>
                    <w:t>202</w:t>
                  </w:r>
                  <w:r>
                    <w:rPr>
                      <w:rFonts w:hint="eastAsia"/>
                    </w:rPr>
                    <w:t>5</w:t>
                  </w:r>
                  <w:r>
                    <w:t>.6</w:t>
                  </w:r>
                </w:p>
              </w:tc>
              <w:tc>
                <w:tcPr>
                  <w:tcW w:w="364" w:type="pct"/>
                  <w:vAlign w:val="center"/>
                </w:tcPr>
                <w:p w14:paraId="6D2AB699">
                  <w:pPr>
                    <w:pStyle w:val="52"/>
                  </w:pPr>
                  <w:r>
                    <w:t>202</w:t>
                  </w:r>
                  <w:r>
                    <w:rPr>
                      <w:rFonts w:hint="eastAsia"/>
                    </w:rPr>
                    <w:t>5</w:t>
                  </w:r>
                  <w:r>
                    <w:t>.7</w:t>
                  </w:r>
                </w:p>
              </w:tc>
              <w:tc>
                <w:tcPr>
                  <w:tcW w:w="365" w:type="pct"/>
                  <w:vAlign w:val="center"/>
                </w:tcPr>
                <w:p w14:paraId="1AAC0A23">
                  <w:pPr>
                    <w:pStyle w:val="52"/>
                  </w:pPr>
                  <w:r>
                    <w:t>202</w:t>
                  </w:r>
                  <w:r>
                    <w:rPr>
                      <w:rFonts w:hint="eastAsia"/>
                    </w:rPr>
                    <w:t>5</w:t>
                  </w:r>
                  <w:r>
                    <w:t>.8</w:t>
                  </w:r>
                </w:p>
              </w:tc>
              <w:tc>
                <w:tcPr>
                  <w:tcW w:w="365" w:type="pct"/>
                  <w:vAlign w:val="center"/>
                </w:tcPr>
                <w:p w14:paraId="550DB29C">
                  <w:pPr>
                    <w:pStyle w:val="52"/>
                  </w:pPr>
                  <w:r>
                    <w:t>202</w:t>
                  </w:r>
                  <w:r>
                    <w:rPr>
                      <w:rFonts w:hint="eastAsia"/>
                    </w:rPr>
                    <w:t>5</w:t>
                  </w:r>
                  <w:r>
                    <w:t>.9</w:t>
                  </w:r>
                </w:p>
              </w:tc>
              <w:tc>
                <w:tcPr>
                  <w:tcW w:w="395" w:type="pct"/>
                  <w:vAlign w:val="center"/>
                </w:tcPr>
                <w:p w14:paraId="0989F8F8">
                  <w:pPr>
                    <w:pStyle w:val="52"/>
                  </w:pPr>
                  <w:r>
                    <w:t>202</w:t>
                  </w:r>
                  <w:r>
                    <w:rPr>
                      <w:rFonts w:hint="eastAsia"/>
                    </w:rPr>
                    <w:t>5</w:t>
                  </w:r>
                  <w:r>
                    <w:t>.1</w:t>
                  </w:r>
                  <w:r>
                    <w:rPr>
                      <w:rFonts w:hint="eastAsia"/>
                    </w:rPr>
                    <w:t>0</w:t>
                  </w:r>
                </w:p>
              </w:tc>
              <w:tc>
                <w:tcPr>
                  <w:tcW w:w="391" w:type="pct"/>
                  <w:vAlign w:val="center"/>
                </w:tcPr>
                <w:p w14:paraId="0D2103F6">
                  <w:pPr>
                    <w:pStyle w:val="52"/>
                  </w:pPr>
                  <w:r>
                    <w:t>202</w:t>
                  </w:r>
                  <w:r>
                    <w:rPr>
                      <w:rFonts w:hint="eastAsia"/>
                    </w:rPr>
                    <w:t>5</w:t>
                  </w:r>
                  <w:r>
                    <w:t>.11</w:t>
                  </w:r>
                </w:p>
              </w:tc>
              <w:tc>
                <w:tcPr>
                  <w:tcW w:w="395" w:type="pct"/>
                  <w:vAlign w:val="center"/>
                </w:tcPr>
                <w:p w14:paraId="46A19AE1">
                  <w:pPr>
                    <w:pStyle w:val="52"/>
                  </w:pPr>
                  <w:r>
                    <w:t>202</w:t>
                  </w:r>
                  <w:r>
                    <w:rPr>
                      <w:rFonts w:hint="eastAsia"/>
                    </w:rPr>
                    <w:t>5</w:t>
                  </w:r>
                  <w:r>
                    <w:t>.12</w:t>
                  </w:r>
                </w:p>
              </w:tc>
            </w:tr>
            <w:tr w14:paraId="1671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567" w:type="pct"/>
                  <w:vAlign w:val="center"/>
                </w:tcPr>
                <w:p w14:paraId="103E3E63">
                  <w:pPr>
                    <w:pStyle w:val="52"/>
                  </w:pPr>
                  <w:r>
                    <w:t>水质</w:t>
                  </w:r>
                </w:p>
                <w:p w14:paraId="3EEC0FBE">
                  <w:pPr>
                    <w:pStyle w:val="52"/>
                  </w:pPr>
                  <w:r>
                    <w:t>类别</w:t>
                  </w:r>
                </w:p>
              </w:tc>
              <w:tc>
                <w:tcPr>
                  <w:tcW w:w="362" w:type="pct"/>
                  <w:vAlign w:val="center"/>
                </w:tcPr>
                <w:p w14:paraId="0124B336">
                  <w:pPr>
                    <w:pStyle w:val="52"/>
                  </w:pPr>
                  <w:r>
                    <w:t>Ⅱ</w:t>
                  </w:r>
                </w:p>
              </w:tc>
              <w:tc>
                <w:tcPr>
                  <w:tcW w:w="365" w:type="pct"/>
                  <w:vAlign w:val="center"/>
                </w:tcPr>
                <w:p w14:paraId="77FBC128">
                  <w:pPr>
                    <w:pStyle w:val="52"/>
                  </w:pPr>
                  <w:r>
                    <w:rPr>
                      <w:rFonts w:hint="eastAsia"/>
                    </w:rPr>
                    <w:t>Ⅲ</w:t>
                  </w:r>
                </w:p>
              </w:tc>
              <w:tc>
                <w:tcPr>
                  <w:tcW w:w="365" w:type="pct"/>
                  <w:vAlign w:val="center"/>
                </w:tcPr>
                <w:p w14:paraId="102E119F">
                  <w:pPr>
                    <w:pStyle w:val="52"/>
                  </w:pPr>
                  <w:r>
                    <w:rPr>
                      <w:rFonts w:hint="eastAsia"/>
                    </w:rPr>
                    <w:t>Ⅱ</w:t>
                  </w:r>
                </w:p>
              </w:tc>
              <w:tc>
                <w:tcPr>
                  <w:tcW w:w="365" w:type="pct"/>
                  <w:vAlign w:val="center"/>
                </w:tcPr>
                <w:p w14:paraId="5266C9F7">
                  <w:pPr>
                    <w:pStyle w:val="52"/>
                  </w:pPr>
                  <w:r>
                    <w:rPr>
                      <w:rFonts w:hint="eastAsia"/>
                    </w:rPr>
                    <w:t>Ⅱ</w:t>
                  </w:r>
                </w:p>
              </w:tc>
              <w:tc>
                <w:tcPr>
                  <w:tcW w:w="365" w:type="pct"/>
                  <w:vAlign w:val="center"/>
                </w:tcPr>
                <w:p w14:paraId="4C5EF454">
                  <w:pPr>
                    <w:pStyle w:val="52"/>
                  </w:pPr>
                  <w:r>
                    <w:rPr>
                      <w:rFonts w:hint="eastAsia"/>
                    </w:rPr>
                    <w:t>Ⅱ</w:t>
                  </w:r>
                </w:p>
              </w:tc>
              <w:tc>
                <w:tcPr>
                  <w:tcW w:w="335" w:type="pct"/>
                  <w:vAlign w:val="center"/>
                </w:tcPr>
                <w:p w14:paraId="71D00E0F">
                  <w:pPr>
                    <w:pStyle w:val="52"/>
                  </w:pPr>
                  <w:r>
                    <w:rPr>
                      <w:rFonts w:hint="eastAsia"/>
                    </w:rPr>
                    <w:t>Ⅱ</w:t>
                  </w:r>
                </w:p>
              </w:tc>
              <w:tc>
                <w:tcPr>
                  <w:tcW w:w="364" w:type="pct"/>
                  <w:vAlign w:val="center"/>
                </w:tcPr>
                <w:p w14:paraId="55B84398">
                  <w:pPr>
                    <w:pStyle w:val="52"/>
                  </w:pPr>
                  <w:r>
                    <w:rPr>
                      <w:rFonts w:hint="eastAsia"/>
                    </w:rPr>
                    <w:t>Ⅴ</w:t>
                  </w:r>
                </w:p>
              </w:tc>
              <w:tc>
                <w:tcPr>
                  <w:tcW w:w="365" w:type="pct"/>
                  <w:vAlign w:val="center"/>
                </w:tcPr>
                <w:p w14:paraId="1905F8A9">
                  <w:pPr>
                    <w:pStyle w:val="52"/>
                  </w:pPr>
                  <w:r>
                    <w:rPr>
                      <w:rFonts w:hint="eastAsia"/>
                    </w:rPr>
                    <w:t>劣Ⅴ</w:t>
                  </w:r>
                </w:p>
              </w:tc>
              <w:tc>
                <w:tcPr>
                  <w:tcW w:w="365" w:type="pct"/>
                  <w:vAlign w:val="center"/>
                </w:tcPr>
                <w:p w14:paraId="15212817">
                  <w:pPr>
                    <w:pStyle w:val="52"/>
                  </w:pPr>
                  <w:r>
                    <w:rPr>
                      <w:rFonts w:hint="eastAsia"/>
                    </w:rPr>
                    <w:t>Ⅲ</w:t>
                  </w:r>
                </w:p>
              </w:tc>
              <w:tc>
                <w:tcPr>
                  <w:tcW w:w="395" w:type="pct"/>
                  <w:vAlign w:val="center"/>
                </w:tcPr>
                <w:p w14:paraId="340BB2C7">
                  <w:pPr>
                    <w:pStyle w:val="52"/>
                  </w:pPr>
                  <w:r>
                    <w:rPr>
                      <w:rFonts w:hint="eastAsia"/>
                    </w:rPr>
                    <w:t>Ⅲ</w:t>
                  </w:r>
                </w:p>
              </w:tc>
              <w:tc>
                <w:tcPr>
                  <w:tcW w:w="391" w:type="pct"/>
                  <w:vAlign w:val="center"/>
                </w:tcPr>
                <w:p w14:paraId="3FD64D84">
                  <w:pPr>
                    <w:pStyle w:val="52"/>
                  </w:pPr>
                  <w:r>
                    <w:rPr>
                      <w:rFonts w:hint="eastAsia"/>
                      <w:szCs w:val="24"/>
                    </w:rPr>
                    <w:t>Ⅳ</w:t>
                  </w:r>
                </w:p>
              </w:tc>
              <w:tc>
                <w:tcPr>
                  <w:tcW w:w="395" w:type="pct"/>
                  <w:vAlign w:val="center"/>
                </w:tcPr>
                <w:p w14:paraId="1B6896E6">
                  <w:pPr>
                    <w:pStyle w:val="52"/>
                  </w:pPr>
                  <w:r>
                    <w:rPr>
                      <w:rFonts w:hint="eastAsia"/>
                    </w:rPr>
                    <w:t>劣Ⅴ</w:t>
                  </w:r>
                </w:p>
              </w:tc>
            </w:tr>
          </w:tbl>
          <w:p w14:paraId="236572F3">
            <w:pPr>
              <w:pStyle w:val="68"/>
              <w:spacing w:line="440" w:lineRule="exact"/>
              <w:ind w:firstLine="480"/>
              <w:rPr>
                <w:sz w:val="24"/>
                <w:szCs w:val="24"/>
              </w:rPr>
            </w:pPr>
            <w:r>
              <w:rPr>
                <w:sz w:val="24"/>
                <w:szCs w:val="24"/>
              </w:rPr>
              <w:t>根据</w:t>
            </w:r>
            <w:r>
              <w:rPr>
                <w:rFonts w:hint="eastAsia"/>
                <w:sz w:val="24"/>
                <w:szCs w:val="24"/>
              </w:rPr>
              <w:t>上表</w:t>
            </w:r>
            <w:r>
              <w:rPr>
                <w:sz w:val="24"/>
                <w:szCs w:val="24"/>
              </w:rPr>
              <w:t>，</w:t>
            </w:r>
            <w:bookmarkStart w:id="54" w:name="_Hlk238649527"/>
            <w:r>
              <w:rPr>
                <w:rFonts w:hint="eastAsia"/>
                <w:sz w:val="24"/>
                <w:szCs w:val="24"/>
              </w:rPr>
              <w:t>2025年7月、8月、12月温池</w:t>
            </w:r>
            <w:r>
              <w:rPr>
                <w:sz w:val="24"/>
                <w:szCs w:val="24"/>
              </w:rPr>
              <w:t>断面监测结果</w:t>
            </w:r>
            <w:r>
              <w:rPr>
                <w:rFonts w:hint="eastAsia"/>
                <w:sz w:val="24"/>
                <w:szCs w:val="24"/>
              </w:rPr>
              <w:t>不满足</w:t>
            </w:r>
            <w:r>
              <w:rPr>
                <w:sz w:val="24"/>
                <w:szCs w:val="24"/>
              </w:rPr>
              <w:t>《地表水环境质量标准》</w:t>
            </w:r>
            <w:r>
              <w:rPr>
                <w:rFonts w:hint="eastAsia"/>
                <w:sz w:val="24"/>
                <w:szCs w:val="24"/>
              </w:rPr>
              <w:t>（</w:t>
            </w:r>
            <w:r>
              <w:rPr>
                <w:sz w:val="24"/>
                <w:szCs w:val="24"/>
              </w:rPr>
              <w:t>GB3838-2002</w:t>
            </w:r>
            <w:r>
              <w:rPr>
                <w:rFonts w:hint="eastAsia"/>
                <w:sz w:val="24"/>
                <w:szCs w:val="24"/>
              </w:rPr>
              <w:t>）</w:t>
            </w:r>
            <w:r>
              <w:rPr>
                <w:sz w:val="24"/>
                <w:szCs w:val="24"/>
              </w:rPr>
              <w:t>中</w:t>
            </w:r>
            <w:r>
              <w:rPr>
                <w:rFonts w:hint="eastAsia"/>
                <w:sz w:val="24"/>
                <w:szCs w:val="24"/>
              </w:rPr>
              <w:t>Ⅳ</w:t>
            </w:r>
            <w:r>
              <w:rPr>
                <w:sz w:val="24"/>
                <w:szCs w:val="24"/>
              </w:rPr>
              <w:t>类标准</w:t>
            </w:r>
            <w:bookmarkEnd w:id="54"/>
            <w:r>
              <w:rPr>
                <w:sz w:val="24"/>
                <w:szCs w:val="24"/>
              </w:rPr>
              <w:t>。</w:t>
            </w:r>
          </w:p>
          <w:p w14:paraId="05F78F06">
            <w:pPr>
              <w:pStyle w:val="91"/>
              <w:spacing w:before="0" w:after="0" w:line="440" w:lineRule="atLeast"/>
            </w:pPr>
            <w:r>
              <w:rPr>
                <w:rFonts w:hint="eastAsia"/>
              </w:rPr>
              <w:t>三、声环境质量现状</w:t>
            </w:r>
          </w:p>
          <w:p w14:paraId="05369C3F">
            <w:pPr>
              <w:pStyle w:val="72"/>
              <w:spacing w:line="400" w:lineRule="exact"/>
              <w:ind w:firstLine="480"/>
              <w:rPr>
                <w:color w:val="EE0000"/>
                <w:sz w:val="24"/>
                <w:szCs w:val="22"/>
              </w:rPr>
            </w:pPr>
            <w:r>
              <w:rPr>
                <w:rFonts w:hint="eastAsia"/>
                <w:sz w:val="24"/>
                <w:szCs w:val="22"/>
              </w:rPr>
              <w:t>本项目与鑫海通石料加工项目位于同一厂界内，该企业现已停产多年，厂界范围内无现状声源。且厂界外50m范围内无村庄、居民区等声环境保护目标分布，无需开展声环境质量现状监测，厂址周边声环境质量现状一般。</w:t>
            </w:r>
          </w:p>
          <w:p w14:paraId="1B14BFCE">
            <w:pPr>
              <w:pStyle w:val="91"/>
            </w:pPr>
            <w:r>
              <w:rPr>
                <w:rFonts w:hint="eastAsia"/>
              </w:rPr>
              <w:t>四、生态环境现状</w:t>
            </w:r>
          </w:p>
          <w:p w14:paraId="060F0E0B">
            <w:pPr>
              <w:pStyle w:val="72"/>
              <w:spacing w:line="400" w:lineRule="exact"/>
              <w:ind w:firstLine="480"/>
              <w:rPr>
                <w:rFonts w:cs="宋体"/>
                <w:sz w:val="24"/>
                <w:szCs w:val="24"/>
              </w:rPr>
            </w:pPr>
            <w:r>
              <w:rPr>
                <w:rFonts w:hint="eastAsia" w:cs="宋体"/>
                <w:sz w:val="24"/>
                <w:szCs w:val="24"/>
              </w:rPr>
              <w:t>本项目租用现有闲置厂房，厂区周围用地主要为裸地和零星灌草丛，植被覆盖率一般，受人类活动影响，项目区域几乎没有野生动物活动。</w:t>
            </w:r>
          </w:p>
        </w:tc>
      </w:tr>
      <w:tr w14:paraId="7BDD87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vAlign w:val="center"/>
          </w:tcPr>
          <w:p w14:paraId="6023B89B">
            <w:pPr>
              <w:adjustRightInd w:val="0"/>
              <w:snapToGrid w:val="0"/>
              <w:jc w:val="center"/>
              <w:rPr>
                <w:rFonts w:cs="宋体"/>
                <w:kern w:val="0"/>
                <w:sz w:val="24"/>
              </w:rPr>
            </w:pPr>
            <w:r>
              <w:rPr>
                <w:rFonts w:hint="eastAsia" w:cs="宋体"/>
                <w:kern w:val="0"/>
                <w:sz w:val="24"/>
              </w:rPr>
              <w:t>环境</w:t>
            </w:r>
          </w:p>
          <w:p w14:paraId="556DE913">
            <w:pPr>
              <w:adjustRightInd w:val="0"/>
              <w:snapToGrid w:val="0"/>
              <w:jc w:val="center"/>
              <w:rPr>
                <w:rFonts w:cs="宋体"/>
                <w:kern w:val="0"/>
                <w:sz w:val="24"/>
              </w:rPr>
            </w:pPr>
            <w:r>
              <w:rPr>
                <w:rFonts w:hint="eastAsia" w:cs="宋体"/>
                <w:kern w:val="0"/>
                <w:sz w:val="24"/>
              </w:rPr>
              <w:t>保护</w:t>
            </w:r>
          </w:p>
          <w:p w14:paraId="749364C7">
            <w:pPr>
              <w:adjustRightInd w:val="0"/>
              <w:snapToGrid w:val="0"/>
              <w:jc w:val="center"/>
              <w:rPr>
                <w:rFonts w:cs="宋体"/>
                <w:kern w:val="0"/>
                <w:szCs w:val="21"/>
              </w:rPr>
            </w:pPr>
            <w:r>
              <w:rPr>
                <w:rFonts w:hint="eastAsia" w:cs="宋体"/>
                <w:kern w:val="0"/>
                <w:sz w:val="24"/>
              </w:rPr>
              <w:t>目标</w:t>
            </w:r>
          </w:p>
        </w:tc>
        <w:tc>
          <w:tcPr>
            <w:tcW w:w="8190" w:type="dxa"/>
            <w:vAlign w:val="center"/>
          </w:tcPr>
          <w:p w14:paraId="558E0F31">
            <w:pPr>
              <w:pStyle w:val="101"/>
              <w:snapToGrid/>
              <w:spacing w:before="0" w:after="0"/>
              <w:ind w:firstLine="480"/>
              <w:rPr>
                <w:rFonts w:ascii="Times New Roman" w:hAnsi="Times New Roman"/>
                <w:b w:val="0"/>
                <w:color w:val="000000"/>
              </w:rPr>
            </w:pPr>
            <w:r>
              <w:rPr>
                <w:rFonts w:hint="eastAsia" w:ascii="Times New Roman" w:hAnsi="Times New Roman"/>
                <w:b w:val="0"/>
                <w:color w:val="000000"/>
              </w:rPr>
              <w:t>1.</w:t>
            </w:r>
            <w:r>
              <w:rPr>
                <w:rFonts w:ascii="Times New Roman" w:hAnsi="Times New Roman"/>
                <w:b w:val="0"/>
                <w:color w:val="000000"/>
              </w:rPr>
              <w:t>大气环境</w:t>
            </w:r>
          </w:p>
          <w:p w14:paraId="45E9B007">
            <w:pPr>
              <w:pStyle w:val="102"/>
              <w:spacing w:after="0" w:line="440" w:lineRule="exact"/>
              <w:ind w:firstLine="480" w:firstLineChars="200"/>
              <w:rPr>
                <w:rFonts w:ascii="Times New Roman" w:hAnsi="Times New Roman"/>
                <w:color w:val="000000"/>
                <w:sz w:val="24"/>
              </w:rPr>
            </w:pPr>
            <w:r>
              <w:rPr>
                <w:rFonts w:ascii="Times New Roman" w:hAnsi="Times New Roman"/>
                <w:bCs/>
                <w:color w:val="000000"/>
                <w:sz w:val="24"/>
              </w:rPr>
              <w:t>经调查，项目厂界外500m范围内环境空气保护目标为</w:t>
            </w:r>
            <w:r>
              <w:rPr>
                <w:rFonts w:hint="eastAsia" w:ascii="Times New Roman" w:hAnsi="Times New Roman"/>
                <w:bCs/>
                <w:color w:val="000000"/>
                <w:sz w:val="24"/>
              </w:rPr>
              <w:t>熬子坡</w:t>
            </w:r>
            <w:r>
              <w:rPr>
                <w:rFonts w:ascii="Times New Roman" w:hAnsi="Times New Roman"/>
                <w:bCs/>
                <w:color w:val="000000"/>
                <w:sz w:val="24"/>
              </w:rPr>
              <w:t>村。</w:t>
            </w:r>
          </w:p>
          <w:p w14:paraId="3112E598">
            <w:pPr>
              <w:pStyle w:val="101"/>
              <w:snapToGrid/>
              <w:spacing w:before="0" w:after="0"/>
              <w:ind w:firstLine="480"/>
              <w:rPr>
                <w:rFonts w:ascii="Times New Roman" w:hAnsi="Times New Roman"/>
                <w:b w:val="0"/>
                <w:color w:val="000000"/>
              </w:rPr>
            </w:pPr>
            <w:r>
              <w:rPr>
                <w:rFonts w:hint="eastAsia" w:ascii="Times New Roman" w:hAnsi="Times New Roman"/>
                <w:b w:val="0"/>
                <w:color w:val="000000"/>
              </w:rPr>
              <w:t>2.</w:t>
            </w:r>
            <w:r>
              <w:rPr>
                <w:rFonts w:ascii="Times New Roman" w:hAnsi="Times New Roman"/>
                <w:b w:val="0"/>
                <w:color w:val="000000"/>
              </w:rPr>
              <w:t>声环境</w:t>
            </w:r>
          </w:p>
          <w:p w14:paraId="3CFEC505">
            <w:pPr>
              <w:pStyle w:val="103"/>
              <w:autoSpaceDE w:val="0"/>
              <w:autoSpaceDN w:val="0"/>
              <w:spacing w:line="440" w:lineRule="exact"/>
              <w:ind w:firstLine="480"/>
              <w:rPr>
                <w:rFonts w:ascii="Times New Roman" w:hAnsi="Times New Roman"/>
                <w:bCs/>
                <w:sz w:val="24"/>
              </w:rPr>
            </w:pPr>
            <w:r>
              <w:rPr>
                <w:rFonts w:ascii="Times New Roman" w:hAnsi="Times New Roman"/>
                <w:bCs/>
                <w:sz w:val="24"/>
              </w:rPr>
              <w:t>经调查，项目厂界外50m范围内无医院、学校、机关、住宅等声环境保护目标。</w:t>
            </w:r>
          </w:p>
          <w:p w14:paraId="14D931A0">
            <w:pPr>
              <w:pStyle w:val="101"/>
              <w:snapToGrid/>
              <w:spacing w:before="0" w:after="0"/>
              <w:ind w:firstLine="480"/>
              <w:rPr>
                <w:rFonts w:ascii="Times New Roman" w:hAnsi="Times New Roman"/>
                <w:b w:val="0"/>
              </w:rPr>
            </w:pPr>
            <w:r>
              <w:rPr>
                <w:rFonts w:hint="eastAsia" w:ascii="Times New Roman" w:hAnsi="Times New Roman"/>
                <w:b w:val="0"/>
              </w:rPr>
              <w:t>3.地表水</w:t>
            </w:r>
          </w:p>
          <w:p w14:paraId="6B5194AC">
            <w:pPr>
              <w:pStyle w:val="101"/>
              <w:snapToGrid/>
              <w:spacing w:before="0" w:after="0"/>
              <w:ind w:firstLine="480"/>
              <w:rPr>
                <w:rFonts w:ascii="Times New Roman" w:hAnsi="Times New Roman"/>
                <w:b w:val="0"/>
              </w:rPr>
            </w:pPr>
            <w:r>
              <w:rPr>
                <w:rFonts w:hint="eastAsia" w:ascii="Times New Roman" w:hAnsi="Times New Roman"/>
                <w:b w:val="0"/>
              </w:rPr>
              <w:t>本项目所在区域周边无地表水体分布，距离本项目最近的地表水体为温河，位于厂址南侧3.5km处。</w:t>
            </w:r>
          </w:p>
          <w:p w14:paraId="33C18A9D">
            <w:pPr>
              <w:pStyle w:val="101"/>
              <w:snapToGrid/>
              <w:spacing w:before="0" w:after="0"/>
              <w:ind w:firstLine="480"/>
              <w:rPr>
                <w:rFonts w:ascii="Times New Roman" w:hAnsi="Times New Roman"/>
                <w:b w:val="0"/>
              </w:rPr>
            </w:pPr>
            <w:r>
              <w:rPr>
                <w:rFonts w:hint="eastAsia" w:ascii="Times New Roman" w:hAnsi="Times New Roman"/>
                <w:b w:val="0"/>
              </w:rPr>
              <w:t>4.</w:t>
            </w:r>
            <w:r>
              <w:rPr>
                <w:rFonts w:ascii="Times New Roman" w:hAnsi="Times New Roman"/>
                <w:b w:val="0"/>
              </w:rPr>
              <w:t>地下水环境</w:t>
            </w:r>
          </w:p>
          <w:p w14:paraId="22EF73E4">
            <w:pPr>
              <w:pStyle w:val="99"/>
              <w:spacing w:line="440" w:lineRule="exact"/>
              <w:rPr>
                <w:rFonts w:ascii="Times New Roman" w:hAnsi="Times New Roman"/>
              </w:rPr>
            </w:pPr>
            <w:r>
              <w:rPr>
                <w:rFonts w:hint="eastAsia" w:ascii="Times New Roman" w:hAnsi="Times New Roman"/>
              </w:rPr>
              <w:t>经调查项目厂界外500m范围内无地下水集中式饮用水水源、热源、矿泉水、温泉地下水资源。本项目位于娘子关泉域范围内，不位于重点保护区、裸露岩溶区内，项目厂址距离重点保护区边界约10.7km。</w:t>
            </w:r>
          </w:p>
          <w:p w14:paraId="573DB6E9">
            <w:pPr>
              <w:spacing w:line="450" w:lineRule="exact"/>
              <w:ind w:firstLine="480" w:firstLineChars="200"/>
              <w:rPr>
                <w:sz w:val="24"/>
              </w:rPr>
            </w:pPr>
            <w:r>
              <w:rPr>
                <w:sz w:val="24"/>
              </w:rPr>
              <w:t>水源地</w:t>
            </w:r>
          </w:p>
          <w:p w14:paraId="759EF49D">
            <w:pPr>
              <w:pStyle w:val="99"/>
              <w:spacing w:line="440" w:lineRule="exact"/>
              <w:rPr>
                <w:rFonts w:ascii="Times New Roman" w:hAnsi="Times New Roman"/>
                <w:szCs w:val="22"/>
              </w:rPr>
            </w:pPr>
            <w:r>
              <w:rPr>
                <w:rFonts w:hint="eastAsia" w:ascii="Times New Roman" w:hAnsi="Times New Roman"/>
                <w:szCs w:val="22"/>
              </w:rPr>
              <w:t>项目厂址西北距离最近的县城集中式饮用水源地—兴道饮用水源地一级保护区边界约10.7km，东南距离最近的乡镇饮用水源—孙家庄镇集中供水水源地一级保护区边界7.44km。南距最近的村级饮用水水源地东白水水源地最近距离约4.1km。</w:t>
            </w:r>
          </w:p>
          <w:p w14:paraId="6E1B216B">
            <w:pPr>
              <w:pStyle w:val="99"/>
              <w:spacing w:line="440" w:lineRule="exact"/>
              <w:rPr>
                <w:rFonts w:ascii="Times New Roman" w:hAnsi="Times New Roman"/>
                <w:color w:val="000000"/>
              </w:rPr>
            </w:pPr>
            <w:r>
              <w:rPr>
                <w:rFonts w:hint="eastAsia" w:ascii="Times New Roman" w:hAnsi="Times New Roman"/>
                <w:color w:val="000000"/>
              </w:rPr>
              <w:t>项目与娘子关泉域位置关系见附图8，项目与集中式饮用水源地位置关系见附图9、附图10，</w:t>
            </w:r>
            <w:r>
              <w:rPr>
                <w:rFonts w:hint="eastAsia"/>
                <w:szCs w:val="22"/>
              </w:rPr>
              <w:t>盂县地表水系图见附图</w:t>
            </w:r>
            <w:r>
              <w:rPr>
                <w:rFonts w:hint="eastAsia" w:ascii="Times New Roman" w:hAnsi="Times New Roman"/>
                <w:szCs w:val="22"/>
              </w:rPr>
              <w:t>11</w:t>
            </w:r>
            <w:r>
              <w:rPr>
                <w:rFonts w:hint="eastAsia"/>
                <w:szCs w:val="22"/>
              </w:rPr>
              <w:t>。</w:t>
            </w:r>
          </w:p>
          <w:p w14:paraId="21DE05C7">
            <w:pPr>
              <w:pStyle w:val="72"/>
              <w:spacing w:line="400" w:lineRule="exact"/>
              <w:ind w:firstLine="480"/>
              <w:rPr>
                <w:sz w:val="24"/>
                <w:szCs w:val="22"/>
              </w:rPr>
            </w:pPr>
            <w:r>
              <w:rPr>
                <w:rFonts w:hint="eastAsia"/>
                <w:sz w:val="24"/>
                <w:szCs w:val="22"/>
              </w:rPr>
              <w:t>本</w:t>
            </w:r>
            <w:r>
              <w:rPr>
                <w:sz w:val="24"/>
                <w:szCs w:val="22"/>
              </w:rPr>
              <w:t>项目</w:t>
            </w:r>
            <w:r>
              <w:rPr>
                <w:rFonts w:hint="eastAsia"/>
                <w:sz w:val="24"/>
                <w:szCs w:val="22"/>
              </w:rPr>
              <w:t>环境</w:t>
            </w:r>
            <w:r>
              <w:rPr>
                <w:sz w:val="24"/>
                <w:szCs w:val="22"/>
              </w:rPr>
              <w:t>保护目标见下表</w:t>
            </w:r>
            <w:r>
              <w:rPr>
                <w:rFonts w:hint="eastAsia"/>
                <w:sz w:val="24"/>
                <w:szCs w:val="22"/>
              </w:rPr>
              <w:t>。</w:t>
            </w:r>
          </w:p>
          <w:p w14:paraId="5D90592A">
            <w:pPr>
              <w:pStyle w:val="45"/>
              <w:rPr>
                <w:rFonts w:ascii="Times New Roman" w:hAnsi="Times New Roman"/>
                <w:sz w:val="24"/>
                <w:szCs w:val="24"/>
              </w:rPr>
            </w:pPr>
            <w:r>
              <w:rPr>
                <w:rFonts w:hint="eastAsia" w:ascii="Times New Roman" w:hAnsi="Times New Roman"/>
                <w:sz w:val="24"/>
                <w:szCs w:val="24"/>
              </w:rPr>
              <w:t xml:space="preserve">表3-4  </w:t>
            </w:r>
            <w:r>
              <w:rPr>
                <w:rFonts w:ascii="Times New Roman" w:hAnsi="Times New Roman"/>
                <w:sz w:val="24"/>
                <w:szCs w:val="24"/>
              </w:rPr>
              <w:t>环境保护目标一览表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0" w:type="dxa"/>
                <w:bottom w:w="0" w:type="dxa"/>
                <w:right w:w="0" w:type="dxa"/>
              </w:tblCellMar>
            </w:tblPr>
            <w:tblGrid>
              <w:gridCol w:w="917"/>
              <w:gridCol w:w="1007"/>
              <w:gridCol w:w="1033"/>
              <w:gridCol w:w="1070"/>
              <w:gridCol w:w="658"/>
              <w:gridCol w:w="849"/>
              <w:gridCol w:w="2612"/>
            </w:tblGrid>
            <w:tr w14:paraId="6303B4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cantSplit/>
                <w:trHeight w:val="233" w:hRule="atLeast"/>
                <w:jc w:val="center"/>
              </w:trPr>
              <w:tc>
                <w:tcPr>
                  <w:tcW w:w="563" w:type="pct"/>
                  <w:vMerge w:val="restart"/>
                  <w:tcBorders>
                    <w:top w:val="single" w:color="auto" w:sz="4" w:space="0"/>
                    <w:left w:val="single" w:color="auto" w:sz="4" w:space="0"/>
                    <w:right w:val="single" w:color="auto" w:sz="6" w:space="0"/>
                  </w:tcBorders>
                  <w:vAlign w:val="center"/>
                </w:tcPr>
                <w:p w14:paraId="05B9911B">
                  <w:pPr>
                    <w:pStyle w:val="52"/>
                    <w:spacing w:line="300" w:lineRule="exact"/>
                  </w:pPr>
                  <w:r>
                    <w:rPr>
                      <w:rFonts w:hint="eastAsia"/>
                    </w:rPr>
                    <w:t>保护类别</w:t>
                  </w:r>
                </w:p>
              </w:tc>
              <w:tc>
                <w:tcPr>
                  <w:tcW w:w="618" w:type="pct"/>
                  <w:vMerge w:val="restart"/>
                  <w:tcBorders>
                    <w:top w:val="single" w:color="auto" w:sz="4" w:space="0"/>
                    <w:left w:val="single" w:color="auto" w:sz="6" w:space="0"/>
                    <w:right w:val="single" w:color="auto" w:sz="6" w:space="0"/>
                  </w:tcBorders>
                  <w:vAlign w:val="center"/>
                </w:tcPr>
                <w:p w14:paraId="3B005B0D">
                  <w:pPr>
                    <w:pStyle w:val="52"/>
                    <w:spacing w:line="300" w:lineRule="exact"/>
                  </w:pPr>
                  <w:r>
                    <w:rPr>
                      <w:rFonts w:hint="eastAsia"/>
                    </w:rPr>
                    <w:t>保护对象</w:t>
                  </w:r>
                </w:p>
              </w:tc>
              <w:tc>
                <w:tcPr>
                  <w:tcW w:w="1291" w:type="pct"/>
                  <w:gridSpan w:val="2"/>
                  <w:tcBorders>
                    <w:top w:val="single" w:color="auto" w:sz="4" w:space="0"/>
                    <w:left w:val="single" w:color="auto" w:sz="6" w:space="0"/>
                    <w:right w:val="single" w:color="auto" w:sz="6" w:space="0"/>
                  </w:tcBorders>
                  <w:vAlign w:val="center"/>
                </w:tcPr>
                <w:p w14:paraId="17B1DBF0">
                  <w:pPr>
                    <w:pStyle w:val="52"/>
                    <w:spacing w:line="300" w:lineRule="exact"/>
                  </w:pPr>
                  <w:r>
                    <w:rPr>
                      <w:rFonts w:hint="eastAsia"/>
                    </w:rPr>
                    <w:t>坐标</w:t>
                  </w:r>
                </w:p>
              </w:tc>
              <w:tc>
                <w:tcPr>
                  <w:tcW w:w="404" w:type="pct"/>
                  <w:vMerge w:val="restart"/>
                  <w:tcBorders>
                    <w:top w:val="single" w:color="auto" w:sz="4" w:space="0"/>
                    <w:left w:val="single" w:color="auto" w:sz="6" w:space="0"/>
                    <w:right w:val="single" w:color="auto" w:sz="6" w:space="0"/>
                  </w:tcBorders>
                  <w:vAlign w:val="center"/>
                </w:tcPr>
                <w:p w14:paraId="1D4F5457">
                  <w:pPr>
                    <w:pStyle w:val="52"/>
                    <w:spacing w:line="300" w:lineRule="exact"/>
                  </w:pPr>
                  <w:r>
                    <w:rPr>
                      <w:rFonts w:hint="eastAsia"/>
                    </w:rPr>
                    <w:t>方位</w:t>
                  </w:r>
                </w:p>
              </w:tc>
              <w:tc>
                <w:tcPr>
                  <w:tcW w:w="521" w:type="pct"/>
                  <w:vMerge w:val="restart"/>
                  <w:tcBorders>
                    <w:top w:val="single" w:color="auto" w:sz="4" w:space="0"/>
                    <w:left w:val="single" w:color="auto" w:sz="6" w:space="0"/>
                    <w:right w:val="single" w:color="auto" w:sz="6" w:space="0"/>
                  </w:tcBorders>
                  <w:vAlign w:val="center"/>
                </w:tcPr>
                <w:p w14:paraId="07635265">
                  <w:pPr>
                    <w:pStyle w:val="52"/>
                    <w:spacing w:line="300" w:lineRule="exact"/>
                  </w:pPr>
                  <w:r>
                    <w:rPr>
                      <w:rFonts w:hint="eastAsia"/>
                    </w:rPr>
                    <w:t>距离（</w:t>
                  </w:r>
                  <w:r>
                    <w:t>km</w:t>
                  </w:r>
                  <w:r>
                    <w:rPr>
                      <w:rFonts w:hint="eastAsia"/>
                    </w:rPr>
                    <w:t>）</w:t>
                  </w:r>
                </w:p>
              </w:tc>
              <w:tc>
                <w:tcPr>
                  <w:tcW w:w="1603" w:type="pct"/>
                  <w:vMerge w:val="restart"/>
                  <w:tcBorders>
                    <w:top w:val="single" w:color="auto" w:sz="4" w:space="0"/>
                    <w:left w:val="single" w:color="auto" w:sz="6" w:space="0"/>
                    <w:right w:val="single" w:color="auto" w:sz="4" w:space="0"/>
                  </w:tcBorders>
                  <w:vAlign w:val="center"/>
                </w:tcPr>
                <w:p w14:paraId="085C966E">
                  <w:pPr>
                    <w:pStyle w:val="52"/>
                    <w:spacing w:line="300" w:lineRule="exact"/>
                  </w:pPr>
                  <w:r>
                    <w:rPr>
                      <w:rFonts w:hint="eastAsia"/>
                    </w:rPr>
                    <w:t>保护级别及要求</w:t>
                  </w:r>
                </w:p>
              </w:tc>
            </w:tr>
            <w:tr w14:paraId="21ED3B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cantSplit/>
                <w:trHeight w:val="232" w:hRule="atLeast"/>
                <w:jc w:val="center"/>
              </w:trPr>
              <w:tc>
                <w:tcPr>
                  <w:tcW w:w="563" w:type="pct"/>
                  <w:vMerge w:val="continue"/>
                  <w:tcBorders>
                    <w:left w:val="single" w:color="auto" w:sz="4" w:space="0"/>
                    <w:right w:val="single" w:color="auto" w:sz="6" w:space="0"/>
                  </w:tcBorders>
                  <w:vAlign w:val="center"/>
                </w:tcPr>
                <w:p w14:paraId="202147DA">
                  <w:pPr>
                    <w:pStyle w:val="52"/>
                    <w:spacing w:line="300" w:lineRule="exact"/>
                  </w:pPr>
                </w:p>
              </w:tc>
              <w:tc>
                <w:tcPr>
                  <w:tcW w:w="618" w:type="pct"/>
                  <w:vMerge w:val="continue"/>
                  <w:tcBorders>
                    <w:left w:val="single" w:color="auto" w:sz="6" w:space="0"/>
                    <w:right w:val="single" w:color="auto" w:sz="6" w:space="0"/>
                  </w:tcBorders>
                  <w:vAlign w:val="center"/>
                </w:tcPr>
                <w:p w14:paraId="37CE3A15">
                  <w:pPr>
                    <w:pStyle w:val="52"/>
                    <w:spacing w:line="300" w:lineRule="exact"/>
                  </w:pPr>
                </w:p>
              </w:tc>
              <w:tc>
                <w:tcPr>
                  <w:tcW w:w="634" w:type="pct"/>
                  <w:tcBorders>
                    <w:top w:val="single" w:color="auto" w:sz="4" w:space="0"/>
                    <w:left w:val="single" w:color="auto" w:sz="6" w:space="0"/>
                    <w:right w:val="single" w:color="auto" w:sz="6" w:space="0"/>
                  </w:tcBorders>
                  <w:vAlign w:val="center"/>
                </w:tcPr>
                <w:p w14:paraId="7D9700D5">
                  <w:pPr>
                    <w:pStyle w:val="52"/>
                    <w:spacing w:line="300" w:lineRule="exact"/>
                  </w:pPr>
                  <w:r>
                    <w:rPr>
                      <w:rFonts w:hint="eastAsia"/>
                    </w:rPr>
                    <w:t>经度</w:t>
                  </w:r>
                </w:p>
              </w:tc>
              <w:tc>
                <w:tcPr>
                  <w:tcW w:w="657" w:type="pct"/>
                  <w:tcBorders>
                    <w:top w:val="single" w:color="auto" w:sz="4" w:space="0"/>
                    <w:left w:val="single" w:color="auto" w:sz="6" w:space="0"/>
                    <w:right w:val="single" w:color="auto" w:sz="6" w:space="0"/>
                  </w:tcBorders>
                  <w:vAlign w:val="center"/>
                </w:tcPr>
                <w:p w14:paraId="2507D6FA">
                  <w:pPr>
                    <w:pStyle w:val="52"/>
                    <w:spacing w:line="300" w:lineRule="exact"/>
                  </w:pPr>
                  <w:r>
                    <w:rPr>
                      <w:rFonts w:hint="eastAsia"/>
                    </w:rPr>
                    <w:t>纬度</w:t>
                  </w:r>
                </w:p>
              </w:tc>
              <w:tc>
                <w:tcPr>
                  <w:tcW w:w="404" w:type="pct"/>
                  <w:vMerge w:val="continue"/>
                  <w:tcBorders>
                    <w:left w:val="single" w:color="auto" w:sz="6" w:space="0"/>
                    <w:right w:val="single" w:color="auto" w:sz="6" w:space="0"/>
                  </w:tcBorders>
                  <w:vAlign w:val="center"/>
                </w:tcPr>
                <w:p w14:paraId="38CF085E">
                  <w:pPr>
                    <w:pStyle w:val="52"/>
                    <w:spacing w:line="300" w:lineRule="exact"/>
                  </w:pPr>
                </w:p>
              </w:tc>
              <w:tc>
                <w:tcPr>
                  <w:tcW w:w="521" w:type="pct"/>
                  <w:vMerge w:val="continue"/>
                  <w:tcBorders>
                    <w:left w:val="single" w:color="auto" w:sz="6" w:space="0"/>
                    <w:right w:val="single" w:color="auto" w:sz="6" w:space="0"/>
                  </w:tcBorders>
                  <w:vAlign w:val="center"/>
                </w:tcPr>
                <w:p w14:paraId="7980C5ED">
                  <w:pPr>
                    <w:pStyle w:val="52"/>
                    <w:spacing w:line="300" w:lineRule="exact"/>
                  </w:pPr>
                </w:p>
              </w:tc>
              <w:tc>
                <w:tcPr>
                  <w:tcW w:w="1603" w:type="pct"/>
                  <w:vMerge w:val="continue"/>
                  <w:tcBorders>
                    <w:left w:val="single" w:color="auto" w:sz="6" w:space="0"/>
                    <w:right w:val="single" w:color="auto" w:sz="4" w:space="0"/>
                  </w:tcBorders>
                  <w:vAlign w:val="center"/>
                </w:tcPr>
                <w:p w14:paraId="5C3615C0">
                  <w:pPr>
                    <w:pStyle w:val="52"/>
                    <w:spacing w:line="300" w:lineRule="exact"/>
                  </w:pPr>
                </w:p>
              </w:tc>
            </w:tr>
            <w:tr w14:paraId="49BF23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cantSplit/>
                <w:trHeight w:val="20" w:hRule="atLeast"/>
                <w:jc w:val="center"/>
              </w:trPr>
              <w:tc>
                <w:tcPr>
                  <w:tcW w:w="563" w:type="pct"/>
                  <w:tcBorders>
                    <w:top w:val="single" w:color="auto" w:sz="6" w:space="0"/>
                    <w:left w:val="single" w:color="auto" w:sz="4" w:space="0"/>
                    <w:right w:val="single" w:color="auto" w:sz="6" w:space="0"/>
                  </w:tcBorders>
                  <w:vAlign w:val="center"/>
                </w:tcPr>
                <w:p w14:paraId="25217A8C">
                  <w:pPr>
                    <w:pStyle w:val="52"/>
                    <w:spacing w:line="300" w:lineRule="exact"/>
                  </w:pPr>
                  <w:r>
                    <w:rPr>
                      <w:rFonts w:hint="eastAsia"/>
                    </w:rPr>
                    <w:t>环境空气</w:t>
                  </w:r>
                </w:p>
              </w:tc>
              <w:tc>
                <w:tcPr>
                  <w:tcW w:w="618" w:type="pct"/>
                  <w:tcBorders>
                    <w:top w:val="single" w:color="auto" w:sz="6" w:space="0"/>
                    <w:left w:val="single" w:color="auto" w:sz="6" w:space="0"/>
                    <w:bottom w:val="single" w:color="auto" w:sz="6" w:space="0"/>
                    <w:right w:val="single" w:color="auto" w:sz="6" w:space="0"/>
                  </w:tcBorders>
                  <w:vAlign w:val="center"/>
                </w:tcPr>
                <w:p w14:paraId="10671937">
                  <w:pPr>
                    <w:pStyle w:val="52"/>
                    <w:spacing w:line="300" w:lineRule="exact"/>
                  </w:pPr>
                  <w:r>
                    <w:rPr>
                      <w:rFonts w:hint="eastAsia"/>
                    </w:rPr>
                    <w:t>熬子坡村</w:t>
                  </w:r>
                </w:p>
              </w:tc>
              <w:tc>
                <w:tcPr>
                  <w:tcW w:w="634" w:type="pct"/>
                  <w:tcBorders>
                    <w:left w:val="single" w:color="auto" w:sz="6" w:space="0"/>
                    <w:right w:val="single" w:color="auto" w:sz="6" w:space="0"/>
                  </w:tcBorders>
                  <w:vAlign w:val="center"/>
                </w:tcPr>
                <w:p w14:paraId="5E3F09FA">
                  <w:pPr>
                    <w:pStyle w:val="52"/>
                    <w:spacing w:line="300" w:lineRule="exact"/>
                  </w:pPr>
                  <w:r>
                    <w:t>113.39296</w:t>
                  </w:r>
                </w:p>
              </w:tc>
              <w:tc>
                <w:tcPr>
                  <w:tcW w:w="657" w:type="pct"/>
                  <w:tcBorders>
                    <w:left w:val="single" w:color="auto" w:sz="6" w:space="0"/>
                    <w:right w:val="single" w:color="auto" w:sz="6" w:space="0"/>
                  </w:tcBorders>
                  <w:vAlign w:val="center"/>
                </w:tcPr>
                <w:p w14:paraId="336EA219">
                  <w:pPr>
                    <w:pStyle w:val="52"/>
                    <w:spacing w:line="300" w:lineRule="exact"/>
                  </w:pPr>
                  <w:r>
                    <w:t>38.13707</w:t>
                  </w:r>
                </w:p>
              </w:tc>
              <w:tc>
                <w:tcPr>
                  <w:tcW w:w="404" w:type="pct"/>
                  <w:tcBorders>
                    <w:left w:val="single" w:color="auto" w:sz="6" w:space="0"/>
                    <w:right w:val="single" w:color="auto" w:sz="6" w:space="0"/>
                  </w:tcBorders>
                  <w:vAlign w:val="center"/>
                </w:tcPr>
                <w:p w14:paraId="364D7099">
                  <w:pPr>
                    <w:pStyle w:val="52"/>
                    <w:spacing w:line="300" w:lineRule="exact"/>
                  </w:pPr>
                  <w:r>
                    <w:rPr>
                      <w:rFonts w:hint="eastAsia"/>
                    </w:rPr>
                    <w:t>N</w:t>
                  </w:r>
                  <w:r>
                    <w:t>E</w:t>
                  </w:r>
                </w:p>
              </w:tc>
              <w:tc>
                <w:tcPr>
                  <w:tcW w:w="521" w:type="pct"/>
                  <w:tcBorders>
                    <w:left w:val="single" w:color="auto" w:sz="6" w:space="0"/>
                    <w:right w:val="single" w:color="auto" w:sz="6" w:space="0"/>
                  </w:tcBorders>
                  <w:vAlign w:val="center"/>
                </w:tcPr>
                <w:p w14:paraId="53E57D6A">
                  <w:pPr>
                    <w:pStyle w:val="52"/>
                    <w:spacing w:line="300" w:lineRule="exact"/>
                  </w:pPr>
                  <w:r>
                    <w:rPr>
                      <w:rFonts w:hint="eastAsia"/>
                    </w:rPr>
                    <w:t>0.35</w:t>
                  </w:r>
                </w:p>
              </w:tc>
              <w:tc>
                <w:tcPr>
                  <w:tcW w:w="1603" w:type="pct"/>
                  <w:tcBorders>
                    <w:top w:val="single" w:color="auto" w:sz="6" w:space="0"/>
                    <w:left w:val="single" w:color="auto" w:sz="6" w:space="0"/>
                    <w:right w:val="single" w:color="auto" w:sz="4" w:space="0"/>
                  </w:tcBorders>
                  <w:vAlign w:val="center"/>
                </w:tcPr>
                <w:p w14:paraId="26093190">
                  <w:pPr>
                    <w:pStyle w:val="52"/>
                    <w:spacing w:line="300" w:lineRule="exact"/>
                  </w:pPr>
                  <w:r>
                    <w:rPr>
                      <w:rFonts w:hint="eastAsia"/>
                    </w:rPr>
                    <w:t>《环境空气质量标准》（</w:t>
                  </w:r>
                  <w:r>
                    <w:t>GB3095-20</w:t>
                  </w:r>
                  <w:r>
                    <w:rPr>
                      <w:rFonts w:hint="eastAsia"/>
                    </w:rPr>
                    <w:t>26）二级标准</w:t>
                  </w:r>
                </w:p>
              </w:tc>
            </w:tr>
            <w:tr w14:paraId="028357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cantSplit/>
                <w:trHeight w:val="20" w:hRule="atLeast"/>
                <w:jc w:val="center"/>
              </w:trPr>
              <w:tc>
                <w:tcPr>
                  <w:tcW w:w="563" w:type="pct"/>
                  <w:tcBorders>
                    <w:top w:val="single" w:color="auto" w:sz="6" w:space="0"/>
                    <w:left w:val="single" w:color="auto" w:sz="4" w:space="0"/>
                    <w:bottom w:val="single" w:color="auto" w:sz="6" w:space="0"/>
                    <w:right w:val="single" w:color="auto" w:sz="6" w:space="0"/>
                  </w:tcBorders>
                  <w:vAlign w:val="center"/>
                </w:tcPr>
                <w:p w14:paraId="44D200EE">
                  <w:pPr>
                    <w:pStyle w:val="52"/>
                    <w:spacing w:line="300" w:lineRule="exact"/>
                  </w:pPr>
                  <w:r>
                    <w:rPr>
                      <w:rFonts w:hint="eastAsia"/>
                    </w:rPr>
                    <w:t>地下水</w:t>
                  </w:r>
                </w:p>
              </w:tc>
              <w:tc>
                <w:tcPr>
                  <w:tcW w:w="2834" w:type="pct"/>
                  <w:gridSpan w:val="5"/>
                  <w:tcBorders>
                    <w:top w:val="single" w:color="auto" w:sz="6" w:space="0"/>
                    <w:left w:val="single" w:color="auto" w:sz="6" w:space="0"/>
                    <w:bottom w:val="single" w:color="auto" w:sz="6" w:space="0"/>
                    <w:right w:val="single" w:color="auto" w:sz="6" w:space="0"/>
                  </w:tcBorders>
                  <w:vAlign w:val="center"/>
                </w:tcPr>
                <w:p w14:paraId="477A8F64">
                  <w:pPr>
                    <w:pStyle w:val="52"/>
                    <w:spacing w:line="300" w:lineRule="exact"/>
                  </w:pPr>
                  <w:r>
                    <w:rPr>
                      <w:rFonts w:hint="eastAsia"/>
                    </w:rPr>
                    <w:t>项目位于娘子关泉域范围内，</w:t>
                  </w:r>
                  <w:r>
                    <w:rPr>
                      <w:rFonts w:hint="eastAsia"/>
                      <w:color w:val="000000"/>
                    </w:rPr>
                    <w:t>不位于重点保护区内</w:t>
                  </w:r>
                </w:p>
              </w:tc>
              <w:tc>
                <w:tcPr>
                  <w:tcW w:w="1603" w:type="pct"/>
                  <w:tcBorders>
                    <w:top w:val="single" w:color="auto" w:sz="6" w:space="0"/>
                    <w:left w:val="single" w:color="auto" w:sz="6" w:space="0"/>
                    <w:bottom w:val="single" w:color="auto" w:sz="6" w:space="0"/>
                    <w:right w:val="single" w:color="auto" w:sz="4" w:space="0"/>
                  </w:tcBorders>
                  <w:vAlign w:val="center"/>
                </w:tcPr>
                <w:p w14:paraId="43DBBC81">
                  <w:pPr>
                    <w:pStyle w:val="52"/>
                    <w:spacing w:line="300" w:lineRule="exact"/>
                  </w:pPr>
                  <w:r>
                    <w:rPr>
                      <w:rFonts w:hint="eastAsia"/>
                    </w:rPr>
                    <w:t>《地下水质量标准》（</w:t>
                  </w:r>
                  <w:r>
                    <w:t>GB/T14848-2017</w:t>
                  </w:r>
                  <w:r>
                    <w:rPr>
                      <w:rFonts w:hint="eastAsia"/>
                    </w:rPr>
                    <w:t>）</w:t>
                  </w:r>
                </w:p>
                <w:p w14:paraId="5FDB7E26">
                  <w:pPr>
                    <w:pStyle w:val="52"/>
                    <w:spacing w:line="300" w:lineRule="exact"/>
                  </w:pPr>
                  <w:r>
                    <w:t>Ⅲ</w:t>
                  </w:r>
                  <w:r>
                    <w:rPr>
                      <w:rFonts w:hint="eastAsia"/>
                    </w:rPr>
                    <w:t>类水质标准</w:t>
                  </w:r>
                </w:p>
              </w:tc>
            </w:tr>
          </w:tbl>
          <w:p w14:paraId="03B1CF2D">
            <w:pPr>
              <w:pStyle w:val="77"/>
              <w:spacing w:line="440" w:lineRule="exact"/>
              <w:rPr>
                <w:rFonts w:hint="eastAsia"/>
                <w:sz w:val="24"/>
                <w:szCs w:val="24"/>
              </w:rPr>
            </w:pPr>
            <w:r>
              <w:rPr>
                <w:rFonts w:hint="eastAsia"/>
                <w:sz w:val="24"/>
                <w:szCs w:val="24"/>
              </w:rPr>
              <w:t>主要环境敏感区</w:t>
            </w:r>
          </w:p>
          <w:p w14:paraId="5765AA72">
            <w:pPr>
              <w:pStyle w:val="59"/>
              <w:spacing w:before="0" w:beforeLines="0" w:after="0" w:afterLines="0" w:line="440" w:lineRule="exact"/>
              <w:ind w:firstLine="480"/>
            </w:pPr>
            <w:r>
              <w:rPr>
                <w:rFonts w:hint="eastAsia"/>
              </w:rPr>
              <w:t>娘子关泉域：</w:t>
            </w:r>
          </w:p>
          <w:p w14:paraId="7248B19E">
            <w:pPr>
              <w:pStyle w:val="95"/>
              <w:spacing w:line="440" w:lineRule="exact"/>
              <w:ind w:firstLine="480"/>
              <w:rPr>
                <w:sz w:val="24"/>
                <w:szCs w:val="32"/>
                <w:lang w:val="zh-CN"/>
              </w:rPr>
            </w:pPr>
            <w:r>
              <w:rPr>
                <w:rFonts w:hint="eastAsia"/>
                <w:sz w:val="24"/>
                <w:szCs w:val="32"/>
                <w:lang w:val="zh-CN"/>
              </w:rPr>
              <w:t>1.</w:t>
            </w:r>
            <w:r>
              <w:rPr>
                <w:sz w:val="24"/>
                <w:szCs w:val="32"/>
                <w:lang w:val="zh-CN"/>
              </w:rPr>
              <w:t>泉域概况</w:t>
            </w:r>
          </w:p>
          <w:p w14:paraId="69D2DFA0">
            <w:pPr>
              <w:pStyle w:val="95"/>
              <w:spacing w:line="440" w:lineRule="exact"/>
              <w:ind w:firstLine="480"/>
              <w:rPr>
                <w:sz w:val="24"/>
                <w:szCs w:val="32"/>
                <w:lang w:val="zh-CN"/>
              </w:rPr>
            </w:pPr>
            <w:r>
              <w:rPr>
                <w:sz w:val="24"/>
                <w:szCs w:val="32"/>
                <w:lang w:val="zh-CN"/>
              </w:rPr>
              <w:t>娘子关泉位于平定县娘子关镇附近</w:t>
            </w:r>
            <w:r>
              <w:rPr>
                <w:rFonts w:hint="eastAsia"/>
                <w:sz w:val="24"/>
                <w:szCs w:val="32"/>
                <w:lang w:val="zh-CN"/>
              </w:rPr>
              <w:t>，</w:t>
            </w:r>
            <w:r>
              <w:rPr>
                <w:sz w:val="24"/>
                <w:szCs w:val="32"/>
                <w:lang w:val="zh-CN"/>
              </w:rPr>
              <w:t>出露于桃河与温河汇集地段。由11个主要泉组组成，分布在自程家至苇泽关约7km长的河漫滩及阶地上</w:t>
            </w:r>
            <w:r>
              <w:rPr>
                <w:rFonts w:hint="eastAsia"/>
                <w:sz w:val="24"/>
                <w:szCs w:val="32"/>
                <w:lang w:val="zh-CN"/>
              </w:rPr>
              <w:t>，</w:t>
            </w:r>
            <w:r>
              <w:rPr>
                <w:sz w:val="24"/>
                <w:szCs w:val="32"/>
                <w:lang w:val="zh-CN"/>
              </w:rPr>
              <w:t>出露高程360～392m。泉群多年平均流量12.16m</w:t>
            </w:r>
            <w:r>
              <w:rPr>
                <w:sz w:val="24"/>
                <w:szCs w:val="32"/>
                <w:vertAlign w:val="superscript"/>
                <w:lang w:val="zh-CN"/>
              </w:rPr>
              <w:t>3</w:t>
            </w:r>
            <w:r>
              <w:rPr>
                <w:sz w:val="24"/>
                <w:szCs w:val="32"/>
                <w:lang w:val="zh-CN"/>
              </w:rPr>
              <w:t>/s</w:t>
            </w:r>
            <w:r>
              <w:rPr>
                <w:rFonts w:hint="eastAsia"/>
                <w:sz w:val="24"/>
                <w:szCs w:val="32"/>
                <w:lang w:val="zh-CN"/>
              </w:rPr>
              <w:t>（</w:t>
            </w:r>
            <w:r>
              <w:rPr>
                <w:sz w:val="24"/>
                <w:szCs w:val="32"/>
                <w:lang w:val="zh-CN"/>
              </w:rPr>
              <w:t>1956</w:t>
            </w:r>
            <w:r>
              <w:rPr>
                <w:rFonts w:hint="eastAsia"/>
                <w:sz w:val="24"/>
                <w:szCs w:val="32"/>
                <w:lang w:val="zh-CN"/>
              </w:rPr>
              <w:t>—</w:t>
            </w:r>
            <w:r>
              <w:rPr>
                <w:sz w:val="24"/>
                <w:szCs w:val="32"/>
                <w:lang w:val="zh-CN"/>
              </w:rPr>
              <w:t>1984年</w:t>
            </w:r>
            <w:r>
              <w:rPr>
                <w:rFonts w:hint="eastAsia"/>
                <w:sz w:val="24"/>
                <w:szCs w:val="32"/>
                <w:lang w:val="zh-CN"/>
              </w:rPr>
              <w:t>）</w:t>
            </w:r>
            <w:r>
              <w:rPr>
                <w:sz w:val="24"/>
                <w:szCs w:val="32"/>
                <w:lang w:val="zh-CN"/>
              </w:rPr>
              <w:t>，是我国北方最大的岩溶泉水。泉水为SO</w:t>
            </w:r>
            <w:r>
              <w:rPr>
                <w:sz w:val="24"/>
                <w:szCs w:val="32"/>
                <w:vertAlign w:val="subscript"/>
                <w:lang w:val="zh-CN"/>
              </w:rPr>
              <w:t>4</w:t>
            </w:r>
            <w:r>
              <w:rPr>
                <w:sz w:val="24"/>
                <w:szCs w:val="32"/>
                <w:lang w:val="zh-CN"/>
              </w:rPr>
              <w:t>·HCO</w:t>
            </w:r>
            <w:r>
              <w:rPr>
                <w:sz w:val="24"/>
                <w:szCs w:val="32"/>
                <w:vertAlign w:val="subscript"/>
                <w:lang w:val="zh-CN"/>
              </w:rPr>
              <w:t>3</w:t>
            </w:r>
            <w:r>
              <w:rPr>
                <w:sz w:val="24"/>
                <w:szCs w:val="32"/>
                <w:lang w:val="zh-CN"/>
              </w:rPr>
              <w:t>-Ca·Mg型水，矿化度591.4 mg/L，总硬度434.5 mg/L，水温19.2℃。泉域多年平均降水量为560.2mm</w:t>
            </w:r>
            <w:r>
              <w:rPr>
                <w:rFonts w:hint="eastAsia"/>
                <w:sz w:val="24"/>
                <w:szCs w:val="32"/>
                <w:lang w:val="zh-CN"/>
              </w:rPr>
              <w:t>（</w:t>
            </w:r>
            <w:r>
              <w:rPr>
                <w:sz w:val="24"/>
                <w:szCs w:val="32"/>
                <w:lang w:val="zh-CN"/>
              </w:rPr>
              <w:t>1956</w:t>
            </w:r>
            <w:r>
              <w:rPr>
                <w:rFonts w:hint="eastAsia"/>
                <w:sz w:val="24"/>
                <w:szCs w:val="32"/>
                <w:lang w:val="zh-CN"/>
              </w:rPr>
              <w:t>—</w:t>
            </w:r>
            <w:r>
              <w:rPr>
                <w:sz w:val="24"/>
                <w:szCs w:val="32"/>
                <w:lang w:val="zh-CN"/>
              </w:rPr>
              <w:t>1984年</w:t>
            </w:r>
            <w:r>
              <w:rPr>
                <w:rFonts w:hint="eastAsia"/>
                <w:sz w:val="24"/>
                <w:szCs w:val="32"/>
                <w:lang w:val="zh-CN"/>
              </w:rPr>
              <w:t>）</w:t>
            </w:r>
            <w:r>
              <w:rPr>
                <w:sz w:val="24"/>
                <w:szCs w:val="32"/>
                <w:lang w:val="zh-CN"/>
              </w:rPr>
              <w:t>。其分布跨海河及黄河两大流域</w:t>
            </w:r>
            <w:r>
              <w:rPr>
                <w:rFonts w:hint="eastAsia"/>
                <w:sz w:val="24"/>
                <w:szCs w:val="32"/>
                <w:lang w:val="zh-CN"/>
              </w:rPr>
              <w:t>，</w:t>
            </w:r>
            <w:r>
              <w:rPr>
                <w:sz w:val="24"/>
                <w:szCs w:val="32"/>
                <w:lang w:val="zh-CN"/>
              </w:rPr>
              <w:t>主要河流为桃河、温河、清漳河</w:t>
            </w:r>
            <w:r>
              <w:rPr>
                <w:rFonts w:hint="eastAsia"/>
                <w:sz w:val="24"/>
                <w:szCs w:val="32"/>
                <w:lang w:val="zh-CN"/>
              </w:rPr>
              <w:t>等</w:t>
            </w:r>
            <w:r>
              <w:rPr>
                <w:sz w:val="24"/>
                <w:szCs w:val="32"/>
                <w:lang w:val="zh-CN"/>
              </w:rPr>
              <w:t>。</w:t>
            </w:r>
          </w:p>
          <w:p w14:paraId="59D9E640">
            <w:pPr>
              <w:pStyle w:val="95"/>
              <w:spacing w:line="440" w:lineRule="exact"/>
              <w:ind w:firstLine="480"/>
              <w:rPr>
                <w:sz w:val="24"/>
                <w:szCs w:val="32"/>
                <w:lang w:val="zh-CN"/>
              </w:rPr>
            </w:pPr>
            <w:r>
              <w:rPr>
                <w:sz w:val="24"/>
                <w:szCs w:val="32"/>
                <w:lang w:val="zh-CN"/>
              </w:rPr>
              <w:t>泉域分布范围包括阳泉市的平定、盂县、城郊</w:t>
            </w:r>
            <w:r>
              <w:rPr>
                <w:rFonts w:hint="eastAsia"/>
                <w:sz w:val="24"/>
                <w:szCs w:val="32"/>
                <w:lang w:val="zh-CN"/>
              </w:rPr>
              <w:t>，</w:t>
            </w:r>
            <w:r>
              <w:rPr>
                <w:sz w:val="24"/>
                <w:szCs w:val="32"/>
                <w:lang w:val="zh-CN"/>
              </w:rPr>
              <w:t>晋中地区的榆次、寿阳、昔阳、和顺、左权，太原市的南郊区等市</w:t>
            </w:r>
            <w:r>
              <w:rPr>
                <w:rFonts w:hint="eastAsia"/>
                <w:sz w:val="24"/>
                <w:szCs w:val="32"/>
                <w:lang w:val="zh-CN"/>
              </w:rPr>
              <w:t>（</w:t>
            </w:r>
            <w:r>
              <w:rPr>
                <w:sz w:val="24"/>
                <w:szCs w:val="32"/>
                <w:lang w:val="zh-CN"/>
              </w:rPr>
              <w:t>县、区</w:t>
            </w:r>
            <w:r>
              <w:rPr>
                <w:rFonts w:hint="eastAsia"/>
                <w:sz w:val="24"/>
                <w:szCs w:val="32"/>
                <w:lang w:val="zh-CN"/>
              </w:rPr>
              <w:t>）</w:t>
            </w:r>
            <w:r>
              <w:rPr>
                <w:sz w:val="24"/>
                <w:szCs w:val="32"/>
                <w:lang w:val="zh-CN"/>
              </w:rPr>
              <w:t>。从构造上看，处于沁水凹陷的北端，为一北东向翘起的大向斜。出露地层自东向西</w:t>
            </w:r>
            <w:r>
              <w:rPr>
                <w:rFonts w:hint="eastAsia"/>
                <w:sz w:val="24"/>
                <w:szCs w:val="32"/>
                <w:lang w:val="zh-CN"/>
              </w:rPr>
              <w:t>，</w:t>
            </w:r>
            <w:r>
              <w:rPr>
                <w:sz w:val="24"/>
                <w:szCs w:val="32"/>
                <w:lang w:val="zh-CN"/>
              </w:rPr>
              <w:t>由北向南</w:t>
            </w:r>
            <w:r>
              <w:rPr>
                <w:rFonts w:hint="eastAsia"/>
                <w:sz w:val="24"/>
                <w:szCs w:val="32"/>
                <w:lang w:val="zh-CN"/>
              </w:rPr>
              <w:t>，</w:t>
            </w:r>
            <w:r>
              <w:rPr>
                <w:sz w:val="24"/>
                <w:szCs w:val="32"/>
                <w:lang w:val="zh-CN"/>
              </w:rPr>
              <w:t>由老到新。沉积了厚度达467</w:t>
            </w:r>
            <w:r>
              <w:rPr>
                <w:rFonts w:hint="eastAsia"/>
                <w:sz w:val="24"/>
                <w:szCs w:val="32"/>
                <w:lang w:val="zh-CN"/>
              </w:rPr>
              <w:t>—</w:t>
            </w:r>
            <w:r>
              <w:rPr>
                <w:sz w:val="24"/>
                <w:szCs w:val="32"/>
                <w:lang w:val="zh-CN"/>
              </w:rPr>
              <w:t>628m的中奥陶统岩溶含水层组，为岩溶水的贮存、运移提供了巨大的调蓄空间。岩溶水由北、西、南三面向娘子关一带径流汇集，由于该处下奥陶统相对隔水层的隆起</w:t>
            </w:r>
            <w:r>
              <w:rPr>
                <w:rFonts w:hint="eastAsia"/>
                <w:sz w:val="24"/>
                <w:szCs w:val="32"/>
                <w:lang w:val="zh-CN"/>
              </w:rPr>
              <w:t>，</w:t>
            </w:r>
            <w:r>
              <w:rPr>
                <w:sz w:val="24"/>
                <w:szCs w:val="32"/>
                <w:lang w:val="zh-CN"/>
              </w:rPr>
              <w:t>并被桃河侵蚀出露，使岩溶地下水溢出地表成泉。故娘子关泉基本上为全排型接触溢流泉。</w:t>
            </w:r>
          </w:p>
          <w:p w14:paraId="1762F906">
            <w:pPr>
              <w:pStyle w:val="95"/>
              <w:spacing w:line="440" w:lineRule="exact"/>
              <w:ind w:firstLine="480"/>
              <w:rPr>
                <w:sz w:val="24"/>
                <w:szCs w:val="32"/>
                <w:lang w:val="zh-CN"/>
              </w:rPr>
            </w:pPr>
            <w:r>
              <w:rPr>
                <w:rFonts w:hint="eastAsia"/>
                <w:sz w:val="24"/>
                <w:szCs w:val="32"/>
                <w:lang w:val="zh-CN"/>
              </w:rPr>
              <w:t>2.</w:t>
            </w:r>
            <w:r>
              <w:rPr>
                <w:sz w:val="24"/>
                <w:szCs w:val="32"/>
                <w:lang w:val="zh-CN"/>
              </w:rPr>
              <w:t>泉域范围</w:t>
            </w:r>
          </w:p>
          <w:p w14:paraId="4AF81181">
            <w:pPr>
              <w:pStyle w:val="95"/>
              <w:spacing w:line="440" w:lineRule="exact"/>
              <w:ind w:firstLine="480"/>
              <w:rPr>
                <w:sz w:val="24"/>
                <w:szCs w:val="32"/>
                <w:lang w:val="zh-CN"/>
              </w:rPr>
            </w:pPr>
            <w:r>
              <w:rPr>
                <w:sz w:val="24"/>
                <w:szCs w:val="32"/>
                <w:lang w:val="zh-CN"/>
              </w:rPr>
              <w:t>东部边界</w:t>
            </w:r>
            <w:r>
              <w:rPr>
                <w:rFonts w:hint="eastAsia"/>
                <w:sz w:val="24"/>
                <w:szCs w:val="32"/>
                <w:lang w:val="zh-CN"/>
              </w:rPr>
              <w:t>：</w:t>
            </w:r>
            <w:r>
              <w:rPr>
                <w:sz w:val="24"/>
                <w:szCs w:val="32"/>
                <w:lang w:val="zh-CN"/>
              </w:rPr>
              <w:t>南段</w:t>
            </w:r>
            <w:r>
              <w:rPr>
                <w:rFonts w:hint="eastAsia"/>
                <w:sz w:val="24"/>
                <w:szCs w:val="32"/>
                <w:lang w:val="zh-CN"/>
              </w:rPr>
              <w:t>：</w:t>
            </w:r>
            <w:r>
              <w:rPr>
                <w:sz w:val="24"/>
                <w:szCs w:val="32"/>
                <w:lang w:val="zh-CN"/>
              </w:rPr>
              <w:t>奥陶系下统及寒武系下统构成隔水边界，该边界北端以东为寒武系可溶岩组成的东固壁泉域。边界走向由北向南</w:t>
            </w:r>
            <w:r>
              <w:rPr>
                <w:rFonts w:hint="eastAsia"/>
                <w:sz w:val="24"/>
                <w:szCs w:val="32"/>
                <w:lang w:val="zh-CN"/>
              </w:rPr>
              <w:t>，</w:t>
            </w:r>
            <w:r>
              <w:rPr>
                <w:sz w:val="24"/>
                <w:szCs w:val="32"/>
                <w:lang w:val="zh-CN"/>
              </w:rPr>
              <w:t>由昔阳西回—白羊峪—和顺阳曲山</w:t>
            </w:r>
            <w:r>
              <w:rPr>
                <w:rFonts w:hint="eastAsia"/>
                <w:sz w:val="24"/>
                <w:szCs w:val="32"/>
                <w:lang w:val="zh-CN"/>
              </w:rPr>
              <w:t>（</w:t>
            </w:r>
            <w:r>
              <w:rPr>
                <w:sz w:val="24"/>
                <w:szCs w:val="32"/>
                <w:lang w:val="zh-CN"/>
              </w:rPr>
              <w:t>2059m</w:t>
            </w:r>
            <w:r>
              <w:rPr>
                <w:rFonts w:hint="eastAsia"/>
                <w:sz w:val="24"/>
                <w:szCs w:val="32"/>
                <w:lang w:val="zh-CN"/>
              </w:rPr>
              <w:t>）</w:t>
            </w:r>
            <w:r>
              <w:rPr>
                <w:sz w:val="24"/>
                <w:szCs w:val="32"/>
                <w:lang w:val="zh-CN"/>
              </w:rPr>
              <w:t>—左权沐池—北天池。中段</w:t>
            </w:r>
            <w:r>
              <w:rPr>
                <w:rFonts w:hint="eastAsia"/>
                <w:sz w:val="24"/>
                <w:szCs w:val="32"/>
                <w:lang w:val="zh-CN"/>
              </w:rPr>
              <w:t>：</w:t>
            </w:r>
            <w:r>
              <w:rPr>
                <w:sz w:val="24"/>
                <w:szCs w:val="32"/>
                <w:lang w:val="zh-CN"/>
              </w:rPr>
              <w:t>西回以北至苇泽关断层南端，成为娘子关泉域与河北省威州泉域的地下分水岭边界。泉水出露带以苇泽关断层为边界。北段</w:t>
            </w:r>
            <w:r>
              <w:rPr>
                <w:rFonts w:hint="eastAsia"/>
                <w:sz w:val="24"/>
                <w:szCs w:val="32"/>
                <w:lang w:val="zh-CN"/>
              </w:rPr>
              <w:t>：</w:t>
            </w:r>
            <w:r>
              <w:rPr>
                <w:sz w:val="24"/>
                <w:szCs w:val="32"/>
                <w:lang w:val="zh-CN"/>
              </w:rPr>
              <w:t>由北向南由盂县的崔家庄—苇泽关断层北端。为娘子关泉域盂县阴山河与威州泉域黑砚水河及神水泉河的地表分水岭，南端为地下分水岭。</w:t>
            </w:r>
          </w:p>
          <w:p w14:paraId="29C44FCA">
            <w:pPr>
              <w:pStyle w:val="95"/>
              <w:spacing w:line="440" w:lineRule="exact"/>
              <w:ind w:firstLine="480"/>
              <w:rPr>
                <w:sz w:val="24"/>
                <w:szCs w:val="32"/>
                <w:lang w:val="zh-CN"/>
              </w:rPr>
            </w:pPr>
            <w:r>
              <w:rPr>
                <w:sz w:val="24"/>
                <w:szCs w:val="32"/>
                <w:lang w:val="zh-CN"/>
              </w:rPr>
              <w:t>北部边界</w:t>
            </w:r>
            <w:r>
              <w:rPr>
                <w:rFonts w:hint="eastAsia"/>
                <w:sz w:val="24"/>
                <w:szCs w:val="32"/>
                <w:lang w:val="zh-CN"/>
              </w:rPr>
              <w:t>：</w:t>
            </w:r>
            <w:r>
              <w:rPr>
                <w:sz w:val="24"/>
                <w:szCs w:val="32"/>
                <w:lang w:val="zh-CN"/>
              </w:rPr>
              <w:t>东段</w:t>
            </w:r>
            <w:r>
              <w:rPr>
                <w:rFonts w:hint="eastAsia"/>
                <w:sz w:val="24"/>
                <w:szCs w:val="32"/>
                <w:lang w:val="zh-CN"/>
              </w:rPr>
              <w:t>：</w:t>
            </w:r>
            <w:r>
              <w:rPr>
                <w:sz w:val="24"/>
                <w:szCs w:val="32"/>
                <w:lang w:val="zh-CN"/>
              </w:rPr>
              <w:t>蚍蜉垴至磁盒尖，构成泉域与滹沱河干流水系的地表分水岭，为阻水边界。中段</w:t>
            </w:r>
            <w:r>
              <w:rPr>
                <w:rFonts w:hint="eastAsia"/>
                <w:sz w:val="24"/>
                <w:szCs w:val="32"/>
                <w:lang w:val="zh-CN"/>
              </w:rPr>
              <w:t>：</w:t>
            </w:r>
            <w:r>
              <w:rPr>
                <w:sz w:val="24"/>
                <w:szCs w:val="32"/>
                <w:lang w:val="zh-CN"/>
              </w:rPr>
              <w:t>神泉至蚍蜉垴，为兴道泉与娘子关两泉域的地下分水岭。西北段</w:t>
            </w:r>
            <w:r>
              <w:rPr>
                <w:rFonts w:hint="eastAsia"/>
                <w:sz w:val="24"/>
                <w:szCs w:val="32"/>
                <w:lang w:val="zh-CN"/>
              </w:rPr>
              <w:t>：</w:t>
            </w:r>
            <w:r>
              <w:rPr>
                <w:sz w:val="24"/>
                <w:szCs w:val="32"/>
                <w:lang w:val="zh-CN"/>
              </w:rPr>
              <w:t>为寺家坪—张家河北东向的断褶带及太原东山背斜轴部，亦为地表分水岭。由东北至西南自盂县神泉—寿阳黄岭北—沿太原市与晋中行政界—杨家峪—郝庄，西南段与兰村泉域水源保护区为界。</w:t>
            </w:r>
          </w:p>
          <w:p w14:paraId="6B35CE9F">
            <w:pPr>
              <w:pStyle w:val="95"/>
              <w:spacing w:line="440" w:lineRule="exact"/>
              <w:ind w:firstLine="480"/>
              <w:rPr>
                <w:sz w:val="24"/>
                <w:szCs w:val="32"/>
                <w:lang w:val="zh-CN"/>
              </w:rPr>
            </w:pPr>
            <w:r>
              <w:rPr>
                <w:sz w:val="24"/>
                <w:szCs w:val="32"/>
                <w:lang w:val="zh-CN"/>
              </w:rPr>
              <w:t>西部边界</w:t>
            </w:r>
            <w:r>
              <w:rPr>
                <w:rFonts w:hint="eastAsia"/>
                <w:sz w:val="24"/>
                <w:szCs w:val="32"/>
                <w:lang w:val="zh-CN"/>
              </w:rPr>
              <w:t>：</w:t>
            </w:r>
            <w:r>
              <w:rPr>
                <w:sz w:val="24"/>
                <w:szCs w:val="32"/>
                <w:lang w:val="zh-CN"/>
              </w:rPr>
              <w:t>为地表出露二、三叠系砂页岩，灰岩深埋1000</w:t>
            </w:r>
            <w:r>
              <w:rPr>
                <w:rFonts w:hint="eastAsia"/>
                <w:sz w:val="24"/>
                <w:szCs w:val="32"/>
                <w:lang w:val="zh-CN"/>
              </w:rPr>
              <w:t>—</w:t>
            </w:r>
            <w:r>
              <w:rPr>
                <w:sz w:val="24"/>
                <w:szCs w:val="32"/>
                <w:lang w:val="zh-CN"/>
              </w:rPr>
              <w:t>1200m以下，构成隔水边界。西北段</w:t>
            </w:r>
            <w:r>
              <w:rPr>
                <w:rFonts w:hint="eastAsia"/>
                <w:sz w:val="24"/>
                <w:szCs w:val="32"/>
                <w:lang w:val="zh-CN"/>
              </w:rPr>
              <w:t>：</w:t>
            </w:r>
            <w:r>
              <w:rPr>
                <w:sz w:val="24"/>
                <w:szCs w:val="32"/>
                <w:lang w:val="zh-CN"/>
              </w:rPr>
              <w:t>由西至东自郝庄</w:t>
            </w:r>
            <w:r>
              <w:rPr>
                <w:rFonts w:hint="eastAsia"/>
                <w:sz w:val="24"/>
                <w:szCs w:val="32"/>
                <w:lang w:val="zh-CN"/>
              </w:rPr>
              <w:t>－</w:t>
            </w:r>
            <w:r>
              <w:rPr>
                <w:sz w:val="24"/>
                <w:szCs w:val="32"/>
                <w:lang w:val="zh-CN"/>
              </w:rPr>
              <w:t>榆次鸣谦北</w:t>
            </w:r>
            <w:r>
              <w:rPr>
                <w:rFonts w:hint="eastAsia"/>
                <w:sz w:val="24"/>
                <w:szCs w:val="32"/>
                <w:lang w:val="zh-CN"/>
              </w:rPr>
              <w:t>－</w:t>
            </w:r>
            <w:r>
              <w:rPr>
                <w:sz w:val="24"/>
                <w:szCs w:val="32"/>
                <w:lang w:val="zh-CN"/>
              </w:rPr>
              <w:t>寿阳段庄</w:t>
            </w:r>
            <w:r>
              <w:rPr>
                <w:rFonts w:hint="eastAsia"/>
                <w:sz w:val="24"/>
                <w:szCs w:val="32"/>
                <w:lang w:val="zh-CN"/>
              </w:rPr>
              <w:t>－</w:t>
            </w:r>
            <w:r>
              <w:rPr>
                <w:sz w:val="24"/>
                <w:szCs w:val="32"/>
                <w:lang w:val="zh-CN"/>
              </w:rPr>
              <w:t>瑶头。中段</w:t>
            </w:r>
            <w:r>
              <w:rPr>
                <w:rFonts w:hint="eastAsia"/>
                <w:sz w:val="24"/>
                <w:szCs w:val="32"/>
                <w:lang w:val="zh-CN"/>
              </w:rPr>
              <w:t>：</w:t>
            </w:r>
            <w:r>
              <w:rPr>
                <w:sz w:val="24"/>
                <w:szCs w:val="32"/>
                <w:lang w:val="zh-CN"/>
              </w:rPr>
              <w:t>为海河</w:t>
            </w:r>
            <w:r>
              <w:rPr>
                <w:rFonts w:hint="eastAsia"/>
                <w:sz w:val="24"/>
                <w:szCs w:val="32"/>
                <w:lang w:val="zh-CN"/>
              </w:rPr>
              <w:t>（</w:t>
            </w:r>
            <w:r>
              <w:rPr>
                <w:sz w:val="24"/>
                <w:szCs w:val="32"/>
                <w:lang w:val="zh-CN"/>
              </w:rPr>
              <w:t>清漳河东源</w:t>
            </w:r>
            <w:r>
              <w:rPr>
                <w:rFonts w:hint="eastAsia"/>
                <w:sz w:val="24"/>
                <w:szCs w:val="32"/>
                <w:lang w:val="zh-CN"/>
              </w:rPr>
              <w:t>）</w:t>
            </w:r>
            <w:r>
              <w:rPr>
                <w:sz w:val="24"/>
                <w:szCs w:val="32"/>
                <w:lang w:val="zh-CN"/>
              </w:rPr>
              <w:t>与黄河</w:t>
            </w:r>
            <w:r>
              <w:rPr>
                <w:rFonts w:hint="eastAsia"/>
                <w:sz w:val="24"/>
                <w:szCs w:val="32"/>
                <w:lang w:val="zh-CN"/>
              </w:rPr>
              <w:t>（</w:t>
            </w:r>
            <w:r>
              <w:rPr>
                <w:sz w:val="24"/>
                <w:szCs w:val="32"/>
                <w:lang w:val="zh-CN"/>
              </w:rPr>
              <w:t>潇河</w:t>
            </w:r>
            <w:r>
              <w:rPr>
                <w:rFonts w:hint="eastAsia"/>
                <w:sz w:val="24"/>
                <w:szCs w:val="32"/>
                <w:lang w:val="zh-CN"/>
              </w:rPr>
              <w:t>）</w:t>
            </w:r>
            <w:r>
              <w:rPr>
                <w:sz w:val="24"/>
                <w:szCs w:val="32"/>
                <w:lang w:val="zh-CN"/>
              </w:rPr>
              <w:t>两大水系分水岭。由北向南自瑶头</w:t>
            </w:r>
            <w:r>
              <w:rPr>
                <w:rFonts w:hint="eastAsia"/>
                <w:sz w:val="24"/>
                <w:szCs w:val="32"/>
                <w:lang w:val="zh-CN"/>
              </w:rPr>
              <w:t>－</w:t>
            </w:r>
            <w:r>
              <w:rPr>
                <w:sz w:val="24"/>
                <w:szCs w:val="32"/>
                <w:lang w:val="zh-CN"/>
              </w:rPr>
              <w:t>昔阳柳林背</w:t>
            </w:r>
            <w:r>
              <w:rPr>
                <w:rFonts w:hint="eastAsia"/>
                <w:sz w:val="24"/>
                <w:szCs w:val="32"/>
                <w:lang w:val="zh-CN"/>
              </w:rPr>
              <w:t>－</w:t>
            </w:r>
            <w:r>
              <w:rPr>
                <w:sz w:val="24"/>
                <w:szCs w:val="32"/>
                <w:lang w:val="zh-CN"/>
              </w:rPr>
              <w:t>和顺庙沟西</w:t>
            </w:r>
            <w:r>
              <w:rPr>
                <w:rFonts w:hint="eastAsia"/>
                <w:sz w:val="24"/>
                <w:szCs w:val="32"/>
                <w:lang w:val="zh-CN"/>
              </w:rPr>
              <w:t>－</w:t>
            </w:r>
            <w:r>
              <w:rPr>
                <w:sz w:val="24"/>
                <w:szCs w:val="32"/>
                <w:lang w:val="zh-CN"/>
              </w:rPr>
              <w:t>白万山</w:t>
            </w:r>
            <w:r>
              <w:rPr>
                <w:rFonts w:hint="eastAsia"/>
                <w:sz w:val="24"/>
                <w:szCs w:val="32"/>
                <w:lang w:val="zh-CN"/>
              </w:rPr>
              <w:t>－</w:t>
            </w:r>
            <w:r>
              <w:rPr>
                <w:sz w:val="24"/>
                <w:szCs w:val="32"/>
                <w:lang w:val="zh-CN"/>
              </w:rPr>
              <w:t>榆次市人头山。西南段</w:t>
            </w:r>
            <w:r>
              <w:rPr>
                <w:rFonts w:hint="eastAsia"/>
                <w:sz w:val="24"/>
                <w:szCs w:val="32"/>
                <w:lang w:val="zh-CN"/>
              </w:rPr>
              <w:t>：</w:t>
            </w:r>
            <w:r>
              <w:rPr>
                <w:sz w:val="24"/>
                <w:szCs w:val="32"/>
                <w:lang w:val="zh-CN"/>
              </w:rPr>
              <w:t>为清漳河西源与浊漳河北源的地表分水岭，亦为和顺、左权县与榆社县的行政边界。由北向南自人头山</w:t>
            </w:r>
            <w:r>
              <w:rPr>
                <w:rFonts w:hint="eastAsia"/>
                <w:sz w:val="24"/>
                <w:szCs w:val="32"/>
                <w:lang w:val="zh-CN"/>
              </w:rPr>
              <w:t>－</w:t>
            </w:r>
            <w:r>
              <w:rPr>
                <w:sz w:val="24"/>
                <w:szCs w:val="32"/>
                <w:lang w:val="zh-CN"/>
              </w:rPr>
              <w:t>和顺菜榆垴</w:t>
            </w:r>
            <w:r>
              <w:rPr>
                <w:rFonts w:hint="eastAsia"/>
                <w:sz w:val="24"/>
                <w:szCs w:val="32"/>
                <w:lang w:val="zh-CN"/>
              </w:rPr>
              <w:t>－</w:t>
            </w:r>
            <w:r>
              <w:rPr>
                <w:sz w:val="24"/>
                <w:szCs w:val="32"/>
                <w:lang w:val="zh-CN"/>
              </w:rPr>
              <w:t>左权刘家岭</w:t>
            </w:r>
            <w:r>
              <w:rPr>
                <w:rFonts w:hint="eastAsia"/>
                <w:sz w:val="24"/>
                <w:szCs w:val="32"/>
                <w:lang w:val="zh-CN"/>
              </w:rPr>
              <w:t>－</w:t>
            </w:r>
            <w:r>
              <w:rPr>
                <w:sz w:val="24"/>
                <w:szCs w:val="32"/>
                <w:lang w:val="zh-CN"/>
              </w:rPr>
              <w:t>东沟底。</w:t>
            </w:r>
          </w:p>
          <w:p w14:paraId="0A44AC97">
            <w:pPr>
              <w:pStyle w:val="95"/>
              <w:spacing w:line="440" w:lineRule="exact"/>
              <w:ind w:firstLine="480"/>
              <w:rPr>
                <w:sz w:val="24"/>
                <w:szCs w:val="32"/>
                <w:lang w:val="zh-CN"/>
              </w:rPr>
            </w:pPr>
            <w:r>
              <w:rPr>
                <w:sz w:val="24"/>
                <w:szCs w:val="32"/>
                <w:lang w:val="zh-CN"/>
              </w:rPr>
              <w:t>南部边界</w:t>
            </w:r>
            <w:r>
              <w:rPr>
                <w:rFonts w:hint="eastAsia"/>
                <w:sz w:val="24"/>
                <w:szCs w:val="32"/>
                <w:lang w:val="zh-CN"/>
              </w:rPr>
              <w:t>：</w:t>
            </w:r>
            <w:r>
              <w:rPr>
                <w:sz w:val="24"/>
                <w:szCs w:val="32"/>
                <w:lang w:val="zh-CN"/>
              </w:rPr>
              <w:t>青草堙以北，左权县城以南，为地下分水岭边界。由西向东自东沟底—河神堙北</w:t>
            </w:r>
            <w:r>
              <w:rPr>
                <w:rFonts w:hint="eastAsia"/>
                <w:sz w:val="24"/>
                <w:szCs w:val="32"/>
                <w:lang w:val="zh-CN"/>
              </w:rPr>
              <w:t>－</w:t>
            </w:r>
            <w:r>
              <w:rPr>
                <w:sz w:val="24"/>
                <w:szCs w:val="32"/>
                <w:lang w:val="zh-CN"/>
              </w:rPr>
              <w:t>北天池，以南属辛安泉域。</w:t>
            </w:r>
          </w:p>
          <w:p w14:paraId="079DD608">
            <w:pPr>
              <w:pStyle w:val="95"/>
              <w:spacing w:line="440" w:lineRule="exact"/>
              <w:ind w:firstLine="480"/>
              <w:rPr>
                <w:sz w:val="24"/>
                <w:szCs w:val="32"/>
                <w:lang w:val="zh-CN"/>
              </w:rPr>
            </w:pPr>
            <w:r>
              <w:rPr>
                <w:sz w:val="24"/>
                <w:szCs w:val="32"/>
                <w:lang w:val="zh-CN"/>
              </w:rPr>
              <w:t>上述各边界圈定的泉域范围面积7217km</w:t>
            </w:r>
            <w:r>
              <w:rPr>
                <w:sz w:val="24"/>
                <w:szCs w:val="32"/>
                <w:vertAlign w:val="superscript"/>
                <w:lang w:val="zh-CN"/>
              </w:rPr>
              <w:t>2</w:t>
            </w:r>
            <w:r>
              <w:rPr>
                <w:sz w:val="24"/>
                <w:szCs w:val="32"/>
                <w:lang w:val="zh-CN"/>
              </w:rPr>
              <w:t>，其中裸露可溶泉2282km</w:t>
            </w:r>
            <w:r>
              <w:rPr>
                <w:sz w:val="24"/>
                <w:szCs w:val="32"/>
                <w:vertAlign w:val="superscript"/>
                <w:lang w:val="zh-CN"/>
              </w:rPr>
              <w:t>2</w:t>
            </w:r>
            <w:r>
              <w:rPr>
                <w:sz w:val="24"/>
                <w:szCs w:val="32"/>
                <w:lang w:val="zh-CN"/>
              </w:rPr>
              <w:t>。按地</w:t>
            </w:r>
            <w:r>
              <w:rPr>
                <w:rFonts w:hint="eastAsia"/>
                <w:sz w:val="24"/>
                <w:szCs w:val="32"/>
                <w:lang w:val="zh-CN"/>
              </w:rPr>
              <w:t>（</w:t>
            </w:r>
            <w:r>
              <w:rPr>
                <w:sz w:val="24"/>
                <w:szCs w:val="32"/>
                <w:lang w:val="zh-CN"/>
              </w:rPr>
              <w:t>市</w:t>
            </w:r>
            <w:r>
              <w:rPr>
                <w:rFonts w:hint="eastAsia"/>
                <w:sz w:val="24"/>
                <w:szCs w:val="32"/>
                <w:lang w:val="zh-CN"/>
              </w:rPr>
              <w:t>）</w:t>
            </w:r>
            <w:r>
              <w:rPr>
                <w:sz w:val="24"/>
                <w:szCs w:val="32"/>
                <w:lang w:val="zh-CN"/>
              </w:rPr>
              <w:t>行政区域为</w:t>
            </w:r>
            <w:r>
              <w:rPr>
                <w:rFonts w:hint="eastAsia"/>
                <w:sz w:val="24"/>
                <w:szCs w:val="32"/>
                <w:lang w:val="zh-CN"/>
              </w:rPr>
              <w:t>：</w:t>
            </w:r>
            <w:r>
              <w:rPr>
                <w:sz w:val="24"/>
                <w:szCs w:val="32"/>
                <w:lang w:val="zh-CN"/>
              </w:rPr>
              <w:t>阳泉市2430 km</w:t>
            </w:r>
            <w:r>
              <w:rPr>
                <w:sz w:val="24"/>
                <w:szCs w:val="32"/>
                <w:vertAlign w:val="superscript"/>
                <w:lang w:val="zh-CN"/>
              </w:rPr>
              <w:t>2</w:t>
            </w:r>
            <w:r>
              <w:rPr>
                <w:sz w:val="24"/>
                <w:szCs w:val="32"/>
                <w:lang w:val="zh-CN"/>
              </w:rPr>
              <w:t>，晋中地区4688km</w:t>
            </w:r>
            <w:r>
              <w:rPr>
                <w:sz w:val="24"/>
                <w:szCs w:val="32"/>
                <w:vertAlign w:val="superscript"/>
                <w:lang w:val="zh-CN"/>
              </w:rPr>
              <w:t>2</w:t>
            </w:r>
            <w:r>
              <w:rPr>
                <w:sz w:val="24"/>
                <w:szCs w:val="32"/>
                <w:lang w:val="zh-CN"/>
              </w:rPr>
              <w:t>，太原市99 km</w:t>
            </w:r>
            <w:r>
              <w:rPr>
                <w:sz w:val="24"/>
                <w:szCs w:val="32"/>
                <w:vertAlign w:val="superscript"/>
                <w:lang w:val="zh-CN"/>
              </w:rPr>
              <w:t>2</w:t>
            </w:r>
            <w:r>
              <w:rPr>
                <w:sz w:val="24"/>
                <w:szCs w:val="32"/>
                <w:lang w:val="zh-CN"/>
              </w:rPr>
              <w:t>。</w:t>
            </w:r>
          </w:p>
          <w:p w14:paraId="4D2894B9">
            <w:pPr>
              <w:pStyle w:val="95"/>
              <w:spacing w:line="440" w:lineRule="exact"/>
              <w:ind w:firstLine="480"/>
              <w:rPr>
                <w:sz w:val="24"/>
                <w:szCs w:val="32"/>
                <w:lang w:val="zh-CN"/>
              </w:rPr>
            </w:pPr>
            <w:r>
              <w:rPr>
                <w:rFonts w:hint="eastAsia"/>
                <w:sz w:val="24"/>
                <w:szCs w:val="32"/>
                <w:lang w:val="zh-CN"/>
              </w:rPr>
              <w:t>3.</w:t>
            </w:r>
            <w:r>
              <w:rPr>
                <w:sz w:val="24"/>
                <w:szCs w:val="32"/>
                <w:lang w:val="zh-CN"/>
              </w:rPr>
              <w:t>重点保护区范围</w:t>
            </w:r>
          </w:p>
          <w:p w14:paraId="28DE504E">
            <w:pPr>
              <w:pStyle w:val="95"/>
              <w:spacing w:line="440" w:lineRule="exact"/>
              <w:ind w:firstLine="480"/>
              <w:rPr>
                <w:sz w:val="24"/>
                <w:szCs w:val="32"/>
                <w:lang w:val="zh-CN"/>
              </w:rPr>
            </w:pPr>
            <w:r>
              <w:rPr>
                <w:sz w:val="24"/>
                <w:szCs w:val="32"/>
                <w:lang w:val="zh-CN"/>
              </w:rPr>
              <w:t>泉水集中出露带，其保护范围为：西自温河下董寨以下河谷、桃河西武以下河谷，东至两河汇流后的绵河河谷苇泽关断层之间的泉水出露带。桃河、温河渗漏河段，其保护区范围为：温河河谷：自东至西由温池</w:t>
            </w:r>
            <w:r>
              <w:rPr>
                <w:rFonts w:hint="eastAsia"/>
                <w:sz w:val="24"/>
                <w:szCs w:val="32"/>
                <w:lang w:val="zh-CN"/>
              </w:rPr>
              <w:t>－</w:t>
            </w:r>
            <w:r>
              <w:rPr>
                <w:sz w:val="24"/>
                <w:szCs w:val="32"/>
                <w:lang w:val="zh-CN"/>
              </w:rPr>
              <w:t>下章召</w:t>
            </w:r>
            <w:r>
              <w:rPr>
                <w:rFonts w:hint="eastAsia"/>
                <w:sz w:val="24"/>
                <w:szCs w:val="32"/>
                <w:lang w:val="zh-CN"/>
              </w:rPr>
              <w:t>－</w:t>
            </w:r>
            <w:r>
              <w:rPr>
                <w:sz w:val="24"/>
                <w:szCs w:val="32"/>
                <w:lang w:val="zh-CN"/>
              </w:rPr>
              <w:t>白马庄</w:t>
            </w:r>
            <w:r>
              <w:rPr>
                <w:rFonts w:hint="eastAsia"/>
                <w:sz w:val="24"/>
                <w:szCs w:val="32"/>
                <w:lang w:val="zh-CN"/>
              </w:rPr>
              <w:t>－</w:t>
            </w:r>
            <w:r>
              <w:rPr>
                <w:sz w:val="24"/>
                <w:szCs w:val="32"/>
                <w:lang w:val="zh-CN"/>
              </w:rPr>
              <w:t>南庄</w:t>
            </w:r>
            <w:r>
              <w:rPr>
                <w:rFonts w:hint="eastAsia"/>
                <w:sz w:val="24"/>
                <w:szCs w:val="32"/>
                <w:lang w:val="zh-CN"/>
              </w:rPr>
              <w:t>－</w:t>
            </w:r>
            <w:r>
              <w:rPr>
                <w:sz w:val="24"/>
                <w:szCs w:val="32"/>
                <w:lang w:val="zh-CN"/>
              </w:rPr>
              <w:t>巨城镇</w:t>
            </w:r>
            <w:r>
              <w:rPr>
                <w:rFonts w:hint="eastAsia"/>
                <w:sz w:val="24"/>
                <w:szCs w:val="32"/>
                <w:lang w:val="zh-CN"/>
              </w:rPr>
              <w:t>－</w:t>
            </w:r>
            <w:r>
              <w:rPr>
                <w:sz w:val="24"/>
                <w:szCs w:val="32"/>
                <w:lang w:val="zh-CN"/>
              </w:rPr>
              <w:t>下董寨，河流长度约35km。桃河河谷：自西向东由白羊墅</w:t>
            </w:r>
            <w:r>
              <w:rPr>
                <w:rFonts w:hint="eastAsia"/>
                <w:sz w:val="24"/>
                <w:szCs w:val="32"/>
                <w:lang w:val="zh-CN"/>
              </w:rPr>
              <w:t>-</w:t>
            </w:r>
            <w:r>
              <w:rPr>
                <w:sz w:val="24"/>
                <w:szCs w:val="32"/>
                <w:lang w:val="zh-CN"/>
              </w:rPr>
              <w:t>乱流</w:t>
            </w:r>
            <w:r>
              <w:rPr>
                <w:rFonts w:hint="eastAsia"/>
                <w:sz w:val="24"/>
                <w:szCs w:val="32"/>
                <w:lang w:val="zh-CN"/>
              </w:rPr>
              <w:t>-</w:t>
            </w:r>
            <w:r>
              <w:rPr>
                <w:sz w:val="24"/>
                <w:szCs w:val="32"/>
                <w:lang w:val="zh-CN"/>
              </w:rPr>
              <w:t>岩会</w:t>
            </w:r>
            <w:r>
              <w:rPr>
                <w:rFonts w:hint="eastAsia"/>
                <w:sz w:val="24"/>
                <w:szCs w:val="32"/>
                <w:lang w:val="zh-CN"/>
              </w:rPr>
              <w:t>-</w:t>
            </w:r>
            <w:r>
              <w:rPr>
                <w:sz w:val="24"/>
                <w:szCs w:val="32"/>
                <w:lang w:val="zh-CN"/>
              </w:rPr>
              <w:t>上盘石</w:t>
            </w:r>
            <w:r>
              <w:rPr>
                <w:rFonts w:hint="eastAsia"/>
                <w:sz w:val="24"/>
                <w:szCs w:val="32"/>
                <w:lang w:val="zh-CN"/>
              </w:rPr>
              <w:t>-</w:t>
            </w:r>
            <w:r>
              <w:rPr>
                <w:sz w:val="24"/>
                <w:szCs w:val="32"/>
                <w:lang w:val="zh-CN"/>
              </w:rPr>
              <w:t>下盘石</w:t>
            </w:r>
            <w:r>
              <w:rPr>
                <w:rFonts w:hint="eastAsia"/>
                <w:sz w:val="24"/>
                <w:szCs w:val="32"/>
                <w:lang w:val="zh-CN"/>
              </w:rPr>
              <w:t>-</w:t>
            </w:r>
            <w:r>
              <w:rPr>
                <w:sz w:val="24"/>
                <w:szCs w:val="32"/>
                <w:lang w:val="zh-CN"/>
              </w:rPr>
              <w:t>西武庄，河流长度约30km。以上重点保护区面积共86.5km</w:t>
            </w:r>
            <w:r>
              <w:rPr>
                <w:sz w:val="24"/>
                <w:szCs w:val="32"/>
                <w:vertAlign w:val="superscript"/>
                <w:lang w:val="zh-CN"/>
              </w:rPr>
              <w:t>2</w:t>
            </w:r>
            <w:r>
              <w:rPr>
                <w:sz w:val="24"/>
                <w:szCs w:val="32"/>
                <w:lang w:val="zh-CN"/>
              </w:rPr>
              <w:t>。</w:t>
            </w:r>
          </w:p>
          <w:p w14:paraId="73BB84AB">
            <w:pPr>
              <w:pStyle w:val="72"/>
              <w:spacing w:line="440" w:lineRule="exact"/>
              <w:ind w:firstLine="480"/>
              <w:rPr>
                <w:sz w:val="24"/>
                <w:szCs w:val="22"/>
              </w:rPr>
            </w:pPr>
            <w:r>
              <w:rPr>
                <w:sz w:val="24"/>
                <w:szCs w:val="32"/>
              </w:rPr>
              <w:t>本项目</w:t>
            </w:r>
            <w:r>
              <w:rPr>
                <w:rFonts w:hint="eastAsia"/>
                <w:sz w:val="24"/>
                <w:szCs w:val="32"/>
              </w:rPr>
              <w:t>厂址位于娘子关泉域范围内，但不在其重点保护区</w:t>
            </w:r>
            <w:r>
              <w:rPr>
                <w:rFonts w:hint="eastAsia"/>
                <w:sz w:val="24"/>
                <w:szCs w:val="32"/>
                <w:lang w:val="en-US"/>
              </w:rPr>
              <w:t>范围内</w:t>
            </w:r>
            <w:r>
              <w:rPr>
                <w:rFonts w:hint="eastAsia"/>
                <w:sz w:val="24"/>
                <w:szCs w:val="32"/>
              </w:rPr>
              <w:t>，不在裸露岩溶区范围内。</w:t>
            </w:r>
          </w:p>
        </w:tc>
      </w:tr>
      <w:tr w14:paraId="4180A3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Mar>
              <w:left w:w="28" w:type="dxa"/>
              <w:right w:w="28" w:type="dxa"/>
            </w:tcMar>
            <w:vAlign w:val="center"/>
          </w:tcPr>
          <w:p w14:paraId="7C961CA8">
            <w:pPr>
              <w:adjustRightInd w:val="0"/>
              <w:snapToGrid w:val="0"/>
              <w:jc w:val="center"/>
              <w:rPr>
                <w:rFonts w:cs="宋体"/>
                <w:kern w:val="0"/>
                <w:szCs w:val="21"/>
              </w:rPr>
            </w:pPr>
            <w:r>
              <w:rPr>
                <w:rFonts w:hint="eastAsia" w:cs="宋体"/>
                <w:kern w:val="0"/>
                <w:szCs w:val="21"/>
              </w:rPr>
              <w:t>污染</w:t>
            </w:r>
          </w:p>
          <w:p w14:paraId="25D65C3C">
            <w:pPr>
              <w:adjustRightInd w:val="0"/>
              <w:snapToGrid w:val="0"/>
              <w:jc w:val="center"/>
              <w:rPr>
                <w:rFonts w:cs="宋体"/>
                <w:kern w:val="0"/>
                <w:szCs w:val="21"/>
              </w:rPr>
            </w:pPr>
            <w:r>
              <w:rPr>
                <w:rFonts w:hint="eastAsia" w:cs="宋体"/>
                <w:kern w:val="0"/>
                <w:szCs w:val="21"/>
              </w:rPr>
              <w:t>物排</w:t>
            </w:r>
          </w:p>
          <w:p w14:paraId="2B9D1F5F">
            <w:pPr>
              <w:adjustRightInd w:val="0"/>
              <w:snapToGrid w:val="0"/>
              <w:jc w:val="center"/>
              <w:rPr>
                <w:rFonts w:cs="宋体"/>
                <w:kern w:val="0"/>
                <w:szCs w:val="21"/>
              </w:rPr>
            </w:pPr>
            <w:r>
              <w:rPr>
                <w:rFonts w:hint="eastAsia" w:cs="宋体"/>
                <w:kern w:val="0"/>
                <w:szCs w:val="21"/>
              </w:rPr>
              <w:t>放控</w:t>
            </w:r>
          </w:p>
          <w:p w14:paraId="45C9547B">
            <w:pPr>
              <w:adjustRightInd w:val="0"/>
              <w:snapToGrid w:val="0"/>
              <w:jc w:val="center"/>
              <w:rPr>
                <w:rFonts w:cs="宋体"/>
                <w:kern w:val="0"/>
                <w:szCs w:val="21"/>
              </w:rPr>
            </w:pPr>
            <w:r>
              <w:rPr>
                <w:rFonts w:hint="eastAsia" w:cs="宋体"/>
                <w:kern w:val="0"/>
                <w:szCs w:val="21"/>
              </w:rPr>
              <w:t>制标</w:t>
            </w:r>
          </w:p>
          <w:p w14:paraId="57BACBC6">
            <w:pPr>
              <w:adjustRightInd w:val="0"/>
              <w:snapToGrid w:val="0"/>
              <w:jc w:val="center"/>
              <w:rPr>
                <w:rFonts w:cs="宋体"/>
                <w:kern w:val="0"/>
                <w:szCs w:val="21"/>
              </w:rPr>
            </w:pPr>
            <w:r>
              <w:rPr>
                <w:rFonts w:hint="eastAsia" w:cs="宋体"/>
                <w:kern w:val="0"/>
                <w:szCs w:val="21"/>
              </w:rPr>
              <w:t>准</w:t>
            </w:r>
          </w:p>
        </w:tc>
        <w:tc>
          <w:tcPr>
            <w:tcW w:w="8190" w:type="dxa"/>
            <w:vAlign w:val="center"/>
          </w:tcPr>
          <w:p w14:paraId="342843A5">
            <w:pPr>
              <w:pStyle w:val="91"/>
              <w:spacing w:before="0" w:after="0" w:line="440" w:lineRule="exact"/>
            </w:pPr>
            <w:r>
              <w:rPr>
                <w:rFonts w:hint="eastAsia"/>
              </w:rPr>
              <w:t>1.大气污染物</w:t>
            </w:r>
            <w:r>
              <w:t>排放标准</w:t>
            </w:r>
          </w:p>
          <w:p w14:paraId="07B7ED2F">
            <w:pPr>
              <w:pStyle w:val="68"/>
              <w:spacing w:line="440" w:lineRule="exact"/>
              <w:ind w:firstLine="480"/>
              <w:rPr>
                <w:sz w:val="24"/>
                <w:szCs w:val="24"/>
              </w:rPr>
            </w:pPr>
            <w:r>
              <w:rPr>
                <w:rFonts w:hint="eastAsia"/>
                <w:sz w:val="24"/>
                <w:szCs w:val="24"/>
              </w:rPr>
              <w:t>本项目施工期无组织扬尘执行《大气污染物综合排放标准》（GB16297-1996）表2中二级排放标准要求。</w:t>
            </w:r>
          </w:p>
          <w:p w14:paraId="3612C831">
            <w:pPr>
              <w:pStyle w:val="68"/>
              <w:spacing w:line="400" w:lineRule="exact"/>
              <w:ind w:firstLine="0" w:firstLineChars="0"/>
              <w:jc w:val="center"/>
              <w:rPr>
                <w:sz w:val="24"/>
                <w:szCs w:val="24"/>
              </w:rPr>
            </w:pPr>
            <w:r>
              <w:rPr>
                <w:rFonts w:hint="eastAsia"/>
                <w:sz w:val="24"/>
                <w:szCs w:val="24"/>
              </w:rPr>
              <w:t>表3-5  施工期大气污染物排放浓度限值</w:t>
            </w:r>
          </w:p>
          <w:tbl>
            <w:tblPr>
              <w:tblStyle w:val="20"/>
              <w:tblW w:w="8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126"/>
              <w:gridCol w:w="708"/>
              <w:gridCol w:w="940"/>
              <w:gridCol w:w="3454"/>
            </w:tblGrid>
            <w:tr w14:paraId="7BC3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1" w:hRule="atLeast"/>
                <w:jc w:val="center"/>
              </w:trPr>
              <w:tc>
                <w:tcPr>
                  <w:tcW w:w="2330" w:type="pct"/>
                  <w:gridSpan w:val="2"/>
                  <w:vMerge w:val="restart"/>
                  <w:tcBorders>
                    <w:top w:val="single" w:color="auto" w:sz="4" w:space="0"/>
                    <w:left w:val="single" w:color="auto" w:sz="4" w:space="0"/>
                    <w:bottom w:val="single" w:color="auto" w:sz="4" w:space="0"/>
                    <w:right w:val="single" w:color="auto" w:sz="4" w:space="0"/>
                  </w:tcBorders>
                  <w:vAlign w:val="center"/>
                </w:tcPr>
                <w:p w14:paraId="0996C869">
                  <w:pPr>
                    <w:pStyle w:val="52"/>
                  </w:pPr>
                  <w:r>
                    <w:rPr>
                      <w:rFonts w:hint="eastAsia"/>
                    </w:rPr>
                    <w:t>标准名称</w:t>
                  </w:r>
                </w:p>
              </w:tc>
              <w:tc>
                <w:tcPr>
                  <w:tcW w:w="571" w:type="pct"/>
                  <w:vMerge w:val="restart"/>
                  <w:tcBorders>
                    <w:top w:val="single" w:color="auto" w:sz="4" w:space="0"/>
                    <w:left w:val="single" w:color="auto" w:sz="4" w:space="0"/>
                    <w:bottom w:val="single" w:color="auto" w:sz="4" w:space="0"/>
                    <w:right w:val="single" w:color="auto" w:sz="4" w:space="0"/>
                  </w:tcBorders>
                  <w:vAlign w:val="center"/>
                </w:tcPr>
                <w:p w14:paraId="789317FE">
                  <w:pPr>
                    <w:pStyle w:val="52"/>
                  </w:pPr>
                  <w:r>
                    <w:rPr>
                      <w:rFonts w:hint="eastAsia"/>
                    </w:rPr>
                    <w:t>污染物</w:t>
                  </w:r>
                </w:p>
              </w:tc>
              <w:tc>
                <w:tcPr>
                  <w:tcW w:w="2099" w:type="pct"/>
                  <w:vMerge w:val="restart"/>
                  <w:tcBorders>
                    <w:top w:val="single" w:color="auto" w:sz="4" w:space="0"/>
                    <w:left w:val="single" w:color="auto" w:sz="4" w:space="0"/>
                    <w:bottom w:val="single" w:color="auto" w:sz="4" w:space="0"/>
                    <w:right w:val="single" w:color="auto" w:sz="4" w:space="0"/>
                  </w:tcBorders>
                  <w:vAlign w:val="center"/>
                </w:tcPr>
                <w:p w14:paraId="3E0C5FCA">
                  <w:pPr>
                    <w:pStyle w:val="52"/>
                  </w:pPr>
                  <w:r>
                    <w:rPr>
                      <w:rFonts w:hint="eastAsia"/>
                    </w:rPr>
                    <w:t>无组织排放监控浓度限值（mg/m</w:t>
                  </w:r>
                  <w:r>
                    <w:rPr>
                      <w:rFonts w:hint="eastAsia"/>
                      <w:vertAlign w:val="superscript"/>
                    </w:rPr>
                    <w:t>3</w:t>
                  </w:r>
                  <w:r>
                    <w:rPr>
                      <w:rFonts w:hint="eastAsia"/>
                    </w:rPr>
                    <w:t>）</w:t>
                  </w:r>
                </w:p>
              </w:tc>
            </w:tr>
            <w:tr w14:paraId="3991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1" w:hRule="atLeast"/>
                <w:jc w:val="center"/>
              </w:trPr>
              <w:tc>
                <w:tcPr>
                  <w:tcW w:w="2330" w:type="pct"/>
                  <w:gridSpan w:val="2"/>
                  <w:vMerge w:val="continue"/>
                  <w:tcBorders>
                    <w:top w:val="single" w:color="auto" w:sz="4" w:space="0"/>
                    <w:left w:val="single" w:color="auto" w:sz="4" w:space="0"/>
                    <w:bottom w:val="single" w:color="auto" w:sz="4" w:space="0"/>
                    <w:right w:val="single" w:color="auto" w:sz="4" w:space="0"/>
                  </w:tcBorders>
                  <w:vAlign w:val="center"/>
                </w:tcPr>
                <w:p w14:paraId="180E5A98">
                  <w:pPr>
                    <w:widowControl/>
                    <w:jc w:val="left"/>
                    <w:rPr>
                      <w:sz w:val="18"/>
                      <w:szCs w:val="18"/>
                    </w:rPr>
                  </w:pPr>
                </w:p>
              </w:tc>
              <w:tc>
                <w:tcPr>
                  <w:tcW w:w="571" w:type="pct"/>
                  <w:vMerge w:val="continue"/>
                  <w:tcBorders>
                    <w:top w:val="single" w:color="auto" w:sz="4" w:space="0"/>
                    <w:left w:val="single" w:color="auto" w:sz="4" w:space="0"/>
                    <w:bottom w:val="single" w:color="auto" w:sz="4" w:space="0"/>
                    <w:right w:val="single" w:color="auto" w:sz="4" w:space="0"/>
                  </w:tcBorders>
                  <w:vAlign w:val="center"/>
                </w:tcPr>
                <w:p w14:paraId="79B62F64">
                  <w:pPr>
                    <w:widowControl/>
                    <w:jc w:val="left"/>
                    <w:rPr>
                      <w:sz w:val="18"/>
                      <w:szCs w:val="18"/>
                    </w:rPr>
                  </w:pPr>
                </w:p>
              </w:tc>
              <w:tc>
                <w:tcPr>
                  <w:tcW w:w="2099" w:type="pct"/>
                  <w:vMerge w:val="continue"/>
                  <w:tcBorders>
                    <w:top w:val="single" w:color="auto" w:sz="4" w:space="0"/>
                    <w:left w:val="single" w:color="auto" w:sz="4" w:space="0"/>
                    <w:bottom w:val="single" w:color="auto" w:sz="4" w:space="0"/>
                    <w:right w:val="single" w:color="auto" w:sz="4" w:space="0"/>
                  </w:tcBorders>
                  <w:vAlign w:val="center"/>
                </w:tcPr>
                <w:p w14:paraId="5D44F5AE">
                  <w:pPr>
                    <w:widowControl/>
                    <w:jc w:val="left"/>
                    <w:rPr>
                      <w:sz w:val="18"/>
                      <w:szCs w:val="18"/>
                    </w:rPr>
                  </w:pPr>
                </w:p>
              </w:tc>
            </w:tr>
            <w:tr w14:paraId="07AD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900" w:type="pct"/>
                  <w:tcBorders>
                    <w:top w:val="single" w:color="auto" w:sz="4" w:space="0"/>
                    <w:left w:val="single" w:color="auto" w:sz="4" w:space="0"/>
                    <w:bottom w:val="single" w:color="auto" w:sz="4" w:space="0"/>
                    <w:right w:val="single" w:color="auto" w:sz="4" w:space="0"/>
                  </w:tcBorders>
                  <w:vAlign w:val="center"/>
                </w:tcPr>
                <w:p w14:paraId="2F1E321E">
                  <w:pPr>
                    <w:pStyle w:val="52"/>
                  </w:pPr>
                  <w:r>
                    <w:rPr>
                      <w:rFonts w:hint="eastAsia"/>
                    </w:rPr>
                    <w:t>《大气污染物综合排放标准》（GB16297-1996）</w:t>
                  </w:r>
                </w:p>
              </w:tc>
              <w:tc>
                <w:tcPr>
                  <w:tcW w:w="430" w:type="pct"/>
                  <w:tcBorders>
                    <w:top w:val="single" w:color="auto" w:sz="4" w:space="0"/>
                    <w:left w:val="single" w:color="auto" w:sz="4" w:space="0"/>
                    <w:bottom w:val="single" w:color="auto" w:sz="4" w:space="0"/>
                    <w:right w:val="single" w:color="auto" w:sz="4" w:space="0"/>
                  </w:tcBorders>
                  <w:vAlign w:val="center"/>
                </w:tcPr>
                <w:p w14:paraId="34758716">
                  <w:pPr>
                    <w:pStyle w:val="52"/>
                  </w:pPr>
                  <w:r>
                    <w:rPr>
                      <w:rFonts w:hint="eastAsia"/>
                    </w:rPr>
                    <w:t>表2</w:t>
                  </w:r>
                </w:p>
              </w:tc>
              <w:tc>
                <w:tcPr>
                  <w:tcW w:w="571" w:type="pct"/>
                  <w:tcBorders>
                    <w:top w:val="single" w:color="auto" w:sz="4" w:space="0"/>
                    <w:left w:val="single" w:color="auto" w:sz="4" w:space="0"/>
                    <w:bottom w:val="single" w:color="auto" w:sz="4" w:space="0"/>
                    <w:right w:val="single" w:color="auto" w:sz="4" w:space="0"/>
                  </w:tcBorders>
                  <w:vAlign w:val="center"/>
                </w:tcPr>
                <w:p w14:paraId="1BCC16D5">
                  <w:pPr>
                    <w:pStyle w:val="52"/>
                  </w:pPr>
                  <w:r>
                    <w:rPr>
                      <w:rFonts w:hint="eastAsia"/>
                    </w:rPr>
                    <w:t>颗粒物</w:t>
                  </w:r>
                </w:p>
              </w:tc>
              <w:tc>
                <w:tcPr>
                  <w:tcW w:w="2099" w:type="pct"/>
                  <w:tcBorders>
                    <w:top w:val="single" w:color="auto" w:sz="4" w:space="0"/>
                    <w:left w:val="single" w:color="auto" w:sz="4" w:space="0"/>
                    <w:bottom w:val="single" w:color="auto" w:sz="4" w:space="0"/>
                    <w:right w:val="single" w:color="auto" w:sz="4" w:space="0"/>
                  </w:tcBorders>
                  <w:vAlign w:val="center"/>
                </w:tcPr>
                <w:p w14:paraId="7F94B9EC">
                  <w:pPr>
                    <w:pStyle w:val="52"/>
                  </w:pPr>
                  <w:r>
                    <w:rPr>
                      <w:rFonts w:hint="eastAsia"/>
                    </w:rPr>
                    <w:t>1.0</w:t>
                  </w:r>
                </w:p>
              </w:tc>
            </w:tr>
          </w:tbl>
          <w:p w14:paraId="2A6EE18D">
            <w:pPr>
              <w:pStyle w:val="68"/>
              <w:spacing w:line="440" w:lineRule="exact"/>
              <w:ind w:firstLine="480"/>
              <w:rPr>
                <w:sz w:val="24"/>
                <w:szCs w:val="24"/>
              </w:rPr>
            </w:pPr>
            <w:r>
              <w:rPr>
                <w:rFonts w:hint="eastAsia"/>
                <w:sz w:val="24"/>
                <w:szCs w:val="24"/>
              </w:rPr>
              <w:t>本项目运营期有组织排放颗粒物参照执行《水泥工业大气污染物排放标准》（</w:t>
            </w:r>
            <w:r>
              <w:rPr>
                <w:sz w:val="24"/>
                <w:szCs w:val="24"/>
              </w:rPr>
              <w:t>DB14/3176-2024</w:t>
            </w:r>
            <w:r>
              <w:rPr>
                <w:rFonts w:hint="eastAsia"/>
                <w:sz w:val="24"/>
                <w:szCs w:val="24"/>
              </w:rPr>
              <w:t>）表1限值要求。</w:t>
            </w:r>
          </w:p>
          <w:p w14:paraId="7ACFB24A">
            <w:pPr>
              <w:pStyle w:val="68"/>
              <w:spacing w:line="440" w:lineRule="exact"/>
              <w:ind w:firstLine="0" w:firstLineChars="0"/>
              <w:jc w:val="center"/>
              <w:rPr>
                <w:sz w:val="24"/>
                <w:szCs w:val="24"/>
              </w:rPr>
            </w:pPr>
            <w:r>
              <w:rPr>
                <w:rFonts w:hint="eastAsia"/>
                <w:sz w:val="24"/>
                <w:szCs w:val="24"/>
              </w:rPr>
              <w:t>表3-6  运营期大气污染物排放浓度限值（有组织）</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547"/>
              <w:gridCol w:w="1700"/>
              <w:gridCol w:w="2899"/>
            </w:tblGrid>
            <w:tr w14:paraId="70DDA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77" w:type="pct"/>
                  <w:vMerge w:val="restart"/>
                  <w:vAlign w:val="center"/>
                </w:tcPr>
                <w:p w14:paraId="0CF7B972">
                  <w:pPr>
                    <w:pStyle w:val="52"/>
                  </w:pPr>
                  <w:r>
                    <w:rPr>
                      <w:rFonts w:hint="eastAsia"/>
                    </w:rPr>
                    <w:t>标准名称</w:t>
                  </w:r>
                </w:p>
              </w:tc>
              <w:tc>
                <w:tcPr>
                  <w:tcW w:w="1043" w:type="pct"/>
                  <w:vMerge w:val="restart"/>
                  <w:vAlign w:val="center"/>
                </w:tcPr>
                <w:p w14:paraId="169207EF">
                  <w:pPr>
                    <w:pStyle w:val="52"/>
                  </w:pPr>
                  <w:r>
                    <w:rPr>
                      <w:rFonts w:hint="eastAsia"/>
                    </w:rPr>
                    <w:t>生产工序</w:t>
                  </w:r>
                </w:p>
              </w:tc>
              <w:tc>
                <w:tcPr>
                  <w:tcW w:w="1779" w:type="pct"/>
                  <w:vAlign w:val="center"/>
                </w:tcPr>
                <w:p w14:paraId="7B47142B">
                  <w:pPr>
                    <w:pStyle w:val="52"/>
                  </w:pPr>
                  <w:r>
                    <w:rPr>
                      <w:rFonts w:hint="eastAsia"/>
                    </w:rPr>
                    <w:t>排放限值（mg/m</w:t>
                  </w:r>
                  <w:r>
                    <w:rPr>
                      <w:rFonts w:hint="eastAsia"/>
                      <w:vertAlign w:val="superscript"/>
                    </w:rPr>
                    <w:t>3</w:t>
                  </w:r>
                  <w:r>
                    <w:rPr>
                      <w:rFonts w:hint="eastAsia"/>
                    </w:rPr>
                    <w:t>）</w:t>
                  </w:r>
                </w:p>
              </w:tc>
            </w:tr>
            <w:tr w14:paraId="7441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77" w:type="pct"/>
                  <w:vMerge w:val="continue"/>
                  <w:vAlign w:val="center"/>
                </w:tcPr>
                <w:p w14:paraId="023F4C4E">
                  <w:pPr>
                    <w:pStyle w:val="52"/>
                  </w:pPr>
                </w:p>
              </w:tc>
              <w:tc>
                <w:tcPr>
                  <w:tcW w:w="1043" w:type="pct"/>
                  <w:vMerge w:val="continue"/>
                  <w:vAlign w:val="center"/>
                </w:tcPr>
                <w:p w14:paraId="515EED3B">
                  <w:pPr>
                    <w:pStyle w:val="52"/>
                  </w:pPr>
                </w:p>
              </w:tc>
              <w:tc>
                <w:tcPr>
                  <w:tcW w:w="1779" w:type="pct"/>
                  <w:vAlign w:val="center"/>
                </w:tcPr>
                <w:p w14:paraId="41BFC04F">
                  <w:pPr>
                    <w:pStyle w:val="52"/>
                  </w:pPr>
                  <w:r>
                    <w:rPr>
                      <w:rFonts w:hint="eastAsia"/>
                    </w:rPr>
                    <w:t>颗粒物</w:t>
                  </w:r>
                </w:p>
              </w:tc>
            </w:tr>
            <w:tr w14:paraId="2E71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77" w:type="pct"/>
                  <w:vAlign w:val="center"/>
                </w:tcPr>
                <w:p w14:paraId="0ED780AD">
                  <w:pPr>
                    <w:pStyle w:val="52"/>
                  </w:pPr>
                  <w:r>
                    <w:rPr>
                      <w:rFonts w:hint="eastAsia"/>
                    </w:rPr>
                    <w:t>《水泥工业大气污染物排放标准》</w:t>
                  </w:r>
                </w:p>
                <w:p w14:paraId="7C703081">
                  <w:pPr>
                    <w:pStyle w:val="52"/>
                  </w:pPr>
                  <w:r>
                    <w:rPr>
                      <w:rFonts w:hint="eastAsia"/>
                    </w:rPr>
                    <w:t>(DB14/3176-2024)</w:t>
                  </w:r>
                </w:p>
              </w:tc>
              <w:tc>
                <w:tcPr>
                  <w:tcW w:w="1043" w:type="pct"/>
                  <w:vAlign w:val="center"/>
                </w:tcPr>
                <w:p w14:paraId="7701C5E3">
                  <w:pPr>
                    <w:pStyle w:val="52"/>
                  </w:pPr>
                  <w:r>
                    <w:rPr>
                      <w:rFonts w:hint="eastAsia"/>
                    </w:rPr>
                    <w:t>其他</w:t>
                  </w:r>
                </w:p>
              </w:tc>
              <w:tc>
                <w:tcPr>
                  <w:tcW w:w="1779" w:type="pct"/>
                  <w:vAlign w:val="center"/>
                </w:tcPr>
                <w:p w14:paraId="1A118D94">
                  <w:pPr>
                    <w:pStyle w:val="52"/>
                  </w:pPr>
                  <w:r>
                    <w:rPr>
                      <w:rFonts w:hint="eastAsia"/>
                    </w:rPr>
                    <w:t>10</w:t>
                  </w:r>
                </w:p>
              </w:tc>
            </w:tr>
          </w:tbl>
          <w:p w14:paraId="450582D1">
            <w:pPr>
              <w:pStyle w:val="68"/>
              <w:spacing w:line="440" w:lineRule="exact"/>
              <w:ind w:firstLine="480"/>
              <w:rPr>
                <w:sz w:val="24"/>
                <w:szCs w:val="24"/>
              </w:rPr>
            </w:pPr>
            <w:r>
              <w:rPr>
                <w:rFonts w:hint="eastAsia"/>
                <w:sz w:val="24"/>
                <w:szCs w:val="24"/>
              </w:rPr>
              <w:t>本项目运营期厂区内无组织排放颗粒物参照执行《水泥工业大气污染物排放标准》（DB14/3176-2024）表2限值要求，企业边界无组织排放颗粒物参照执行《水泥工业大气污染物排放标准》（GB4915-2013）表3排放限值要求。</w:t>
            </w:r>
          </w:p>
          <w:p w14:paraId="7F7853EE">
            <w:pPr>
              <w:pStyle w:val="68"/>
              <w:spacing w:line="440" w:lineRule="exact"/>
              <w:ind w:firstLine="0" w:firstLineChars="0"/>
              <w:jc w:val="center"/>
              <w:rPr>
                <w:sz w:val="24"/>
                <w:szCs w:val="24"/>
              </w:rPr>
            </w:pPr>
            <w:r>
              <w:rPr>
                <w:rFonts w:hint="eastAsia"/>
                <w:sz w:val="24"/>
                <w:szCs w:val="24"/>
              </w:rPr>
              <w:t>表</w:t>
            </w:r>
            <w:bookmarkStart w:id="55" w:name="OLE_LINK24"/>
            <w:r>
              <w:rPr>
                <w:rFonts w:hint="eastAsia"/>
                <w:sz w:val="24"/>
                <w:szCs w:val="24"/>
              </w:rPr>
              <w:t>3-7</w:t>
            </w:r>
            <w:bookmarkEnd w:id="55"/>
            <w:r>
              <w:rPr>
                <w:rFonts w:hint="eastAsia"/>
                <w:sz w:val="24"/>
                <w:szCs w:val="24"/>
              </w:rPr>
              <w:t xml:space="preserve">  运营期大气污染物排放浓度限值（无组织）</w:t>
            </w:r>
          </w:p>
          <w:tbl>
            <w:tblPr>
              <w:tblStyle w:val="21"/>
              <w:tblW w:w="82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36"/>
              <w:gridCol w:w="991"/>
              <w:gridCol w:w="2788"/>
              <w:gridCol w:w="3733"/>
            </w:tblGrid>
            <w:tr w14:paraId="6AB3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46" w:type="pct"/>
                  <w:vAlign w:val="center"/>
                </w:tcPr>
                <w:p w14:paraId="4638C0A8">
                  <w:pPr>
                    <w:pStyle w:val="52"/>
                  </w:pPr>
                  <w:r>
                    <w:rPr>
                      <w:rFonts w:hint="eastAsia"/>
                    </w:rPr>
                    <w:t>污染物项目</w:t>
                  </w:r>
                </w:p>
              </w:tc>
              <w:tc>
                <w:tcPr>
                  <w:tcW w:w="601" w:type="pct"/>
                  <w:vAlign w:val="center"/>
                </w:tcPr>
                <w:p w14:paraId="0A43B5CA">
                  <w:pPr>
                    <w:pStyle w:val="52"/>
                  </w:pPr>
                  <w:r>
                    <w:rPr>
                      <w:rFonts w:hint="eastAsia"/>
                    </w:rPr>
                    <w:t>限值（mg/m</w:t>
                  </w:r>
                  <w:r>
                    <w:rPr>
                      <w:rFonts w:hint="eastAsia"/>
                      <w:vertAlign w:val="superscript"/>
                    </w:rPr>
                    <w:t>3</w:t>
                  </w:r>
                  <w:r>
                    <w:rPr>
                      <w:rFonts w:hint="eastAsia"/>
                    </w:rPr>
                    <w:t>）</w:t>
                  </w:r>
                </w:p>
              </w:tc>
              <w:tc>
                <w:tcPr>
                  <w:tcW w:w="1690" w:type="pct"/>
                  <w:vAlign w:val="center"/>
                </w:tcPr>
                <w:p w14:paraId="62A1C82B">
                  <w:pPr>
                    <w:pStyle w:val="52"/>
                  </w:pPr>
                  <w:r>
                    <w:rPr>
                      <w:rFonts w:hint="eastAsia"/>
                    </w:rPr>
                    <w:t>限值含义</w:t>
                  </w:r>
                </w:p>
              </w:tc>
              <w:tc>
                <w:tcPr>
                  <w:tcW w:w="2263" w:type="pct"/>
                  <w:vAlign w:val="center"/>
                </w:tcPr>
                <w:p w14:paraId="738905E4">
                  <w:pPr>
                    <w:pStyle w:val="52"/>
                  </w:pPr>
                  <w:r>
                    <w:rPr>
                      <w:rFonts w:hint="eastAsia"/>
                    </w:rPr>
                    <w:t>无组织排放监控位置</w:t>
                  </w:r>
                </w:p>
              </w:tc>
            </w:tr>
            <w:tr w14:paraId="0444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46" w:type="pct"/>
                  <w:vMerge w:val="restart"/>
                  <w:vAlign w:val="center"/>
                </w:tcPr>
                <w:p w14:paraId="12CD93A1">
                  <w:pPr>
                    <w:pStyle w:val="52"/>
                  </w:pPr>
                  <w:r>
                    <w:rPr>
                      <w:rFonts w:hint="eastAsia"/>
                    </w:rPr>
                    <w:t>颗粒物</w:t>
                  </w:r>
                </w:p>
              </w:tc>
              <w:tc>
                <w:tcPr>
                  <w:tcW w:w="601" w:type="pct"/>
                  <w:vAlign w:val="center"/>
                </w:tcPr>
                <w:p w14:paraId="73A53EC8">
                  <w:pPr>
                    <w:pStyle w:val="52"/>
                  </w:pPr>
                  <w:r>
                    <w:rPr>
                      <w:rFonts w:hint="eastAsia"/>
                    </w:rPr>
                    <w:t>5</w:t>
                  </w:r>
                </w:p>
              </w:tc>
              <w:tc>
                <w:tcPr>
                  <w:tcW w:w="1690" w:type="pct"/>
                  <w:vAlign w:val="center"/>
                </w:tcPr>
                <w:p w14:paraId="256680CF">
                  <w:pPr>
                    <w:pStyle w:val="52"/>
                  </w:pPr>
                  <w:r>
                    <w:rPr>
                      <w:rFonts w:hint="eastAsia"/>
                    </w:rPr>
                    <w:t>监控点处1h 平均浓度值</w:t>
                  </w:r>
                </w:p>
              </w:tc>
              <w:tc>
                <w:tcPr>
                  <w:tcW w:w="2263" w:type="pct"/>
                  <w:vAlign w:val="center"/>
                </w:tcPr>
                <w:p w14:paraId="68684C4E">
                  <w:pPr>
                    <w:pStyle w:val="52"/>
                  </w:pPr>
                  <w:r>
                    <w:rPr>
                      <w:rFonts w:hint="eastAsia"/>
                    </w:rPr>
                    <w:t>对厂区内无组织排放进行监控时，在厂房门窗或通风口、其他开口（孔）等排放口外1m，距离地面1.5m以上位置处进行监测。若厂房不完整（如有顶无围墙）或无厂房，则在排放源下风向5m，距离地面1.5m以上位置处进行监测。</w:t>
                  </w:r>
                </w:p>
              </w:tc>
            </w:tr>
            <w:tr w14:paraId="512D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46" w:type="pct"/>
                  <w:vMerge w:val="continue"/>
                  <w:vAlign w:val="center"/>
                </w:tcPr>
                <w:p w14:paraId="47A4250F">
                  <w:pPr>
                    <w:pStyle w:val="52"/>
                  </w:pPr>
                </w:p>
              </w:tc>
              <w:tc>
                <w:tcPr>
                  <w:tcW w:w="601" w:type="pct"/>
                  <w:vAlign w:val="center"/>
                </w:tcPr>
                <w:p w14:paraId="7F2E941A">
                  <w:pPr>
                    <w:pStyle w:val="52"/>
                  </w:pPr>
                  <w:r>
                    <w:rPr>
                      <w:rFonts w:hint="eastAsia"/>
                    </w:rPr>
                    <w:t>0.5</w:t>
                  </w:r>
                </w:p>
              </w:tc>
              <w:tc>
                <w:tcPr>
                  <w:tcW w:w="1690" w:type="pct"/>
                  <w:vAlign w:val="center"/>
                </w:tcPr>
                <w:p w14:paraId="38F4999D">
                  <w:pPr>
                    <w:pStyle w:val="52"/>
                  </w:pPr>
                  <w:r>
                    <w:rPr>
                      <w:rFonts w:hint="eastAsia"/>
                    </w:rPr>
                    <w:t>监控点与参照点总悬浮颗粒物（TSP）1小时浓度值的差值</w:t>
                  </w:r>
                </w:p>
              </w:tc>
              <w:tc>
                <w:tcPr>
                  <w:tcW w:w="2263" w:type="pct"/>
                  <w:vAlign w:val="center"/>
                </w:tcPr>
                <w:p w14:paraId="1AB5F2BB">
                  <w:pPr>
                    <w:pStyle w:val="52"/>
                  </w:pPr>
                  <w:r>
                    <w:rPr>
                      <w:rFonts w:hint="eastAsia"/>
                    </w:rPr>
                    <w:t>厂界外20m处上风向设参照点，下风向设监控点</w:t>
                  </w:r>
                </w:p>
              </w:tc>
            </w:tr>
          </w:tbl>
          <w:p w14:paraId="5FCB9A57">
            <w:pPr>
              <w:pStyle w:val="91"/>
              <w:spacing w:before="0" w:after="0" w:line="440" w:lineRule="exact"/>
            </w:pPr>
            <w:r>
              <w:rPr>
                <w:rFonts w:hint="eastAsia"/>
              </w:rPr>
              <w:t>2.</w:t>
            </w:r>
            <w:r>
              <w:t>噪声排放标准</w:t>
            </w:r>
          </w:p>
          <w:p w14:paraId="20ECE076">
            <w:pPr>
              <w:pStyle w:val="68"/>
              <w:spacing w:line="440" w:lineRule="exact"/>
              <w:ind w:firstLine="480"/>
              <w:rPr>
                <w:sz w:val="24"/>
                <w:szCs w:val="24"/>
              </w:rPr>
            </w:pPr>
            <w:r>
              <w:rPr>
                <w:rFonts w:hint="eastAsia"/>
                <w:sz w:val="24"/>
                <w:szCs w:val="24"/>
              </w:rPr>
              <w:t>施工期噪声执行《建筑施工噪声排放标准》（</w:t>
            </w:r>
            <w:r>
              <w:rPr>
                <w:sz w:val="24"/>
                <w:szCs w:val="24"/>
              </w:rPr>
              <w:t>GB12523-20</w:t>
            </w:r>
            <w:r>
              <w:rPr>
                <w:rFonts w:hint="eastAsia"/>
                <w:sz w:val="24"/>
                <w:szCs w:val="24"/>
              </w:rPr>
              <w:t>25）表1限值；运营期排放噪声执行《工业企业厂界环境噪声排放标准》（</w:t>
            </w:r>
            <w:r>
              <w:rPr>
                <w:sz w:val="24"/>
                <w:szCs w:val="24"/>
              </w:rPr>
              <w:t>GB12348-2008</w:t>
            </w:r>
            <w:r>
              <w:rPr>
                <w:rFonts w:hint="eastAsia"/>
                <w:sz w:val="24"/>
                <w:szCs w:val="24"/>
              </w:rPr>
              <w:t>），2类标准。</w:t>
            </w:r>
          </w:p>
          <w:p w14:paraId="3A6BD513">
            <w:pPr>
              <w:pStyle w:val="72"/>
              <w:spacing w:line="440" w:lineRule="exact"/>
              <w:ind w:firstLine="0" w:firstLineChars="0"/>
              <w:jc w:val="center"/>
              <w:rPr>
                <w:sz w:val="24"/>
                <w:szCs w:val="22"/>
              </w:rPr>
            </w:pPr>
            <w:r>
              <w:rPr>
                <w:rFonts w:hint="eastAsia"/>
                <w:sz w:val="24"/>
                <w:szCs w:val="22"/>
              </w:rPr>
              <w:t>表</w:t>
            </w:r>
            <w:r>
              <w:rPr>
                <w:sz w:val="24"/>
                <w:szCs w:val="22"/>
                <w:lang w:val="en-US"/>
              </w:rPr>
              <w:t>3-</w:t>
            </w:r>
            <w:r>
              <w:rPr>
                <w:rFonts w:hint="eastAsia"/>
                <w:sz w:val="24"/>
                <w:szCs w:val="22"/>
                <w:lang w:val="en-US"/>
              </w:rPr>
              <w:t>8</w:t>
            </w:r>
            <w:r>
              <w:rPr>
                <w:rFonts w:hint="eastAsia"/>
                <w:sz w:val="24"/>
                <w:szCs w:val="22"/>
              </w:rPr>
              <w:t xml:space="preserve">  噪声排放标准一览表</w:t>
            </w:r>
          </w:p>
          <w:tbl>
            <w:tblPr>
              <w:tblStyle w:val="20"/>
              <w:tblW w:w="8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578"/>
              <w:gridCol w:w="2607"/>
              <w:gridCol w:w="1452"/>
              <w:gridCol w:w="1547"/>
            </w:tblGrid>
            <w:tr w14:paraId="5D91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78" w:type="dxa"/>
                  <w:tcBorders>
                    <w:top w:val="single" w:color="auto" w:sz="4" w:space="0"/>
                    <w:left w:val="single" w:color="auto" w:sz="4" w:space="0"/>
                    <w:bottom w:val="single" w:color="auto" w:sz="4" w:space="0"/>
                    <w:right w:val="single" w:color="auto" w:sz="4" w:space="0"/>
                  </w:tcBorders>
                  <w:vAlign w:val="center"/>
                </w:tcPr>
                <w:p w14:paraId="55DA1B4F">
                  <w:pPr>
                    <w:pStyle w:val="52"/>
                  </w:pPr>
                  <w:r>
                    <w:rPr>
                      <w:rFonts w:hint="eastAsia"/>
                    </w:rPr>
                    <w:t>标准名称</w:t>
                  </w:r>
                </w:p>
              </w:tc>
              <w:tc>
                <w:tcPr>
                  <w:tcW w:w="2607" w:type="dxa"/>
                  <w:tcBorders>
                    <w:top w:val="single" w:color="auto" w:sz="4" w:space="0"/>
                    <w:left w:val="single" w:color="auto" w:sz="4" w:space="0"/>
                    <w:bottom w:val="single" w:color="auto" w:sz="4" w:space="0"/>
                    <w:right w:val="single" w:color="auto" w:sz="4" w:space="0"/>
                  </w:tcBorders>
                  <w:vAlign w:val="center"/>
                </w:tcPr>
                <w:p w14:paraId="2B5684A3">
                  <w:pPr>
                    <w:pStyle w:val="52"/>
                  </w:pPr>
                  <w:r>
                    <w:rPr>
                      <w:rFonts w:hint="eastAsia"/>
                    </w:rPr>
                    <w:t>昼间</w:t>
                  </w:r>
                  <w:r>
                    <w:t>dB</w:t>
                  </w:r>
                  <w:r>
                    <w:rPr>
                      <w:rFonts w:hint="eastAsia"/>
                    </w:rPr>
                    <w:t>（</w:t>
                  </w:r>
                  <w:r>
                    <w:t>A</w:t>
                  </w:r>
                  <w:r>
                    <w:rPr>
                      <w:rFonts w:hint="eastAsia"/>
                    </w:rPr>
                    <w:t>）</w:t>
                  </w:r>
                </w:p>
              </w:tc>
              <w:tc>
                <w:tcPr>
                  <w:tcW w:w="2999" w:type="dxa"/>
                  <w:gridSpan w:val="2"/>
                  <w:tcBorders>
                    <w:top w:val="single" w:color="auto" w:sz="4" w:space="0"/>
                    <w:left w:val="single" w:color="auto" w:sz="4" w:space="0"/>
                    <w:bottom w:val="single" w:color="auto" w:sz="4" w:space="0"/>
                    <w:right w:val="single" w:color="auto" w:sz="4" w:space="0"/>
                  </w:tcBorders>
                  <w:vAlign w:val="center"/>
                </w:tcPr>
                <w:p w14:paraId="312B1A03">
                  <w:pPr>
                    <w:pStyle w:val="52"/>
                  </w:pPr>
                  <w:r>
                    <w:rPr>
                      <w:rFonts w:hint="eastAsia"/>
                    </w:rPr>
                    <w:t>夜间</w:t>
                  </w:r>
                  <w:r>
                    <w:t>dB</w:t>
                  </w:r>
                  <w:r>
                    <w:rPr>
                      <w:rFonts w:hint="eastAsia"/>
                    </w:rPr>
                    <w:t>（</w:t>
                  </w:r>
                  <w:r>
                    <w:t>A</w:t>
                  </w:r>
                  <w:r>
                    <w:rPr>
                      <w:rFonts w:hint="eastAsia"/>
                    </w:rPr>
                    <w:t>）</w:t>
                  </w:r>
                </w:p>
              </w:tc>
            </w:tr>
            <w:tr w14:paraId="1B1A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78" w:type="dxa"/>
                  <w:vMerge w:val="restart"/>
                  <w:tcBorders>
                    <w:top w:val="single" w:color="auto" w:sz="4" w:space="0"/>
                    <w:left w:val="single" w:color="auto" w:sz="4" w:space="0"/>
                    <w:bottom w:val="single" w:color="auto" w:sz="4" w:space="0"/>
                    <w:right w:val="single" w:color="auto" w:sz="4" w:space="0"/>
                  </w:tcBorders>
                  <w:vAlign w:val="center"/>
                </w:tcPr>
                <w:p w14:paraId="3984D716">
                  <w:pPr>
                    <w:pStyle w:val="52"/>
                  </w:pPr>
                  <w:r>
                    <w:rPr>
                      <w:rFonts w:hint="eastAsia"/>
                    </w:rPr>
                    <w:t>《建筑施工噪声排放标准》（</w:t>
                  </w:r>
                  <w:r>
                    <w:t>GB12523-20</w:t>
                  </w:r>
                  <w:r>
                    <w:rPr>
                      <w:rFonts w:hint="eastAsia"/>
                    </w:rPr>
                    <w:t>25）</w:t>
                  </w:r>
                </w:p>
              </w:tc>
              <w:tc>
                <w:tcPr>
                  <w:tcW w:w="2607" w:type="dxa"/>
                  <w:tcBorders>
                    <w:top w:val="single" w:color="auto" w:sz="4" w:space="0"/>
                    <w:left w:val="single" w:color="auto" w:sz="4" w:space="0"/>
                    <w:bottom w:val="single" w:color="auto" w:sz="4" w:space="0"/>
                    <w:right w:val="single" w:color="auto" w:sz="4" w:space="0"/>
                  </w:tcBorders>
                  <w:vAlign w:val="center"/>
                </w:tcPr>
                <w:p w14:paraId="383C2974">
                  <w:pPr>
                    <w:pStyle w:val="52"/>
                  </w:pPr>
                  <w:r>
                    <w:t>70</w:t>
                  </w:r>
                </w:p>
              </w:tc>
              <w:tc>
                <w:tcPr>
                  <w:tcW w:w="2999" w:type="dxa"/>
                  <w:gridSpan w:val="2"/>
                  <w:tcBorders>
                    <w:top w:val="single" w:color="auto" w:sz="4" w:space="0"/>
                    <w:left w:val="single" w:color="auto" w:sz="4" w:space="0"/>
                    <w:bottom w:val="single" w:color="auto" w:sz="4" w:space="0"/>
                    <w:right w:val="single" w:color="auto" w:sz="4" w:space="0"/>
                  </w:tcBorders>
                  <w:vAlign w:val="center"/>
                </w:tcPr>
                <w:p w14:paraId="770F2566">
                  <w:pPr>
                    <w:pStyle w:val="52"/>
                  </w:pPr>
                  <w:r>
                    <w:t>55</w:t>
                  </w:r>
                </w:p>
              </w:tc>
            </w:tr>
            <w:tr w14:paraId="042B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78" w:type="dxa"/>
                  <w:vMerge w:val="continue"/>
                  <w:tcBorders>
                    <w:top w:val="single" w:color="auto" w:sz="4" w:space="0"/>
                    <w:left w:val="single" w:color="auto" w:sz="4" w:space="0"/>
                    <w:bottom w:val="single" w:color="auto" w:sz="4" w:space="0"/>
                    <w:right w:val="single" w:color="auto" w:sz="4" w:space="0"/>
                  </w:tcBorders>
                  <w:vAlign w:val="center"/>
                </w:tcPr>
                <w:p w14:paraId="688E2892">
                  <w:pPr>
                    <w:widowControl/>
                    <w:ind w:firstLine="360"/>
                    <w:jc w:val="left"/>
                    <w:rPr>
                      <w:sz w:val="18"/>
                      <w:szCs w:val="18"/>
                    </w:rPr>
                  </w:pPr>
                </w:p>
              </w:tc>
              <w:tc>
                <w:tcPr>
                  <w:tcW w:w="5606" w:type="dxa"/>
                  <w:gridSpan w:val="3"/>
                  <w:tcBorders>
                    <w:top w:val="single" w:color="auto" w:sz="4" w:space="0"/>
                    <w:left w:val="single" w:color="auto" w:sz="4" w:space="0"/>
                    <w:bottom w:val="single" w:color="auto" w:sz="4" w:space="0"/>
                    <w:right w:val="single" w:color="auto" w:sz="4" w:space="0"/>
                  </w:tcBorders>
                  <w:vAlign w:val="center"/>
                </w:tcPr>
                <w:p w14:paraId="30B75456">
                  <w:pPr>
                    <w:pStyle w:val="52"/>
                  </w:pPr>
                  <w:r>
                    <w:rPr>
                      <w:rFonts w:hint="eastAsia"/>
                    </w:rPr>
                    <w:t>夜间场界噪声最大声级超过限值的幅度不得高于15 dB（A）</w:t>
                  </w:r>
                </w:p>
              </w:tc>
            </w:tr>
            <w:tr w14:paraId="64D7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78" w:type="dxa"/>
                  <w:tcBorders>
                    <w:top w:val="single" w:color="auto" w:sz="4" w:space="0"/>
                    <w:left w:val="single" w:color="auto" w:sz="4" w:space="0"/>
                    <w:bottom w:val="single" w:color="auto" w:sz="4" w:space="0"/>
                    <w:right w:val="single" w:color="auto" w:sz="4" w:space="0"/>
                  </w:tcBorders>
                  <w:vAlign w:val="center"/>
                </w:tcPr>
                <w:p w14:paraId="0B0D8D10">
                  <w:pPr>
                    <w:pStyle w:val="52"/>
                  </w:pPr>
                  <w:r>
                    <w:rPr>
                      <w:rFonts w:hint="eastAsia"/>
                    </w:rPr>
                    <w:t>标准名称</w:t>
                  </w:r>
                </w:p>
              </w:tc>
              <w:tc>
                <w:tcPr>
                  <w:tcW w:w="2607" w:type="dxa"/>
                  <w:tcBorders>
                    <w:top w:val="single" w:color="auto" w:sz="4" w:space="0"/>
                    <w:left w:val="single" w:color="auto" w:sz="4" w:space="0"/>
                    <w:bottom w:val="single" w:color="auto" w:sz="4" w:space="0"/>
                    <w:right w:val="single" w:color="auto" w:sz="4" w:space="0"/>
                  </w:tcBorders>
                  <w:vAlign w:val="center"/>
                </w:tcPr>
                <w:p w14:paraId="21E9513E">
                  <w:pPr>
                    <w:pStyle w:val="52"/>
                  </w:pPr>
                  <w:r>
                    <w:rPr>
                      <w:rFonts w:hint="eastAsia"/>
                    </w:rPr>
                    <w:t>厂界外声环境功能区类别</w:t>
                  </w:r>
                </w:p>
              </w:tc>
              <w:tc>
                <w:tcPr>
                  <w:tcW w:w="1452" w:type="dxa"/>
                  <w:tcBorders>
                    <w:top w:val="single" w:color="auto" w:sz="4" w:space="0"/>
                    <w:left w:val="single" w:color="auto" w:sz="4" w:space="0"/>
                    <w:bottom w:val="single" w:color="auto" w:sz="4" w:space="0"/>
                    <w:right w:val="single" w:color="auto" w:sz="4" w:space="0"/>
                  </w:tcBorders>
                  <w:vAlign w:val="center"/>
                </w:tcPr>
                <w:p w14:paraId="0EDE745E">
                  <w:pPr>
                    <w:pStyle w:val="52"/>
                  </w:pPr>
                  <w:r>
                    <w:rPr>
                      <w:rFonts w:hint="eastAsia"/>
                    </w:rPr>
                    <w:t>昼间</w:t>
                  </w:r>
                  <w:r>
                    <w:t>dB</w:t>
                  </w:r>
                  <w:r>
                    <w:rPr>
                      <w:rFonts w:hint="eastAsia"/>
                    </w:rPr>
                    <w:t>（</w:t>
                  </w:r>
                  <w:r>
                    <w:t>A</w:t>
                  </w:r>
                  <w:r>
                    <w:rPr>
                      <w:rFonts w:hint="eastAsia"/>
                    </w:rPr>
                    <w:t>）</w:t>
                  </w:r>
                </w:p>
              </w:tc>
              <w:tc>
                <w:tcPr>
                  <w:tcW w:w="1547" w:type="dxa"/>
                  <w:tcBorders>
                    <w:top w:val="single" w:color="auto" w:sz="4" w:space="0"/>
                    <w:left w:val="single" w:color="auto" w:sz="4" w:space="0"/>
                    <w:bottom w:val="single" w:color="auto" w:sz="4" w:space="0"/>
                    <w:right w:val="single" w:color="auto" w:sz="4" w:space="0"/>
                  </w:tcBorders>
                  <w:vAlign w:val="center"/>
                </w:tcPr>
                <w:p w14:paraId="07230083">
                  <w:pPr>
                    <w:pStyle w:val="52"/>
                  </w:pPr>
                  <w:r>
                    <w:rPr>
                      <w:rFonts w:hint="eastAsia"/>
                    </w:rPr>
                    <w:t>夜间</w:t>
                  </w:r>
                  <w:r>
                    <w:t>dB</w:t>
                  </w:r>
                  <w:r>
                    <w:rPr>
                      <w:rFonts w:hint="eastAsia"/>
                    </w:rPr>
                    <w:t>（</w:t>
                  </w:r>
                  <w:r>
                    <w:t>A</w:t>
                  </w:r>
                  <w:r>
                    <w:rPr>
                      <w:rFonts w:hint="eastAsia"/>
                    </w:rPr>
                    <w:t>）</w:t>
                  </w:r>
                </w:p>
              </w:tc>
            </w:tr>
            <w:tr w14:paraId="5BDB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78" w:type="dxa"/>
                  <w:tcBorders>
                    <w:top w:val="single" w:color="auto" w:sz="4" w:space="0"/>
                    <w:left w:val="single" w:color="auto" w:sz="4" w:space="0"/>
                    <w:right w:val="single" w:color="auto" w:sz="4" w:space="0"/>
                  </w:tcBorders>
                  <w:vAlign w:val="center"/>
                </w:tcPr>
                <w:p w14:paraId="31607BF2">
                  <w:pPr>
                    <w:pStyle w:val="52"/>
                  </w:pPr>
                  <w:r>
                    <w:rPr>
                      <w:rFonts w:hint="eastAsia"/>
                    </w:rPr>
                    <w:t>《工业企业厂界环境噪声排放标准》（</w:t>
                  </w:r>
                  <w:r>
                    <w:t>GB12348-2008</w:t>
                  </w:r>
                  <w:r>
                    <w:rPr>
                      <w:rFonts w:hint="eastAsia"/>
                    </w:rPr>
                    <w:t>）</w:t>
                  </w:r>
                </w:p>
              </w:tc>
              <w:tc>
                <w:tcPr>
                  <w:tcW w:w="2607" w:type="dxa"/>
                  <w:tcBorders>
                    <w:top w:val="single" w:color="auto" w:sz="4" w:space="0"/>
                    <w:left w:val="single" w:color="auto" w:sz="4" w:space="0"/>
                    <w:bottom w:val="single" w:color="auto" w:sz="4" w:space="0"/>
                    <w:right w:val="single" w:color="auto" w:sz="4" w:space="0"/>
                  </w:tcBorders>
                  <w:vAlign w:val="center"/>
                </w:tcPr>
                <w:p w14:paraId="5D7FD2D2">
                  <w:pPr>
                    <w:pStyle w:val="52"/>
                  </w:pPr>
                  <w:r>
                    <w:rPr>
                      <w:rFonts w:hint="eastAsia"/>
                    </w:rPr>
                    <w:t>2类</w:t>
                  </w:r>
                </w:p>
              </w:tc>
              <w:tc>
                <w:tcPr>
                  <w:tcW w:w="1452" w:type="dxa"/>
                  <w:tcBorders>
                    <w:top w:val="single" w:color="auto" w:sz="4" w:space="0"/>
                    <w:left w:val="single" w:color="auto" w:sz="4" w:space="0"/>
                    <w:bottom w:val="single" w:color="auto" w:sz="4" w:space="0"/>
                    <w:right w:val="single" w:color="auto" w:sz="4" w:space="0"/>
                  </w:tcBorders>
                  <w:vAlign w:val="center"/>
                </w:tcPr>
                <w:p w14:paraId="0BC7AF50">
                  <w:pPr>
                    <w:pStyle w:val="52"/>
                  </w:pPr>
                  <w:r>
                    <w:rPr>
                      <w:rFonts w:hint="eastAsia"/>
                    </w:rPr>
                    <w:t>6</w:t>
                  </w:r>
                  <w:r>
                    <w:t>0</w:t>
                  </w:r>
                </w:p>
              </w:tc>
              <w:tc>
                <w:tcPr>
                  <w:tcW w:w="1547" w:type="dxa"/>
                  <w:tcBorders>
                    <w:top w:val="single" w:color="auto" w:sz="4" w:space="0"/>
                    <w:left w:val="single" w:color="auto" w:sz="4" w:space="0"/>
                    <w:bottom w:val="single" w:color="auto" w:sz="4" w:space="0"/>
                    <w:right w:val="single" w:color="auto" w:sz="4" w:space="0"/>
                  </w:tcBorders>
                  <w:vAlign w:val="center"/>
                </w:tcPr>
                <w:p w14:paraId="069D4E8E">
                  <w:pPr>
                    <w:pStyle w:val="52"/>
                  </w:pPr>
                  <w:r>
                    <w:rPr>
                      <w:rFonts w:hint="eastAsia"/>
                    </w:rPr>
                    <w:t>5</w:t>
                  </w:r>
                  <w:r>
                    <w:t>0</w:t>
                  </w:r>
                </w:p>
              </w:tc>
            </w:tr>
          </w:tbl>
          <w:p w14:paraId="0A904428">
            <w:pPr>
              <w:pStyle w:val="91"/>
              <w:spacing w:before="0" w:after="0" w:line="440" w:lineRule="exact"/>
            </w:pPr>
            <w:r>
              <w:rPr>
                <w:rFonts w:hint="eastAsia"/>
              </w:rPr>
              <w:t>3.固体废物</w:t>
            </w:r>
          </w:p>
          <w:p w14:paraId="5B936B1A">
            <w:pPr>
              <w:pStyle w:val="68"/>
              <w:spacing w:line="440" w:lineRule="exact"/>
              <w:ind w:firstLine="480"/>
            </w:pPr>
            <w:r>
              <w:rPr>
                <w:rFonts w:hint="eastAsia"/>
                <w:sz w:val="24"/>
                <w:szCs w:val="24"/>
              </w:rPr>
              <w:t>本项目一般工业固体废物贮存过程应满足防渗漏、防雨淋、防扬尘等环境保护要求，危险废物执行《危险废物贮存污染控制标准》（GB18597-2023）标准要求</w:t>
            </w:r>
            <w:r>
              <w:rPr>
                <w:sz w:val="24"/>
                <w:szCs w:val="24"/>
              </w:rPr>
              <w:t>。</w:t>
            </w:r>
          </w:p>
        </w:tc>
      </w:tr>
      <w:tr w14:paraId="113185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vAlign w:val="center"/>
          </w:tcPr>
          <w:p w14:paraId="7F113F01">
            <w:pPr>
              <w:adjustRightInd w:val="0"/>
              <w:snapToGrid w:val="0"/>
              <w:jc w:val="center"/>
              <w:rPr>
                <w:rFonts w:cs="宋体"/>
                <w:kern w:val="0"/>
                <w:szCs w:val="21"/>
              </w:rPr>
            </w:pPr>
            <w:r>
              <w:rPr>
                <w:rFonts w:hint="eastAsia" w:cs="宋体"/>
                <w:kern w:val="0"/>
                <w:szCs w:val="21"/>
              </w:rPr>
              <w:t>总量</w:t>
            </w:r>
          </w:p>
          <w:p w14:paraId="53AB176D">
            <w:pPr>
              <w:adjustRightInd w:val="0"/>
              <w:snapToGrid w:val="0"/>
              <w:jc w:val="center"/>
              <w:rPr>
                <w:rFonts w:cs="宋体"/>
                <w:kern w:val="0"/>
                <w:szCs w:val="21"/>
              </w:rPr>
            </w:pPr>
            <w:r>
              <w:rPr>
                <w:rFonts w:hint="eastAsia" w:cs="宋体"/>
                <w:kern w:val="0"/>
                <w:szCs w:val="21"/>
              </w:rPr>
              <w:t>控制</w:t>
            </w:r>
          </w:p>
          <w:p w14:paraId="65AE996C">
            <w:pPr>
              <w:adjustRightInd w:val="0"/>
              <w:snapToGrid w:val="0"/>
              <w:jc w:val="center"/>
              <w:rPr>
                <w:rFonts w:cs="宋体"/>
                <w:kern w:val="0"/>
                <w:szCs w:val="21"/>
              </w:rPr>
            </w:pPr>
            <w:r>
              <w:rPr>
                <w:rFonts w:hint="eastAsia" w:cs="宋体"/>
                <w:kern w:val="0"/>
                <w:szCs w:val="21"/>
              </w:rPr>
              <w:t>指标</w:t>
            </w:r>
          </w:p>
        </w:tc>
        <w:tc>
          <w:tcPr>
            <w:tcW w:w="8190" w:type="dxa"/>
            <w:vAlign w:val="center"/>
          </w:tcPr>
          <w:p w14:paraId="7640A27E">
            <w:pPr>
              <w:pStyle w:val="68"/>
              <w:spacing w:line="440" w:lineRule="exact"/>
              <w:ind w:firstLine="480"/>
              <w:rPr>
                <w:sz w:val="24"/>
                <w:szCs w:val="24"/>
              </w:rPr>
            </w:pPr>
            <w:r>
              <w:rPr>
                <w:rFonts w:hint="eastAsia"/>
                <w:sz w:val="24"/>
                <w:szCs w:val="24"/>
              </w:rPr>
              <w:t>根据山西省生态环境厅关于印发《建设项目主要污染物排放总量指标核定办法》（晋环规〔2023〕1号）的通知，本项目运营产生的污染物中需要进行总量控制的是颗粒物。</w:t>
            </w:r>
          </w:p>
          <w:p w14:paraId="28A6A8F2">
            <w:pPr>
              <w:pStyle w:val="68"/>
              <w:spacing w:line="440" w:lineRule="exact"/>
              <w:ind w:firstLine="480"/>
              <w:rPr>
                <w:sz w:val="24"/>
                <w:szCs w:val="24"/>
              </w:rPr>
            </w:pPr>
            <w:r>
              <w:rPr>
                <w:rFonts w:hint="eastAsia"/>
                <w:sz w:val="24"/>
                <w:szCs w:val="24"/>
              </w:rPr>
              <w:t>本项目需申请污染物排放总量控制指标为：颗粒物0.852t/a</w:t>
            </w:r>
            <w:bookmarkStart w:id="56" w:name="_Hlk76030168"/>
            <w:r>
              <w:rPr>
                <w:rFonts w:hint="eastAsia"/>
                <w:sz w:val="24"/>
                <w:szCs w:val="24"/>
              </w:rPr>
              <w:t>。</w:t>
            </w:r>
          </w:p>
          <w:bookmarkEnd w:id="56"/>
          <w:p w14:paraId="1CAC186B">
            <w:pPr>
              <w:pStyle w:val="68"/>
              <w:spacing w:line="440" w:lineRule="exact"/>
              <w:ind w:firstLine="480"/>
              <w:rPr>
                <w:sz w:val="24"/>
                <w:szCs w:val="24"/>
              </w:rPr>
            </w:pPr>
            <w:r>
              <w:rPr>
                <w:rFonts w:hint="eastAsia"/>
                <w:kern w:val="2"/>
                <w:sz w:val="24"/>
                <w:szCs w:val="24"/>
              </w:rPr>
              <w:t>阳泉市生态环境局盂县分局以阳环盂函〔2026〕51号文出具了关于山西康正新型材料制造有限公司新建矿用及建筑用功能性干粉建材生产项目</w:t>
            </w:r>
            <w:r>
              <w:rPr>
                <w:rFonts w:hint="eastAsia"/>
                <w:sz w:val="24"/>
                <w:szCs w:val="24"/>
              </w:rPr>
              <w:t>排放总量控制指标的核定意见，核定污染物排放总量控制指标为：颗粒物0.852吨/年。</w:t>
            </w:r>
          </w:p>
        </w:tc>
      </w:tr>
    </w:tbl>
    <w:p w14:paraId="33E70DDF">
      <w:pPr>
        <w:pStyle w:val="15"/>
        <w:jc w:val="center"/>
        <w:outlineLvl w:val="0"/>
        <w:rPr>
          <w:rFonts w:ascii="Times New Roman" w:hAnsi="Times New Roman"/>
          <w:snapToGrid w:val="0"/>
          <w:sz w:val="30"/>
          <w:szCs w:val="30"/>
        </w:rPr>
      </w:pPr>
      <w:r>
        <w:rPr>
          <w:rFonts w:ascii="Times New Roman" w:hAnsi="Times New Roman"/>
          <w:snapToGrid w:val="0"/>
          <w:sz w:val="36"/>
          <w:szCs w:val="36"/>
        </w:rPr>
        <w:br w:type="page"/>
      </w:r>
      <w:r>
        <w:rPr>
          <w:rFonts w:hint="eastAsia" w:ascii="Times New Roman" w:hAnsi="Times New Roman"/>
          <w:snapToGrid w:val="0"/>
          <w:sz w:val="30"/>
          <w:szCs w:val="30"/>
        </w:rPr>
        <w:t>四、主要环境影响和保护措施</w:t>
      </w:r>
    </w:p>
    <w:tbl>
      <w:tblPr>
        <w:tblStyle w:val="2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74"/>
        <w:gridCol w:w="8551"/>
      </w:tblGrid>
      <w:tr w14:paraId="5ECE2F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4" w:type="dxa"/>
            <w:tcMar>
              <w:left w:w="28" w:type="dxa"/>
              <w:right w:w="28" w:type="dxa"/>
            </w:tcMar>
            <w:vAlign w:val="center"/>
          </w:tcPr>
          <w:p w14:paraId="420BFC47">
            <w:pPr>
              <w:pStyle w:val="15"/>
              <w:adjustRightInd w:val="0"/>
              <w:snapToGrid w:val="0"/>
              <w:spacing w:before="0" w:beforeAutospacing="0" w:after="0" w:afterAutospacing="0"/>
              <w:jc w:val="center"/>
              <w:rPr>
                <w:rFonts w:ascii="Times New Roman" w:hAnsi="Times New Roman" w:cs="宋体"/>
                <w:kern w:val="2"/>
                <w:sz w:val="21"/>
                <w:szCs w:val="21"/>
              </w:rPr>
            </w:pPr>
            <w:r>
              <w:rPr>
                <w:rFonts w:hint="eastAsia" w:ascii="Times New Roman" w:hAnsi="Times New Roman" w:cs="宋体"/>
                <w:kern w:val="2"/>
                <w:sz w:val="21"/>
                <w:szCs w:val="21"/>
              </w:rPr>
              <w:t>施工</w:t>
            </w:r>
          </w:p>
          <w:p w14:paraId="60DA0895">
            <w:pPr>
              <w:pStyle w:val="15"/>
              <w:adjustRightInd w:val="0"/>
              <w:snapToGrid w:val="0"/>
              <w:spacing w:before="0" w:beforeAutospacing="0" w:after="0" w:afterAutospacing="0"/>
              <w:jc w:val="center"/>
              <w:rPr>
                <w:rFonts w:ascii="Times New Roman" w:hAnsi="Times New Roman" w:cs="宋体"/>
                <w:kern w:val="2"/>
                <w:sz w:val="21"/>
                <w:szCs w:val="21"/>
              </w:rPr>
            </w:pPr>
            <w:r>
              <w:rPr>
                <w:rFonts w:hint="eastAsia" w:ascii="Times New Roman" w:hAnsi="Times New Roman" w:cs="宋体"/>
                <w:kern w:val="2"/>
                <w:sz w:val="21"/>
                <w:szCs w:val="21"/>
              </w:rPr>
              <w:t>期环</w:t>
            </w:r>
          </w:p>
          <w:p w14:paraId="27881F56">
            <w:pPr>
              <w:pStyle w:val="15"/>
              <w:adjustRightInd w:val="0"/>
              <w:snapToGrid w:val="0"/>
              <w:spacing w:before="0" w:beforeAutospacing="0" w:after="0" w:afterAutospacing="0"/>
              <w:jc w:val="center"/>
              <w:rPr>
                <w:rFonts w:ascii="Times New Roman" w:hAnsi="Times New Roman" w:cs="宋体"/>
                <w:kern w:val="2"/>
                <w:sz w:val="21"/>
                <w:szCs w:val="21"/>
              </w:rPr>
            </w:pPr>
            <w:r>
              <w:rPr>
                <w:rFonts w:hint="eastAsia" w:ascii="Times New Roman" w:hAnsi="Times New Roman" w:cs="宋体"/>
                <w:kern w:val="2"/>
                <w:sz w:val="21"/>
                <w:szCs w:val="21"/>
              </w:rPr>
              <w:t>境保</w:t>
            </w:r>
          </w:p>
          <w:p w14:paraId="2C26EC9A">
            <w:pPr>
              <w:pStyle w:val="15"/>
              <w:adjustRightInd w:val="0"/>
              <w:snapToGrid w:val="0"/>
              <w:spacing w:before="0" w:beforeAutospacing="0" w:after="0" w:afterAutospacing="0"/>
              <w:jc w:val="center"/>
              <w:rPr>
                <w:rFonts w:ascii="Times New Roman" w:hAnsi="Times New Roman" w:cs="宋体"/>
                <w:kern w:val="2"/>
                <w:sz w:val="21"/>
                <w:szCs w:val="21"/>
              </w:rPr>
            </w:pPr>
            <w:r>
              <w:rPr>
                <w:rFonts w:hint="eastAsia" w:ascii="Times New Roman" w:hAnsi="Times New Roman" w:cs="宋体"/>
                <w:kern w:val="2"/>
                <w:sz w:val="21"/>
                <w:szCs w:val="21"/>
              </w:rPr>
              <w:t>护措</w:t>
            </w:r>
          </w:p>
          <w:p w14:paraId="6C4F98EC">
            <w:pPr>
              <w:pStyle w:val="15"/>
              <w:adjustRightInd w:val="0"/>
              <w:snapToGrid w:val="0"/>
              <w:spacing w:before="0" w:beforeAutospacing="0" w:after="0" w:afterAutospacing="0"/>
              <w:jc w:val="center"/>
              <w:rPr>
                <w:rFonts w:ascii="Times New Roman" w:hAnsi="Times New Roman" w:cs="宋体"/>
                <w:bCs/>
                <w:kern w:val="2"/>
                <w:sz w:val="21"/>
                <w:szCs w:val="21"/>
              </w:rPr>
            </w:pPr>
            <w:r>
              <w:rPr>
                <w:rFonts w:hint="eastAsia" w:ascii="Times New Roman" w:hAnsi="Times New Roman" w:cs="宋体"/>
                <w:kern w:val="2"/>
                <w:sz w:val="21"/>
                <w:szCs w:val="21"/>
              </w:rPr>
              <w:t>施</w:t>
            </w:r>
          </w:p>
        </w:tc>
        <w:tc>
          <w:tcPr>
            <w:tcW w:w="8551" w:type="dxa"/>
            <w:vAlign w:val="center"/>
          </w:tcPr>
          <w:p w14:paraId="44AA92CA">
            <w:pPr>
              <w:pStyle w:val="72"/>
              <w:spacing w:line="400" w:lineRule="exact"/>
              <w:ind w:firstLine="480"/>
              <w:rPr>
                <w:rFonts w:cs="宋体"/>
                <w:color w:val="000000" w:themeColor="text1"/>
                <w:sz w:val="24"/>
                <w:szCs w:val="32"/>
                <w14:textFill>
                  <w14:solidFill>
                    <w14:schemeClr w14:val="tx1"/>
                  </w14:solidFill>
                </w14:textFill>
              </w:rPr>
            </w:pPr>
            <w:r>
              <w:rPr>
                <w:rFonts w:hint="eastAsia" w:cs="宋体"/>
                <w:color w:val="000000" w:themeColor="text1"/>
                <w:sz w:val="24"/>
                <w:szCs w:val="32"/>
                <w14:textFill>
                  <w14:solidFill>
                    <w14:schemeClr w14:val="tx1"/>
                  </w14:solidFill>
                </w14:textFill>
              </w:rPr>
              <w:t>本项目租用现有厂房，厂区地面均已进行硬化，仅涉及设备进场及安装，有效收集安装产生的废包装等固体废物后，施工期环境影响较小。</w:t>
            </w:r>
          </w:p>
        </w:tc>
      </w:tr>
      <w:tr w14:paraId="2D0134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4" w:type="dxa"/>
            <w:tcMar>
              <w:left w:w="28" w:type="dxa"/>
              <w:right w:w="28" w:type="dxa"/>
            </w:tcMar>
            <w:vAlign w:val="center"/>
          </w:tcPr>
          <w:p w14:paraId="26FBF6C7">
            <w:pPr>
              <w:adjustRightInd w:val="0"/>
              <w:snapToGrid w:val="0"/>
              <w:jc w:val="center"/>
              <w:rPr>
                <w:rFonts w:cs="宋体"/>
                <w:bCs/>
                <w:szCs w:val="21"/>
              </w:rPr>
            </w:pPr>
            <w:r>
              <w:rPr>
                <w:rFonts w:hint="eastAsia" w:cs="宋体"/>
                <w:bCs/>
                <w:szCs w:val="21"/>
              </w:rPr>
              <w:t>运营</w:t>
            </w:r>
          </w:p>
          <w:p w14:paraId="2B36EAAA">
            <w:pPr>
              <w:adjustRightInd w:val="0"/>
              <w:snapToGrid w:val="0"/>
              <w:jc w:val="center"/>
              <w:rPr>
                <w:rFonts w:cs="宋体"/>
                <w:bCs/>
                <w:szCs w:val="21"/>
              </w:rPr>
            </w:pPr>
            <w:r>
              <w:rPr>
                <w:rFonts w:hint="eastAsia" w:cs="宋体"/>
                <w:bCs/>
                <w:szCs w:val="21"/>
              </w:rPr>
              <w:t>期环</w:t>
            </w:r>
          </w:p>
          <w:p w14:paraId="74D54256">
            <w:pPr>
              <w:adjustRightInd w:val="0"/>
              <w:snapToGrid w:val="0"/>
              <w:jc w:val="center"/>
              <w:rPr>
                <w:rFonts w:cs="宋体"/>
                <w:bCs/>
                <w:szCs w:val="21"/>
              </w:rPr>
            </w:pPr>
            <w:r>
              <w:rPr>
                <w:rFonts w:hint="eastAsia" w:cs="宋体"/>
                <w:bCs/>
                <w:szCs w:val="21"/>
              </w:rPr>
              <w:t>境影</w:t>
            </w:r>
          </w:p>
          <w:p w14:paraId="345EE17E">
            <w:pPr>
              <w:adjustRightInd w:val="0"/>
              <w:snapToGrid w:val="0"/>
              <w:jc w:val="center"/>
              <w:rPr>
                <w:rFonts w:cs="宋体"/>
                <w:bCs/>
                <w:szCs w:val="21"/>
              </w:rPr>
            </w:pPr>
            <w:r>
              <w:rPr>
                <w:rFonts w:hint="eastAsia" w:cs="宋体"/>
                <w:bCs/>
                <w:szCs w:val="21"/>
              </w:rPr>
              <w:t>响和</w:t>
            </w:r>
          </w:p>
          <w:p w14:paraId="36FD692E">
            <w:pPr>
              <w:adjustRightInd w:val="0"/>
              <w:snapToGrid w:val="0"/>
              <w:jc w:val="center"/>
              <w:rPr>
                <w:rFonts w:cs="宋体"/>
                <w:bCs/>
                <w:szCs w:val="21"/>
              </w:rPr>
            </w:pPr>
            <w:r>
              <w:rPr>
                <w:rFonts w:hint="eastAsia" w:cs="宋体"/>
                <w:bCs/>
                <w:szCs w:val="21"/>
              </w:rPr>
              <w:t>保护</w:t>
            </w:r>
          </w:p>
          <w:p w14:paraId="32B8CB59">
            <w:pPr>
              <w:adjustRightInd w:val="0"/>
              <w:snapToGrid w:val="0"/>
              <w:jc w:val="center"/>
              <w:rPr>
                <w:rFonts w:cs="宋体"/>
                <w:bCs/>
                <w:szCs w:val="21"/>
              </w:rPr>
            </w:pPr>
            <w:r>
              <w:rPr>
                <w:rFonts w:hint="eastAsia" w:cs="宋体"/>
                <w:bCs/>
                <w:szCs w:val="21"/>
              </w:rPr>
              <w:t>措施</w:t>
            </w:r>
          </w:p>
        </w:tc>
        <w:tc>
          <w:tcPr>
            <w:tcW w:w="8551" w:type="dxa"/>
            <w:vAlign w:val="center"/>
          </w:tcPr>
          <w:p w14:paraId="765DF3AA">
            <w:pPr>
              <w:pStyle w:val="91"/>
            </w:pPr>
            <w:r>
              <w:rPr>
                <w:rFonts w:hint="eastAsia"/>
              </w:rPr>
              <w:t>一、运营期大气环境影响和保护措施</w:t>
            </w:r>
          </w:p>
          <w:p w14:paraId="0D59B4E6">
            <w:pPr>
              <w:pStyle w:val="77"/>
              <w:rPr>
                <w:rFonts w:hint="eastAsia"/>
                <w:sz w:val="24"/>
                <w:szCs w:val="24"/>
              </w:rPr>
            </w:pPr>
            <w:r>
              <w:rPr>
                <w:rFonts w:hint="eastAsia"/>
                <w:sz w:val="24"/>
                <w:szCs w:val="24"/>
              </w:rPr>
              <w:t>1.污染源源强分析</w:t>
            </w:r>
          </w:p>
          <w:p w14:paraId="457DA403">
            <w:pPr>
              <w:pStyle w:val="72"/>
              <w:spacing w:line="400" w:lineRule="exact"/>
              <w:ind w:firstLine="480"/>
              <w:rPr>
                <w:sz w:val="24"/>
                <w:szCs w:val="22"/>
              </w:rPr>
            </w:pPr>
            <w:bookmarkStart w:id="57" w:name="_Hlk238644664"/>
            <w:r>
              <w:rPr>
                <w:rFonts w:hint="eastAsia"/>
                <w:sz w:val="24"/>
                <w:szCs w:val="22"/>
              </w:rPr>
              <w:t>本项目产生的有组织废气主要有：上料系统、混合搅拌及包装系统及各筒仓产生的颗粒物等。无组织废气主要有：原料及产品储存扬尘，物料输送、转载等粉尘，道路运输扬尘。</w:t>
            </w:r>
          </w:p>
          <w:p w14:paraId="0009D35F">
            <w:pPr>
              <w:pStyle w:val="72"/>
              <w:spacing w:line="400" w:lineRule="exact"/>
              <w:ind w:firstLine="480"/>
              <w:rPr>
                <w:sz w:val="24"/>
                <w:szCs w:val="22"/>
              </w:rPr>
            </w:pPr>
            <w:r>
              <w:rPr>
                <w:rFonts w:hint="eastAsia"/>
                <w:sz w:val="24"/>
                <w:szCs w:val="22"/>
              </w:rPr>
              <w:t>A.有组织废气</w:t>
            </w:r>
          </w:p>
          <w:p w14:paraId="13FE938B">
            <w:pPr>
              <w:spacing w:line="440" w:lineRule="exact"/>
              <w:ind w:firstLine="480" w:firstLineChars="200"/>
              <w:rPr>
                <w:sz w:val="24"/>
                <w:szCs w:val="32"/>
              </w:rPr>
            </w:pPr>
            <w:bookmarkStart w:id="58" w:name="OLE_LINK13"/>
            <w:r>
              <w:rPr>
                <w:rFonts w:hint="eastAsia"/>
                <w:sz w:val="24"/>
                <w:szCs w:val="32"/>
              </w:rPr>
              <w:t>（1）</w:t>
            </w:r>
            <w:bookmarkStart w:id="59" w:name="OLE_LINK534"/>
            <w:bookmarkStart w:id="60" w:name="OLE_LINK535"/>
            <w:bookmarkStart w:id="61" w:name="OLE_LINK9"/>
            <w:r>
              <w:rPr>
                <w:rFonts w:hint="eastAsia"/>
                <w:color w:val="000000"/>
                <w:sz w:val="24"/>
                <w:szCs w:val="32"/>
              </w:rPr>
              <w:t>骨料上料</w:t>
            </w:r>
            <w:bookmarkEnd w:id="59"/>
            <w:bookmarkEnd w:id="60"/>
            <w:r>
              <w:rPr>
                <w:rFonts w:hint="eastAsia"/>
                <w:color w:val="000000"/>
                <w:sz w:val="24"/>
                <w:szCs w:val="32"/>
              </w:rPr>
              <w:t>、输送、搅拌、包装粉尘</w:t>
            </w:r>
            <w:bookmarkEnd w:id="58"/>
            <w:bookmarkEnd w:id="61"/>
            <w:r>
              <w:rPr>
                <w:rFonts w:hint="eastAsia"/>
                <w:color w:val="000000"/>
                <w:sz w:val="24"/>
                <w:szCs w:val="32"/>
              </w:rPr>
              <w:t>（排气筒</w:t>
            </w:r>
            <w:r>
              <w:rPr>
                <w:color w:val="000000"/>
                <w:sz w:val="24"/>
                <w:szCs w:val="32"/>
              </w:rPr>
              <w:t>DA00</w:t>
            </w:r>
            <w:r>
              <w:rPr>
                <w:rFonts w:hint="eastAsia"/>
                <w:color w:val="000000"/>
                <w:sz w:val="24"/>
                <w:szCs w:val="32"/>
              </w:rPr>
              <w:t>1）</w:t>
            </w:r>
          </w:p>
          <w:p w14:paraId="286EFF89">
            <w:pPr>
              <w:pStyle w:val="72"/>
              <w:spacing w:line="400" w:lineRule="exact"/>
              <w:ind w:firstLine="480"/>
              <w:rPr>
                <w:sz w:val="24"/>
                <w:szCs w:val="22"/>
              </w:rPr>
            </w:pPr>
            <w:r>
              <w:rPr>
                <w:rFonts w:hint="eastAsia"/>
                <w:sz w:val="24"/>
                <w:szCs w:val="24"/>
              </w:rPr>
              <w:t>本项目上料过程在全封闭生产车间内操作，骨料通过装载机装入对应的上料斗后</w:t>
            </w:r>
            <w:r>
              <w:rPr>
                <w:rFonts w:hint="eastAsia"/>
                <w:sz w:val="24"/>
                <w:szCs w:val="22"/>
              </w:rPr>
              <w:t>，经皮带输送、斗式提升机提升进入配料缓存仓，计量后进入无重力混合机内进行搅拌后，落入混合机正下方全密闭成品缓存仓，成品经成品缓存仓落料口下方气力包装机打入包装袋后送成品区贮存。骨料上料、转载</w:t>
            </w:r>
            <w:r>
              <w:rPr>
                <w:rFonts w:hint="eastAsia"/>
                <w:sz w:val="24"/>
                <w:szCs w:val="24"/>
              </w:rPr>
              <w:t>及</w:t>
            </w:r>
            <w:bookmarkStart w:id="62" w:name="OLE_LINK528"/>
            <w:bookmarkStart w:id="63" w:name="OLE_LINK529"/>
            <w:r>
              <w:rPr>
                <w:rFonts w:hint="eastAsia"/>
                <w:sz w:val="24"/>
                <w:szCs w:val="24"/>
              </w:rPr>
              <w:t>混合机</w:t>
            </w:r>
            <w:bookmarkEnd w:id="62"/>
            <w:bookmarkEnd w:id="63"/>
            <w:r>
              <w:rPr>
                <w:rFonts w:hint="eastAsia"/>
                <w:sz w:val="24"/>
                <w:szCs w:val="24"/>
              </w:rPr>
              <w:t>搅拌、包装过程中会有粉尘产生。本项目混合机全密闭，</w:t>
            </w:r>
            <w:bookmarkStart w:id="64" w:name="_Hlk238648654"/>
            <w:r>
              <w:rPr>
                <w:rFonts w:hint="eastAsia"/>
                <w:sz w:val="24"/>
                <w:szCs w:val="22"/>
              </w:rPr>
              <w:t>上料仓落料点、输送皮带、斗提机全封闭，</w:t>
            </w:r>
            <w:bookmarkEnd w:id="64"/>
            <w:r>
              <w:rPr>
                <w:rFonts w:hint="eastAsia"/>
                <w:sz w:val="24"/>
                <w:szCs w:val="24"/>
              </w:rPr>
              <w:t>上料斗上方设置三面封闭集尘罩，上料一侧采用软帘遮挡</w:t>
            </w:r>
            <w:r>
              <w:rPr>
                <w:rFonts w:hint="eastAsia"/>
                <w:kern w:val="2"/>
                <w:sz w:val="24"/>
                <w:szCs w:val="24"/>
              </w:rPr>
              <w:t>；同时，</w:t>
            </w:r>
            <w:bookmarkStart w:id="65" w:name="_Hlk238649329"/>
            <w:r>
              <w:rPr>
                <w:rFonts w:hint="eastAsia"/>
                <w:sz w:val="24"/>
                <w:szCs w:val="22"/>
              </w:rPr>
              <w:t>皮带转载点、包装机出料口均设置集气罩</w:t>
            </w:r>
            <w:r>
              <w:rPr>
                <w:rFonts w:hint="eastAsia"/>
                <w:sz w:val="24"/>
                <w:szCs w:val="24"/>
              </w:rPr>
              <w:t>（集气效率90%）</w:t>
            </w:r>
            <w:r>
              <w:rPr>
                <w:rFonts w:hint="eastAsia"/>
                <w:sz w:val="24"/>
                <w:szCs w:val="22"/>
              </w:rPr>
              <w:t>，</w:t>
            </w:r>
            <w:bookmarkStart w:id="66" w:name="OLE_LINK21"/>
            <w:r>
              <w:rPr>
                <w:rFonts w:hint="eastAsia"/>
                <w:sz w:val="24"/>
                <w:szCs w:val="22"/>
              </w:rPr>
              <w:t>配料缓存仓、混合机</w:t>
            </w:r>
            <w:bookmarkEnd w:id="66"/>
            <w:r>
              <w:rPr>
                <w:rFonts w:hint="eastAsia"/>
                <w:sz w:val="24"/>
                <w:szCs w:val="22"/>
              </w:rPr>
              <w:t>为密闭设备，</w:t>
            </w:r>
            <w:r>
              <w:rPr>
                <w:rFonts w:hint="eastAsia"/>
                <w:sz w:val="24"/>
                <w:szCs w:val="24"/>
              </w:rPr>
              <w:t>安装引风管</w:t>
            </w:r>
            <w:r>
              <w:rPr>
                <w:rFonts w:hint="eastAsia"/>
                <w:sz w:val="24"/>
                <w:szCs w:val="22"/>
              </w:rPr>
              <w:t>收尘。</w:t>
            </w:r>
            <w:bookmarkEnd w:id="65"/>
            <w:r>
              <w:rPr>
                <w:rFonts w:hint="eastAsia"/>
                <w:sz w:val="24"/>
                <w:szCs w:val="22"/>
              </w:rPr>
              <w:t>本项目斗提机卸料口与配料缓存仓密闭对接，斗提壳体与缓存仓内部连通，共用一套负压除尘系统，斗提机壳内依靠缓存仓除尘系统维持微负压，斗提机不单独设置废气收集点；</w:t>
            </w:r>
            <w:r>
              <w:rPr>
                <w:rFonts w:hint="eastAsia"/>
                <w:sz w:val="24"/>
                <w:szCs w:val="24"/>
              </w:rPr>
              <w:t>石料上料、输送、配料、搅拌及包装过程中产生的粉尘经收集后，</w:t>
            </w:r>
            <w:r>
              <w:rPr>
                <w:rFonts w:hint="eastAsia"/>
                <w:sz w:val="24"/>
                <w:szCs w:val="22"/>
              </w:rPr>
              <w:t>通过管道以负压方式引入</w:t>
            </w:r>
            <w:r>
              <w:rPr>
                <w:rFonts w:hint="eastAsia"/>
                <w:sz w:val="24"/>
                <w:szCs w:val="24"/>
              </w:rPr>
              <w:t>1台布袋除尘器处理，</w:t>
            </w:r>
            <w:bookmarkStart w:id="67" w:name="OLE_LINK43"/>
            <w:bookmarkStart w:id="68" w:name="OLE_LINK44"/>
            <w:r>
              <w:rPr>
                <w:rFonts w:hint="eastAsia"/>
                <w:sz w:val="24"/>
                <w:szCs w:val="24"/>
              </w:rPr>
              <w:t>处理后废气经1根15m排气筒（DA001）排放。</w:t>
            </w:r>
          </w:p>
          <w:bookmarkEnd w:id="67"/>
          <w:bookmarkEnd w:id="68"/>
          <w:p w14:paraId="454DE934">
            <w:pPr>
              <w:spacing w:line="440" w:lineRule="exact"/>
              <w:ind w:firstLine="480" w:firstLineChars="200"/>
              <w:rPr>
                <w:sz w:val="24"/>
              </w:rPr>
            </w:pPr>
            <w:r>
              <w:rPr>
                <w:rFonts w:hint="eastAsia"/>
                <w:sz w:val="24"/>
              </w:rPr>
              <w:t>根据《排风罩的分类及技术条件》（GB/T16758-2008）和《</w:t>
            </w:r>
            <w:bookmarkStart w:id="69" w:name="OLE_LINK15"/>
            <w:r>
              <w:rPr>
                <w:rFonts w:hint="eastAsia"/>
                <w:sz w:val="24"/>
              </w:rPr>
              <w:t>局部排风设施控制风速检测与评估技术规范》</w:t>
            </w:r>
            <w:bookmarkEnd w:id="69"/>
            <w:r>
              <w:rPr>
                <w:rFonts w:hint="eastAsia"/>
                <w:sz w:val="24"/>
              </w:rPr>
              <w:t>（AQ/T4274-2016），各集气罩排风量计算公式如下：</w:t>
            </w:r>
          </w:p>
          <w:p w14:paraId="58F84DA0">
            <w:pPr>
              <w:spacing w:line="440" w:lineRule="exact"/>
              <w:ind w:firstLine="480" w:firstLineChars="200"/>
              <w:rPr>
                <w:sz w:val="24"/>
              </w:rPr>
            </w:pPr>
            <w:r>
              <w:rPr>
                <w:rFonts w:hint="eastAsia"/>
                <w:sz w:val="24"/>
              </w:rPr>
              <w:t>Q=Fv</w:t>
            </w:r>
          </w:p>
          <w:p w14:paraId="48C6D5E1">
            <w:pPr>
              <w:spacing w:line="440" w:lineRule="exact"/>
              <w:ind w:firstLine="480" w:firstLineChars="200"/>
              <w:rPr>
                <w:sz w:val="24"/>
              </w:rPr>
            </w:pPr>
            <w:r>
              <w:rPr>
                <w:rFonts w:hint="eastAsia"/>
                <w:sz w:val="24"/>
              </w:rPr>
              <w:t>Q：排风罩排风量，m</w:t>
            </w:r>
            <w:r>
              <w:rPr>
                <w:rFonts w:hint="eastAsia"/>
                <w:sz w:val="24"/>
                <w:vertAlign w:val="superscript"/>
              </w:rPr>
              <w:t>3</w:t>
            </w:r>
            <w:r>
              <w:rPr>
                <w:rFonts w:hint="eastAsia"/>
                <w:sz w:val="24"/>
              </w:rPr>
              <w:t>/s</w:t>
            </w:r>
          </w:p>
          <w:p w14:paraId="0F080204">
            <w:pPr>
              <w:spacing w:line="440" w:lineRule="exact"/>
              <w:ind w:firstLine="480" w:firstLineChars="200"/>
              <w:rPr>
                <w:sz w:val="24"/>
              </w:rPr>
            </w:pPr>
            <w:r>
              <w:rPr>
                <w:rFonts w:hint="eastAsia"/>
                <w:sz w:val="24"/>
              </w:rPr>
              <w:t>F：排风罩罩口面积，m</w:t>
            </w:r>
            <w:r>
              <w:rPr>
                <w:rFonts w:hint="eastAsia"/>
                <w:sz w:val="24"/>
                <w:vertAlign w:val="superscript"/>
              </w:rPr>
              <w:t>2</w:t>
            </w:r>
            <w:r>
              <w:rPr>
                <w:rFonts w:hint="eastAsia"/>
                <w:sz w:val="24"/>
              </w:rPr>
              <w:t>；</w:t>
            </w:r>
          </w:p>
          <w:p w14:paraId="41420ECC">
            <w:pPr>
              <w:spacing w:line="440" w:lineRule="exact"/>
              <w:ind w:firstLine="480" w:firstLineChars="200"/>
              <w:rPr>
                <w:sz w:val="24"/>
                <w:szCs w:val="22"/>
              </w:rPr>
            </w:pPr>
            <w:r>
              <w:rPr>
                <w:rFonts w:hint="eastAsia"/>
                <w:sz w:val="24"/>
              </w:rPr>
              <w:t>v.排风罩罩口平均风速，m/s</w:t>
            </w:r>
            <w:r>
              <w:rPr>
                <w:rFonts w:hint="eastAsia"/>
                <w:sz w:val="24"/>
                <w:szCs w:val="22"/>
              </w:rPr>
              <w:t>。</w:t>
            </w:r>
          </w:p>
          <w:p w14:paraId="1E3E7C8E">
            <w:pPr>
              <w:spacing w:line="440" w:lineRule="exact"/>
              <w:ind w:firstLine="480" w:firstLineChars="200"/>
              <w:rPr>
                <w:sz w:val="24"/>
                <w:szCs w:val="22"/>
              </w:rPr>
            </w:pPr>
            <w:r>
              <w:rPr>
                <w:rFonts w:hint="eastAsia"/>
                <w:sz w:val="24"/>
                <w:szCs w:val="22"/>
              </w:rPr>
              <w:t>配料缓存仓及混合机为密闭设备，采用引风管收尘。根据设计单位提供资料，混合机、配料缓存仓设计风量分别为4000m</w:t>
            </w:r>
            <w:r>
              <w:rPr>
                <w:rFonts w:hint="eastAsia"/>
                <w:sz w:val="24"/>
                <w:szCs w:val="22"/>
                <w:vertAlign w:val="superscript"/>
              </w:rPr>
              <w:t>3</w:t>
            </w:r>
            <w:r>
              <w:rPr>
                <w:rFonts w:hint="eastAsia"/>
                <w:sz w:val="24"/>
                <w:szCs w:val="22"/>
              </w:rPr>
              <w:t>/h、2500m</w:t>
            </w:r>
            <w:r>
              <w:rPr>
                <w:rFonts w:hint="eastAsia"/>
                <w:sz w:val="24"/>
                <w:szCs w:val="22"/>
                <w:vertAlign w:val="superscript"/>
              </w:rPr>
              <w:t>3</w:t>
            </w:r>
            <w:r>
              <w:rPr>
                <w:rFonts w:hint="eastAsia"/>
                <w:sz w:val="24"/>
                <w:szCs w:val="22"/>
              </w:rPr>
              <w:t>/h。</w:t>
            </w:r>
          </w:p>
          <w:p w14:paraId="5E3D2242">
            <w:pPr>
              <w:spacing w:line="440" w:lineRule="exact"/>
              <w:ind w:firstLine="480" w:firstLineChars="200"/>
              <w:rPr>
                <w:sz w:val="24"/>
                <w:szCs w:val="22"/>
              </w:rPr>
            </w:pPr>
            <w:r>
              <w:rPr>
                <w:rFonts w:hint="eastAsia"/>
                <w:sz w:val="24"/>
                <w:szCs w:val="22"/>
              </w:rPr>
              <w:t>本项目各集成点风量见下表。</w:t>
            </w:r>
          </w:p>
          <w:p w14:paraId="6A583389">
            <w:pPr>
              <w:pStyle w:val="105"/>
              <w:numPr>
                <w:ilvl w:val="0"/>
                <w:numId w:val="0"/>
              </w:numPr>
              <w:rPr>
                <w:b w:val="0"/>
                <w:bCs w:val="0"/>
                <w:color w:val="auto"/>
                <w:sz w:val="24"/>
              </w:rPr>
            </w:pPr>
            <w:r>
              <w:rPr>
                <w:rFonts w:hint="eastAsia"/>
                <w:b w:val="0"/>
                <w:bCs w:val="0"/>
                <w:color w:val="auto"/>
                <w:sz w:val="24"/>
              </w:rPr>
              <w:t>表4-1  搅拌系统各集尘点</w:t>
            </w:r>
            <w:r>
              <w:rPr>
                <w:b w:val="0"/>
                <w:bCs w:val="0"/>
                <w:color w:val="auto"/>
                <w:sz w:val="24"/>
              </w:rPr>
              <w:t>风量一览表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20"/>
              <w:gridCol w:w="804"/>
              <w:gridCol w:w="644"/>
              <w:gridCol w:w="842"/>
              <w:gridCol w:w="1702"/>
              <w:gridCol w:w="1359"/>
              <w:gridCol w:w="1754"/>
            </w:tblGrid>
            <w:tr w14:paraId="329B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733" w:type="pct"/>
                  <w:tcBorders>
                    <w:top w:val="single" w:color="auto" w:sz="4" w:space="0"/>
                    <w:left w:val="single" w:color="auto" w:sz="4" w:space="0"/>
                    <w:bottom w:val="single" w:color="auto" w:sz="4" w:space="0"/>
                    <w:right w:val="single" w:color="auto" w:sz="4" w:space="0"/>
                  </w:tcBorders>
                  <w:vAlign w:val="center"/>
                </w:tcPr>
                <w:p w14:paraId="54BE0EBF">
                  <w:pPr>
                    <w:spacing w:line="320" w:lineRule="exact"/>
                    <w:jc w:val="center"/>
                    <w:rPr>
                      <w:kern w:val="0"/>
                      <w:szCs w:val="21"/>
                    </w:rPr>
                  </w:pPr>
                  <w:r>
                    <w:rPr>
                      <w:rFonts w:hint="eastAsia"/>
                      <w:kern w:val="0"/>
                      <w:szCs w:val="21"/>
                    </w:rPr>
                    <w:t>产尘点</w:t>
                  </w:r>
                </w:p>
              </w:tc>
              <w:tc>
                <w:tcPr>
                  <w:tcW w:w="483" w:type="pct"/>
                  <w:tcBorders>
                    <w:top w:val="single" w:color="auto" w:sz="4" w:space="0"/>
                    <w:left w:val="nil"/>
                    <w:bottom w:val="single" w:color="auto" w:sz="4" w:space="0"/>
                    <w:right w:val="single" w:color="auto" w:sz="4" w:space="0"/>
                  </w:tcBorders>
                  <w:vAlign w:val="center"/>
                </w:tcPr>
                <w:p w14:paraId="1A489885">
                  <w:pPr>
                    <w:spacing w:line="320" w:lineRule="exact"/>
                    <w:jc w:val="center"/>
                    <w:rPr>
                      <w:kern w:val="0"/>
                      <w:szCs w:val="21"/>
                    </w:rPr>
                  </w:pPr>
                  <w:r>
                    <w:rPr>
                      <w:rFonts w:hint="eastAsia"/>
                      <w:kern w:val="0"/>
                      <w:szCs w:val="21"/>
                    </w:rPr>
                    <w:t>集尘</w:t>
                  </w:r>
                </w:p>
                <w:p w14:paraId="6E0FE5B4">
                  <w:pPr>
                    <w:spacing w:line="320" w:lineRule="exact"/>
                    <w:jc w:val="center"/>
                    <w:rPr>
                      <w:kern w:val="0"/>
                      <w:szCs w:val="21"/>
                    </w:rPr>
                  </w:pPr>
                  <w:r>
                    <w:rPr>
                      <w:rFonts w:hint="eastAsia"/>
                      <w:kern w:val="0"/>
                      <w:szCs w:val="21"/>
                    </w:rPr>
                    <w:t>方式</w:t>
                  </w:r>
                </w:p>
              </w:tc>
              <w:tc>
                <w:tcPr>
                  <w:tcW w:w="387" w:type="pct"/>
                  <w:tcBorders>
                    <w:top w:val="single" w:color="auto" w:sz="4" w:space="0"/>
                    <w:left w:val="nil"/>
                    <w:bottom w:val="single" w:color="auto" w:sz="4" w:space="0"/>
                    <w:right w:val="single" w:color="auto" w:sz="4" w:space="0"/>
                  </w:tcBorders>
                  <w:vAlign w:val="center"/>
                </w:tcPr>
                <w:p w14:paraId="72EC1DDA">
                  <w:pPr>
                    <w:spacing w:line="320" w:lineRule="exact"/>
                    <w:jc w:val="center"/>
                    <w:rPr>
                      <w:kern w:val="0"/>
                      <w:szCs w:val="21"/>
                    </w:rPr>
                  </w:pPr>
                  <w:r>
                    <w:rPr>
                      <w:rFonts w:hint="eastAsia"/>
                      <w:kern w:val="0"/>
                      <w:szCs w:val="21"/>
                    </w:rPr>
                    <w:t>数量</w:t>
                  </w:r>
                </w:p>
              </w:tc>
              <w:tc>
                <w:tcPr>
                  <w:tcW w:w="506" w:type="pct"/>
                  <w:tcBorders>
                    <w:top w:val="single" w:color="auto" w:sz="4" w:space="0"/>
                    <w:left w:val="nil"/>
                    <w:bottom w:val="single" w:color="auto" w:sz="4" w:space="0"/>
                    <w:right w:val="single" w:color="auto" w:sz="4" w:space="0"/>
                  </w:tcBorders>
                  <w:vAlign w:val="center"/>
                </w:tcPr>
                <w:p w14:paraId="674230F3">
                  <w:pPr>
                    <w:spacing w:line="320" w:lineRule="exact"/>
                    <w:jc w:val="center"/>
                    <w:rPr>
                      <w:kern w:val="0"/>
                      <w:szCs w:val="21"/>
                    </w:rPr>
                  </w:pPr>
                  <w:r>
                    <w:rPr>
                      <w:rFonts w:hint="eastAsia"/>
                      <w:kern w:val="0"/>
                      <w:szCs w:val="21"/>
                    </w:rPr>
                    <w:t>罩口面积m</w:t>
                  </w:r>
                  <w:r>
                    <w:rPr>
                      <w:rFonts w:hint="eastAsia"/>
                      <w:kern w:val="0"/>
                      <w:szCs w:val="21"/>
                      <w:vertAlign w:val="superscript"/>
                    </w:rPr>
                    <w:t>2</w:t>
                  </w:r>
                </w:p>
              </w:tc>
              <w:tc>
                <w:tcPr>
                  <w:tcW w:w="1022" w:type="pct"/>
                  <w:tcBorders>
                    <w:top w:val="single" w:color="auto" w:sz="4" w:space="0"/>
                    <w:left w:val="nil"/>
                    <w:bottom w:val="single" w:color="auto" w:sz="4" w:space="0"/>
                    <w:right w:val="single" w:color="auto" w:sz="4" w:space="0"/>
                  </w:tcBorders>
                  <w:vAlign w:val="center"/>
                </w:tcPr>
                <w:p w14:paraId="715CC4BF">
                  <w:pPr>
                    <w:spacing w:line="320" w:lineRule="exact"/>
                    <w:jc w:val="center"/>
                    <w:rPr>
                      <w:kern w:val="0"/>
                      <w:szCs w:val="21"/>
                    </w:rPr>
                  </w:pPr>
                  <w:r>
                    <w:rPr>
                      <w:rFonts w:hint="eastAsia"/>
                      <w:kern w:val="0"/>
                      <w:szCs w:val="21"/>
                    </w:rPr>
                    <w:t>罩口平均风速m/s</w:t>
                  </w:r>
                </w:p>
              </w:tc>
              <w:tc>
                <w:tcPr>
                  <w:tcW w:w="816" w:type="pct"/>
                  <w:tcBorders>
                    <w:top w:val="single" w:color="auto" w:sz="4" w:space="0"/>
                    <w:left w:val="nil"/>
                    <w:bottom w:val="single" w:color="auto" w:sz="4" w:space="0"/>
                    <w:right w:val="single" w:color="auto" w:sz="4" w:space="0"/>
                  </w:tcBorders>
                  <w:vAlign w:val="center"/>
                </w:tcPr>
                <w:p w14:paraId="0EF4D7DD">
                  <w:pPr>
                    <w:spacing w:line="320" w:lineRule="exact"/>
                    <w:jc w:val="center"/>
                    <w:rPr>
                      <w:kern w:val="0"/>
                      <w:szCs w:val="21"/>
                    </w:rPr>
                  </w:pPr>
                  <w:r>
                    <w:rPr>
                      <w:rFonts w:hint="eastAsia"/>
                      <w:kern w:val="0"/>
                      <w:szCs w:val="21"/>
                    </w:rPr>
                    <w:t>设计风量m</w:t>
                  </w:r>
                  <w:r>
                    <w:rPr>
                      <w:rFonts w:hint="eastAsia"/>
                      <w:kern w:val="0"/>
                      <w:szCs w:val="21"/>
                      <w:vertAlign w:val="superscript"/>
                    </w:rPr>
                    <w:t>3</w:t>
                  </w:r>
                  <w:r>
                    <w:rPr>
                      <w:rFonts w:hint="eastAsia"/>
                      <w:kern w:val="0"/>
                      <w:szCs w:val="21"/>
                    </w:rPr>
                    <w:t>/h</w:t>
                  </w:r>
                </w:p>
              </w:tc>
              <w:tc>
                <w:tcPr>
                  <w:tcW w:w="1053" w:type="pct"/>
                  <w:tcBorders>
                    <w:top w:val="single" w:color="auto" w:sz="4" w:space="0"/>
                    <w:left w:val="nil"/>
                    <w:bottom w:val="single" w:color="auto" w:sz="4" w:space="0"/>
                    <w:right w:val="single" w:color="auto" w:sz="4" w:space="0"/>
                  </w:tcBorders>
                </w:tcPr>
                <w:p w14:paraId="6209F227">
                  <w:pPr>
                    <w:spacing w:line="320" w:lineRule="exact"/>
                    <w:jc w:val="center"/>
                    <w:rPr>
                      <w:kern w:val="0"/>
                      <w:szCs w:val="21"/>
                    </w:rPr>
                  </w:pPr>
                  <w:r>
                    <w:rPr>
                      <w:rFonts w:hint="eastAsia"/>
                    </w:rPr>
                    <w:t>考虑5%漏风系数后风量（m</w:t>
                  </w:r>
                  <w:r>
                    <w:rPr>
                      <w:rFonts w:hint="eastAsia"/>
                      <w:vertAlign w:val="superscript"/>
                    </w:rPr>
                    <w:t>3</w:t>
                  </w:r>
                  <w:r>
                    <w:rPr>
                      <w:rFonts w:hint="eastAsia"/>
                    </w:rPr>
                    <w:t>/h）</w:t>
                  </w:r>
                </w:p>
              </w:tc>
            </w:tr>
            <w:tr w14:paraId="30FD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1" w:hRule="atLeast"/>
              </w:trPr>
              <w:tc>
                <w:tcPr>
                  <w:tcW w:w="733" w:type="pct"/>
                  <w:tcBorders>
                    <w:top w:val="single" w:color="auto" w:sz="4" w:space="0"/>
                    <w:left w:val="single" w:color="auto" w:sz="4" w:space="0"/>
                    <w:bottom w:val="single" w:color="auto" w:sz="4" w:space="0"/>
                    <w:right w:val="single" w:color="auto" w:sz="4" w:space="0"/>
                  </w:tcBorders>
                  <w:vAlign w:val="center"/>
                </w:tcPr>
                <w:p w14:paraId="1BB6311C">
                  <w:pPr>
                    <w:spacing w:line="320" w:lineRule="exact"/>
                    <w:jc w:val="center"/>
                    <w:rPr>
                      <w:kern w:val="0"/>
                      <w:szCs w:val="21"/>
                    </w:rPr>
                  </w:pPr>
                  <w:r>
                    <w:rPr>
                      <w:rFonts w:hint="eastAsia"/>
                      <w:kern w:val="0"/>
                      <w:szCs w:val="21"/>
                    </w:rPr>
                    <w:t>上料斗</w:t>
                  </w:r>
                </w:p>
              </w:tc>
              <w:tc>
                <w:tcPr>
                  <w:tcW w:w="483" w:type="pct"/>
                  <w:tcBorders>
                    <w:top w:val="single" w:color="auto" w:sz="4" w:space="0"/>
                    <w:left w:val="nil"/>
                    <w:bottom w:val="single" w:color="auto" w:sz="4" w:space="0"/>
                    <w:right w:val="single" w:color="auto" w:sz="4" w:space="0"/>
                  </w:tcBorders>
                  <w:vAlign w:val="center"/>
                </w:tcPr>
                <w:p w14:paraId="3786C202">
                  <w:pPr>
                    <w:widowControl/>
                    <w:spacing w:line="320" w:lineRule="exact"/>
                    <w:jc w:val="center"/>
                    <w:rPr>
                      <w:szCs w:val="21"/>
                      <w:lang w:bidi="ar"/>
                    </w:rPr>
                  </w:pPr>
                  <w:r>
                    <w:rPr>
                      <w:rFonts w:hint="eastAsia"/>
                      <w:szCs w:val="21"/>
                      <w:lang w:bidi="ar"/>
                    </w:rPr>
                    <w:t>排风柜</w:t>
                  </w:r>
                </w:p>
              </w:tc>
              <w:tc>
                <w:tcPr>
                  <w:tcW w:w="387" w:type="pct"/>
                  <w:tcBorders>
                    <w:top w:val="single" w:color="auto" w:sz="4" w:space="0"/>
                    <w:left w:val="nil"/>
                    <w:bottom w:val="single" w:color="auto" w:sz="4" w:space="0"/>
                    <w:right w:val="single" w:color="auto" w:sz="4" w:space="0"/>
                  </w:tcBorders>
                  <w:vAlign w:val="center"/>
                </w:tcPr>
                <w:p w14:paraId="47CDA177">
                  <w:pPr>
                    <w:widowControl/>
                    <w:spacing w:line="320" w:lineRule="exact"/>
                    <w:jc w:val="center"/>
                    <w:rPr>
                      <w:szCs w:val="21"/>
                      <w:lang w:bidi="ar"/>
                    </w:rPr>
                  </w:pPr>
                  <w:r>
                    <w:rPr>
                      <w:rFonts w:hint="eastAsia"/>
                      <w:szCs w:val="21"/>
                      <w:lang w:bidi="ar"/>
                    </w:rPr>
                    <w:t>2</w:t>
                  </w:r>
                </w:p>
              </w:tc>
              <w:tc>
                <w:tcPr>
                  <w:tcW w:w="506" w:type="pct"/>
                  <w:tcBorders>
                    <w:top w:val="single" w:color="auto" w:sz="4" w:space="0"/>
                    <w:left w:val="nil"/>
                    <w:bottom w:val="single" w:color="auto" w:sz="4" w:space="0"/>
                    <w:right w:val="single" w:color="auto" w:sz="4" w:space="0"/>
                  </w:tcBorders>
                  <w:vAlign w:val="center"/>
                </w:tcPr>
                <w:p w14:paraId="36B82ACC">
                  <w:pPr>
                    <w:widowControl/>
                    <w:spacing w:line="320" w:lineRule="exact"/>
                    <w:jc w:val="center"/>
                    <w:rPr>
                      <w:szCs w:val="21"/>
                      <w:lang w:bidi="ar"/>
                    </w:rPr>
                  </w:pPr>
                  <w:r>
                    <w:rPr>
                      <w:rFonts w:hint="eastAsia"/>
                      <w:szCs w:val="21"/>
                      <w:lang w:bidi="ar"/>
                    </w:rPr>
                    <w:t>2.5</w:t>
                  </w:r>
                </w:p>
              </w:tc>
              <w:tc>
                <w:tcPr>
                  <w:tcW w:w="1022" w:type="pct"/>
                  <w:tcBorders>
                    <w:top w:val="single" w:color="auto" w:sz="4" w:space="0"/>
                    <w:left w:val="nil"/>
                    <w:bottom w:val="single" w:color="auto" w:sz="4" w:space="0"/>
                    <w:right w:val="single" w:color="auto" w:sz="4" w:space="0"/>
                  </w:tcBorders>
                  <w:vAlign w:val="center"/>
                </w:tcPr>
                <w:p w14:paraId="524EA269">
                  <w:pPr>
                    <w:widowControl/>
                    <w:spacing w:line="320" w:lineRule="exact"/>
                    <w:jc w:val="center"/>
                    <w:rPr>
                      <w:szCs w:val="21"/>
                      <w:lang w:bidi="ar"/>
                    </w:rPr>
                  </w:pPr>
                  <w:r>
                    <w:rPr>
                      <w:rFonts w:hint="eastAsia"/>
                      <w:szCs w:val="21"/>
                      <w:lang w:bidi="ar"/>
                    </w:rPr>
                    <w:t>1.0</w:t>
                  </w:r>
                </w:p>
              </w:tc>
              <w:tc>
                <w:tcPr>
                  <w:tcW w:w="816" w:type="pct"/>
                  <w:tcBorders>
                    <w:top w:val="single" w:color="auto" w:sz="4" w:space="0"/>
                    <w:left w:val="nil"/>
                    <w:bottom w:val="single" w:color="auto" w:sz="4" w:space="0"/>
                    <w:right w:val="single" w:color="auto" w:sz="4" w:space="0"/>
                  </w:tcBorders>
                  <w:vAlign w:val="center"/>
                </w:tcPr>
                <w:p w14:paraId="2DB968DE">
                  <w:pPr>
                    <w:widowControl/>
                    <w:spacing w:line="320" w:lineRule="exact"/>
                    <w:jc w:val="center"/>
                    <w:rPr>
                      <w:szCs w:val="21"/>
                      <w:lang w:bidi="ar"/>
                    </w:rPr>
                  </w:pPr>
                  <w:r>
                    <w:rPr>
                      <w:rFonts w:hint="eastAsia"/>
                      <w:szCs w:val="21"/>
                      <w:lang w:bidi="ar"/>
                    </w:rPr>
                    <w:t>9000*2=18000</w:t>
                  </w:r>
                </w:p>
              </w:tc>
              <w:tc>
                <w:tcPr>
                  <w:tcW w:w="1053" w:type="pct"/>
                  <w:tcBorders>
                    <w:top w:val="single" w:color="auto" w:sz="4" w:space="0"/>
                    <w:left w:val="nil"/>
                    <w:bottom w:val="single" w:color="auto" w:sz="4" w:space="0"/>
                    <w:right w:val="single" w:color="auto" w:sz="4" w:space="0"/>
                  </w:tcBorders>
                </w:tcPr>
                <w:p w14:paraId="3CF8D481">
                  <w:pPr>
                    <w:widowControl/>
                    <w:spacing w:line="320" w:lineRule="exact"/>
                    <w:jc w:val="center"/>
                    <w:rPr>
                      <w:szCs w:val="21"/>
                      <w:lang w:bidi="ar"/>
                    </w:rPr>
                  </w:pPr>
                  <w:r>
                    <w:rPr>
                      <w:rFonts w:hint="eastAsia"/>
                      <w:szCs w:val="21"/>
                      <w:lang w:bidi="ar"/>
                    </w:rPr>
                    <w:t>/</w:t>
                  </w:r>
                </w:p>
              </w:tc>
            </w:tr>
            <w:tr w14:paraId="3890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1" w:hRule="atLeast"/>
              </w:trPr>
              <w:tc>
                <w:tcPr>
                  <w:tcW w:w="733" w:type="pct"/>
                  <w:tcBorders>
                    <w:top w:val="single" w:color="auto" w:sz="4" w:space="0"/>
                    <w:left w:val="single" w:color="auto" w:sz="4" w:space="0"/>
                    <w:bottom w:val="single" w:color="auto" w:sz="4" w:space="0"/>
                    <w:right w:val="single" w:color="auto" w:sz="4" w:space="0"/>
                  </w:tcBorders>
                  <w:vAlign w:val="center"/>
                </w:tcPr>
                <w:p w14:paraId="7DAB8841">
                  <w:pPr>
                    <w:spacing w:line="320" w:lineRule="exact"/>
                    <w:jc w:val="center"/>
                    <w:rPr>
                      <w:kern w:val="0"/>
                      <w:szCs w:val="21"/>
                    </w:rPr>
                  </w:pPr>
                  <w:r>
                    <w:rPr>
                      <w:rFonts w:hint="eastAsia"/>
                      <w:kern w:val="0"/>
                      <w:szCs w:val="21"/>
                    </w:rPr>
                    <w:t>皮带转载点</w:t>
                  </w:r>
                </w:p>
              </w:tc>
              <w:tc>
                <w:tcPr>
                  <w:tcW w:w="483" w:type="pct"/>
                  <w:tcBorders>
                    <w:top w:val="single" w:color="auto" w:sz="4" w:space="0"/>
                    <w:left w:val="nil"/>
                    <w:bottom w:val="single" w:color="auto" w:sz="4" w:space="0"/>
                    <w:right w:val="single" w:color="auto" w:sz="4" w:space="0"/>
                  </w:tcBorders>
                  <w:vAlign w:val="center"/>
                </w:tcPr>
                <w:p w14:paraId="38973361">
                  <w:pPr>
                    <w:widowControl/>
                    <w:spacing w:line="320" w:lineRule="exact"/>
                    <w:jc w:val="center"/>
                    <w:rPr>
                      <w:szCs w:val="21"/>
                      <w:lang w:bidi="ar"/>
                    </w:rPr>
                  </w:pPr>
                  <w:r>
                    <w:rPr>
                      <w:rFonts w:hint="eastAsia"/>
                      <w:szCs w:val="21"/>
                      <w:lang w:bidi="ar"/>
                    </w:rPr>
                    <w:t>密闭罩</w:t>
                  </w:r>
                </w:p>
              </w:tc>
              <w:tc>
                <w:tcPr>
                  <w:tcW w:w="387" w:type="pct"/>
                  <w:tcBorders>
                    <w:top w:val="single" w:color="auto" w:sz="4" w:space="0"/>
                    <w:left w:val="nil"/>
                    <w:bottom w:val="single" w:color="auto" w:sz="4" w:space="0"/>
                    <w:right w:val="single" w:color="auto" w:sz="4" w:space="0"/>
                  </w:tcBorders>
                  <w:vAlign w:val="center"/>
                </w:tcPr>
                <w:p w14:paraId="1B9ADD31">
                  <w:pPr>
                    <w:widowControl/>
                    <w:spacing w:line="320" w:lineRule="exact"/>
                    <w:jc w:val="center"/>
                    <w:rPr>
                      <w:szCs w:val="21"/>
                      <w:lang w:bidi="ar"/>
                    </w:rPr>
                  </w:pPr>
                  <w:r>
                    <w:rPr>
                      <w:rFonts w:hint="eastAsia"/>
                      <w:szCs w:val="21"/>
                      <w:lang w:bidi="ar"/>
                    </w:rPr>
                    <w:t>4</w:t>
                  </w:r>
                </w:p>
              </w:tc>
              <w:tc>
                <w:tcPr>
                  <w:tcW w:w="506" w:type="pct"/>
                  <w:tcBorders>
                    <w:top w:val="single" w:color="auto" w:sz="4" w:space="0"/>
                    <w:left w:val="nil"/>
                    <w:bottom w:val="single" w:color="auto" w:sz="4" w:space="0"/>
                    <w:right w:val="single" w:color="auto" w:sz="4" w:space="0"/>
                  </w:tcBorders>
                  <w:vAlign w:val="center"/>
                </w:tcPr>
                <w:p w14:paraId="1F24692F">
                  <w:pPr>
                    <w:widowControl/>
                    <w:spacing w:line="320" w:lineRule="exact"/>
                    <w:jc w:val="center"/>
                    <w:rPr>
                      <w:szCs w:val="21"/>
                      <w:lang w:bidi="ar"/>
                    </w:rPr>
                  </w:pPr>
                  <w:r>
                    <w:rPr>
                      <w:rFonts w:hint="eastAsia"/>
                      <w:szCs w:val="21"/>
                      <w:lang w:bidi="ar"/>
                    </w:rPr>
                    <w:t>0.5</w:t>
                  </w:r>
                </w:p>
              </w:tc>
              <w:tc>
                <w:tcPr>
                  <w:tcW w:w="1022" w:type="pct"/>
                  <w:tcBorders>
                    <w:top w:val="single" w:color="auto" w:sz="4" w:space="0"/>
                    <w:left w:val="nil"/>
                    <w:bottom w:val="single" w:color="auto" w:sz="4" w:space="0"/>
                    <w:right w:val="single" w:color="auto" w:sz="4" w:space="0"/>
                  </w:tcBorders>
                  <w:vAlign w:val="center"/>
                </w:tcPr>
                <w:p w14:paraId="52E3F562">
                  <w:pPr>
                    <w:widowControl/>
                    <w:spacing w:line="320" w:lineRule="exact"/>
                    <w:jc w:val="center"/>
                    <w:rPr>
                      <w:szCs w:val="21"/>
                      <w:lang w:bidi="ar"/>
                    </w:rPr>
                  </w:pPr>
                  <w:r>
                    <w:rPr>
                      <w:rFonts w:hint="eastAsia"/>
                      <w:szCs w:val="21"/>
                      <w:lang w:bidi="ar"/>
                    </w:rPr>
                    <w:t>0.4</w:t>
                  </w:r>
                </w:p>
              </w:tc>
              <w:tc>
                <w:tcPr>
                  <w:tcW w:w="816" w:type="pct"/>
                  <w:tcBorders>
                    <w:top w:val="single" w:color="auto" w:sz="4" w:space="0"/>
                    <w:left w:val="nil"/>
                    <w:bottom w:val="single" w:color="auto" w:sz="4" w:space="0"/>
                    <w:right w:val="single" w:color="auto" w:sz="4" w:space="0"/>
                  </w:tcBorders>
                  <w:vAlign w:val="center"/>
                </w:tcPr>
                <w:p w14:paraId="0E498B1E">
                  <w:pPr>
                    <w:widowControl/>
                    <w:spacing w:line="320" w:lineRule="exact"/>
                    <w:jc w:val="center"/>
                    <w:rPr>
                      <w:szCs w:val="21"/>
                      <w:lang w:bidi="ar"/>
                    </w:rPr>
                  </w:pPr>
                  <w:r>
                    <w:rPr>
                      <w:rFonts w:hint="eastAsia"/>
                      <w:szCs w:val="21"/>
                      <w:lang w:bidi="ar"/>
                    </w:rPr>
                    <w:t>720*4=2880</w:t>
                  </w:r>
                </w:p>
              </w:tc>
              <w:tc>
                <w:tcPr>
                  <w:tcW w:w="1053" w:type="pct"/>
                  <w:tcBorders>
                    <w:top w:val="single" w:color="auto" w:sz="4" w:space="0"/>
                    <w:left w:val="nil"/>
                    <w:bottom w:val="single" w:color="auto" w:sz="4" w:space="0"/>
                    <w:right w:val="single" w:color="auto" w:sz="4" w:space="0"/>
                  </w:tcBorders>
                </w:tcPr>
                <w:p w14:paraId="366AC18F">
                  <w:pPr>
                    <w:widowControl/>
                    <w:spacing w:line="320" w:lineRule="exact"/>
                    <w:jc w:val="center"/>
                    <w:rPr>
                      <w:szCs w:val="21"/>
                      <w:lang w:bidi="ar"/>
                    </w:rPr>
                  </w:pPr>
                  <w:r>
                    <w:rPr>
                      <w:rFonts w:hint="eastAsia"/>
                      <w:szCs w:val="21"/>
                      <w:lang w:bidi="ar"/>
                    </w:rPr>
                    <w:t>/</w:t>
                  </w:r>
                </w:p>
              </w:tc>
            </w:tr>
            <w:tr w14:paraId="68B5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1" w:hRule="atLeast"/>
              </w:trPr>
              <w:tc>
                <w:tcPr>
                  <w:tcW w:w="733" w:type="pct"/>
                  <w:tcBorders>
                    <w:top w:val="single" w:color="auto" w:sz="4" w:space="0"/>
                    <w:left w:val="single" w:color="auto" w:sz="4" w:space="0"/>
                    <w:bottom w:val="single" w:color="auto" w:sz="4" w:space="0"/>
                    <w:right w:val="single" w:color="auto" w:sz="4" w:space="0"/>
                  </w:tcBorders>
                  <w:vAlign w:val="center"/>
                </w:tcPr>
                <w:p w14:paraId="169709A3">
                  <w:pPr>
                    <w:spacing w:line="320" w:lineRule="exact"/>
                    <w:jc w:val="center"/>
                    <w:rPr>
                      <w:kern w:val="0"/>
                      <w:szCs w:val="21"/>
                    </w:rPr>
                  </w:pPr>
                  <w:r>
                    <w:rPr>
                      <w:rFonts w:hint="eastAsia"/>
                      <w:kern w:val="0"/>
                      <w:szCs w:val="21"/>
                    </w:rPr>
                    <w:t>包装机</w:t>
                  </w:r>
                </w:p>
              </w:tc>
              <w:tc>
                <w:tcPr>
                  <w:tcW w:w="483" w:type="pct"/>
                  <w:tcBorders>
                    <w:top w:val="single" w:color="auto" w:sz="4" w:space="0"/>
                    <w:left w:val="nil"/>
                    <w:bottom w:val="single" w:color="auto" w:sz="4" w:space="0"/>
                    <w:right w:val="single" w:color="auto" w:sz="4" w:space="0"/>
                  </w:tcBorders>
                  <w:vAlign w:val="center"/>
                </w:tcPr>
                <w:p w14:paraId="3B595E46">
                  <w:pPr>
                    <w:widowControl/>
                    <w:spacing w:line="320" w:lineRule="exact"/>
                    <w:jc w:val="center"/>
                    <w:rPr>
                      <w:szCs w:val="21"/>
                      <w:lang w:bidi="ar"/>
                    </w:rPr>
                  </w:pPr>
                  <w:r>
                    <w:rPr>
                      <w:rFonts w:hint="eastAsia"/>
                      <w:szCs w:val="21"/>
                      <w:lang w:bidi="ar"/>
                    </w:rPr>
                    <w:t>排风柜</w:t>
                  </w:r>
                </w:p>
              </w:tc>
              <w:tc>
                <w:tcPr>
                  <w:tcW w:w="387" w:type="pct"/>
                  <w:tcBorders>
                    <w:top w:val="single" w:color="auto" w:sz="4" w:space="0"/>
                    <w:left w:val="nil"/>
                    <w:bottom w:val="single" w:color="auto" w:sz="4" w:space="0"/>
                    <w:right w:val="single" w:color="auto" w:sz="4" w:space="0"/>
                  </w:tcBorders>
                  <w:vAlign w:val="center"/>
                </w:tcPr>
                <w:p w14:paraId="6E8275C6">
                  <w:pPr>
                    <w:widowControl/>
                    <w:spacing w:line="320" w:lineRule="exact"/>
                    <w:jc w:val="center"/>
                    <w:rPr>
                      <w:szCs w:val="21"/>
                      <w:lang w:bidi="ar"/>
                    </w:rPr>
                  </w:pPr>
                  <w:r>
                    <w:rPr>
                      <w:rFonts w:hint="eastAsia"/>
                      <w:szCs w:val="21"/>
                      <w:lang w:bidi="ar"/>
                    </w:rPr>
                    <w:t>2</w:t>
                  </w:r>
                </w:p>
              </w:tc>
              <w:tc>
                <w:tcPr>
                  <w:tcW w:w="506" w:type="pct"/>
                  <w:tcBorders>
                    <w:top w:val="single" w:color="auto" w:sz="4" w:space="0"/>
                    <w:left w:val="nil"/>
                    <w:bottom w:val="single" w:color="auto" w:sz="4" w:space="0"/>
                    <w:right w:val="single" w:color="auto" w:sz="4" w:space="0"/>
                  </w:tcBorders>
                  <w:vAlign w:val="center"/>
                </w:tcPr>
                <w:p w14:paraId="1DED1EAC">
                  <w:pPr>
                    <w:widowControl/>
                    <w:spacing w:line="320" w:lineRule="exact"/>
                    <w:jc w:val="center"/>
                    <w:rPr>
                      <w:szCs w:val="21"/>
                      <w:lang w:bidi="ar"/>
                    </w:rPr>
                  </w:pPr>
                  <w:r>
                    <w:rPr>
                      <w:rFonts w:hint="eastAsia"/>
                      <w:szCs w:val="21"/>
                      <w:lang w:bidi="ar"/>
                    </w:rPr>
                    <w:t>0.8</w:t>
                  </w:r>
                </w:p>
              </w:tc>
              <w:tc>
                <w:tcPr>
                  <w:tcW w:w="1022" w:type="pct"/>
                  <w:tcBorders>
                    <w:top w:val="single" w:color="auto" w:sz="4" w:space="0"/>
                    <w:left w:val="nil"/>
                    <w:bottom w:val="single" w:color="auto" w:sz="4" w:space="0"/>
                    <w:right w:val="single" w:color="auto" w:sz="4" w:space="0"/>
                  </w:tcBorders>
                  <w:vAlign w:val="center"/>
                </w:tcPr>
                <w:p w14:paraId="2CBE7C22">
                  <w:pPr>
                    <w:widowControl/>
                    <w:spacing w:line="320" w:lineRule="exact"/>
                    <w:jc w:val="center"/>
                    <w:rPr>
                      <w:szCs w:val="21"/>
                      <w:lang w:bidi="ar"/>
                    </w:rPr>
                  </w:pPr>
                  <w:r>
                    <w:rPr>
                      <w:rFonts w:hint="eastAsia"/>
                      <w:szCs w:val="21"/>
                      <w:lang w:bidi="ar"/>
                    </w:rPr>
                    <w:t>1.0</w:t>
                  </w:r>
                </w:p>
              </w:tc>
              <w:tc>
                <w:tcPr>
                  <w:tcW w:w="816" w:type="pct"/>
                  <w:tcBorders>
                    <w:top w:val="single" w:color="auto" w:sz="4" w:space="0"/>
                    <w:left w:val="nil"/>
                    <w:bottom w:val="single" w:color="auto" w:sz="4" w:space="0"/>
                    <w:right w:val="single" w:color="auto" w:sz="4" w:space="0"/>
                  </w:tcBorders>
                  <w:vAlign w:val="center"/>
                </w:tcPr>
                <w:p w14:paraId="22AD016A">
                  <w:pPr>
                    <w:widowControl/>
                    <w:spacing w:line="320" w:lineRule="exact"/>
                    <w:jc w:val="center"/>
                    <w:rPr>
                      <w:szCs w:val="21"/>
                      <w:lang w:bidi="ar"/>
                    </w:rPr>
                  </w:pPr>
                  <w:r>
                    <w:rPr>
                      <w:rFonts w:hint="eastAsia"/>
                      <w:szCs w:val="21"/>
                      <w:lang w:bidi="ar"/>
                    </w:rPr>
                    <w:t>2880*2=5760</w:t>
                  </w:r>
                </w:p>
              </w:tc>
              <w:tc>
                <w:tcPr>
                  <w:tcW w:w="1053" w:type="pct"/>
                  <w:tcBorders>
                    <w:top w:val="single" w:color="auto" w:sz="4" w:space="0"/>
                    <w:left w:val="nil"/>
                    <w:bottom w:val="single" w:color="auto" w:sz="4" w:space="0"/>
                    <w:right w:val="single" w:color="auto" w:sz="4" w:space="0"/>
                  </w:tcBorders>
                </w:tcPr>
                <w:p w14:paraId="621C09E9">
                  <w:pPr>
                    <w:widowControl/>
                    <w:spacing w:line="320" w:lineRule="exact"/>
                    <w:jc w:val="center"/>
                    <w:rPr>
                      <w:szCs w:val="21"/>
                      <w:lang w:bidi="ar"/>
                    </w:rPr>
                  </w:pPr>
                  <w:r>
                    <w:rPr>
                      <w:rFonts w:hint="eastAsia"/>
                      <w:szCs w:val="21"/>
                      <w:lang w:bidi="ar"/>
                    </w:rPr>
                    <w:t>/</w:t>
                  </w:r>
                </w:p>
              </w:tc>
            </w:tr>
            <w:tr w14:paraId="5498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1" w:hRule="atLeast"/>
              </w:trPr>
              <w:tc>
                <w:tcPr>
                  <w:tcW w:w="733" w:type="pct"/>
                  <w:tcBorders>
                    <w:top w:val="single" w:color="auto" w:sz="4" w:space="0"/>
                    <w:left w:val="single" w:color="auto" w:sz="4" w:space="0"/>
                    <w:bottom w:val="single" w:color="auto" w:sz="4" w:space="0"/>
                    <w:right w:val="single" w:color="auto" w:sz="4" w:space="0"/>
                  </w:tcBorders>
                  <w:vAlign w:val="center"/>
                </w:tcPr>
                <w:p w14:paraId="0658F348">
                  <w:pPr>
                    <w:spacing w:line="320" w:lineRule="exact"/>
                    <w:jc w:val="center"/>
                    <w:rPr>
                      <w:kern w:val="0"/>
                      <w:szCs w:val="21"/>
                    </w:rPr>
                  </w:pPr>
                  <w:r>
                    <w:rPr>
                      <w:rFonts w:hint="eastAsia"/>
                      <w:kern w:val="0"/>
                      <w:szCs w:val="21"/>
                    </w:rPr>
                    <w:t>配料缓存仓</w:t>
                  </w:r>
                </w:p>
              </w:tc>
              <w:tc>
                <w:tcPr>
                  <w:tcW w:w="483" w:type="pct"/>
                  <w:tcBorders>
                    <w:top w:val="single" w:color="auto" w:sz="4" w:space="0"/>
                    <w:left w:val="nil"/>
                    <w:bottom w:val="single" w:color="auto" w:sz="4" w:space="0"/>
                    <w:right w:val="single" w:color="auto" w:sz="4" w:space="0"/>
                  </w:tcBorders>
                  <w:vAlign w:val="center"/>
                </w:tcPr>
                <w:p w14:paraId="1D79B892">
                  <w:pPr>
                    <w:widowControl/>
                    <w:spacing w:line="320" w:lineRule="exact"/>
                    <w:jc w:val="center"/>
                    <w:rPr>
                      <w:szCs w:val="21"/>
                      <w:lang w:bidi="ar"/>
                    </w:rPr>
                  </w:pPr>
                  <w:r>
                    <w:rPr>
                      <w:rFonts w:hint="eastAsia"/>
                      <w:szCs w:val="21"/>
                      <w:lang w:bidi="ar"/>
                    </w:rPr>
                    <w:t>引风管</w:t>
                  </w:r>
                </w:p>
              </w:tc>
              <w:tc>
                <w:tcPr>
                  <w:tcW w:w="387" w:type="pct"/>
                  <w:tcBorders>
                    <w:top w:val="single" w:color="auto" w:sz="4" w:space="0"/>
                    <w:left w:val="nil"/>
                    <w:bottom w:val="single" w:color="auto" w:sz="4" w:space="0"/>
                    <w:right w:val="single" w:color="auto" w:sz="4" w:space="0"/>
                  </w:tcBorders>
                  <w:vAlign w:val="center"/>
                </w:tcPr>
                <w:p w14:paraId="61AA8158">
                  <w:pPr>
                    <w:widowControl/>
                    <w:spacing w:line="320" w:lineRule="exact"/>
                    <w:jc w:val="center"/>
                    <w:rPr>
                      <w:szCs w:val="21"/>
                      <w:lang w:bidi="ar"/>
                    </w:rPr>
                  </w:pPr>
                  <w:r>
                    <w:rPr>
                      <w:rFonts w:hint="eastAsia"/>
                      <w:szCs w:val="21"/>
                      <w:lang w:bidi="ar"/>
                    </w:rPr>
                    <w:t>1</w:t>
                  </w:r>
                </w:p>
              </w:tc>
              <w:tc>
                <w:tcPr>
                  <w:tcW w:w="506" w:type="pct"/>
                  <w:tcBorders>
                    <w:top w:val="single" w:color="auto" w:sz="4" w:space="0"/>
                    <w:left w:val="nil"/>
                    <w:bottom w:val="single" w:color="auto" w:sz="4" w:space="0"/>
                    <w:right w:val="single" w:color="auto" w:sz="4" w:space="0"/>
                  </w:tcBorders>
                  <w:vAlign w:val="center"/>
                </w:tcPr>
                <w:p w14:paraId="6530F1AC">
                  <w:pPr>
                    <w:widowControl/>
                    <w:spacing w:line="320" w:lineRule="exact"/>
                    <w:jc w:val="center"/>
                    <w:rPr>
                      <w:szCs w:val="21"/>
                      <w:lang w:bidi="ar"/>
                    </w:rPr>
                  </w:pPr>
                  <w:r>
                    <w:rPr>
                      <w:rFonts w:hint="eastAsia"/>
                      <w:szCs w:val="21"/>
                      <w:lang w:bidi="ar"/>
                    </w:rPr>
                    <w:t>/</w:t>
                  </w:r>
                </w:p>
              </w:tc>
              <w:tc>
                <w:tcPr>
                  <w:tcW w:w="1022" w:type="pct"/>
                  <w:tcBorders>
                    <w:top w:val="single" w:color="auto" w:sz="4" w:space="0"/>
                    <w:left w:val="nil"/>
                    <w:bottom w:val="single" w:color="auto" w:sz="4" w:space="0"/>
                    <w:right w:val="single" w:color="auto" w:sz="4" w:space="0"/>
                  </w:tcBorders>
                  <w:vAlign w:val="center"/>
                </w:tcPr>
                <w:p w14:paraId="21B4321F">
                  <w:pPr>
                    <w:widowControl/>
                    <w:spacing w:line="320" w:lineRule="exact"/>
                    <w:jc w:val="center"/>
                    <w:rPr>
                      <w:szCs w:val="21"/>
                      <w:lang w:bidi="ar"/>
                    </w:rPr>
                  </w:pPr>
                  <w:r>
                    <w:rPr>
                      <w:rFonts w:hint="eastAsia"/>
                      <w:szCs w:val="21"/>
                      <w:lang w:bidi="ar"/>
                    </w:rPr>
                    <w:t>/</w:t>
                  </w:r>
                </w:p>
              </w:tc>
              <w:tc>
                <w:tcPr>
                  <w:tcW w:w="816" w:type="pct"/>
                  <w:tcBorders>
                    <w:top w:val="single" w:color="auto" w:sz="4" w:space="0"/>
                    <w:left w:val="nil"/>
                    <w:bottom w:val="single" w:color="auto" w:sz="4" w:space="0"/>
                    <w:right w:val="single" w:color="auto" w:sz="4" w:space="0"/>
                  </w:tcBorders>
                  <w:vAlign w:val="center"/>
                </w:tcPr>
                <w:p w14:paraId="18F3928D">
                  <w:pPr>
                    <w:widowControl/>
                    <w:spacing w:line="320" w:lineRule="exact"/>
                    <w:jc w:val="center"/>
                    <w:rPr>
                      <w:szCs w:val="21"/>
                      <w:lang w:bidi="ar"/>
                    </w:rPr>
                  </w:pPr>
                  <w:r>
                    <w:rPr>
                      <w:rFonts w:hint="eastAsia"/>
                      <w:szCs w:val="21"/>
                      <w:lang w:bidi="ar"/>
                    </w:rPr>
                    <w:t>2500</w:t>
                  </w:r>
                </w:p>
              </w:tc>
              <w:tc>
                <w:tcPr>
                  <w:tcW w:w="1053" w:type="pct"/>
                  <w:tcBorders>
                    <w:top w:val="single" w:color="auto" w:sz="4" w:space="0"/>
                    <w:left w:val="nil"/>
                    <w:bottom w:val="single" w:color="auto" w:sz="4" w:space="0"/>
                    <w:right w:val="single" w:color="auto" w:sz="4" w:space="0"/>
                  </w:tcBorders>
                </w:tcPr>
                <w:p w14:paraId="5349E30B">
                  <w:pPr>
                    <w:widowControl/>
                    <w:spacing w:line="320" w:lineRule="exact"/>
                    <w:jc w:val="center"/>
                    <w:rPr>
                      <w:szCs w:val="21"/>
                      <w:lang w:bidi="ar"/>
                    </w:rPr>
                  </w:pPr>
                  <w:r>
                    <w:rPr>
                      <w:rFonts w:hint="eastAsia"/>
                      <w:szCs w:val="21"/>
                      <w:lang w:bidi="ar"/>
                    </w:rPr>
                    <w:t>/</w:t>
                  </w:r>
                </w:p>
              </w:tc>
            </w:tr>
            <w:tr w14:paraId="366E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1" w:hRule="atLeast"/>
              </w:trPr>
              <w:tc>
                <w:tcPr>
                  <w:tcW w:w="733" w:type="pct"/>
                  <w:tcBorders>
                    <w:top w:val="single" w:color="auto" w:sz="4" w:space="0"/>
                    <w:left w:val="single" w:color="auto" w:sz="4" w:space="0"/>
                    <w:bottom w:val="single" w:color="auto" w:sz="4" w:space="0"/>
                    <w:right w:val="single" w:color="auto" w:sz="4" w:space="0"/>
                  </w:tcBorders>
                  <w:vAlign w:val="center"/>
                </w:tcPr>
                <w:p w14:paraId="66BF8C13">
                  <w:pPr>
                    <w:spacing w:line="320" w:lineRule="exact"/>
                    <w:jc w:val="center"/>
                    <w:rPr>
                      <w:kern w:val="0"/>
                      <w:szCs w:val="21"/>
                    </w:rPr>
                  </w:pPr>
                  <w:r>
                    <w:rPr>
                      <w:rFonts w:hint="eastAsia"/>
                      <w:kern w:val="0"/>
                      <w:szCs w:val="21"/>
                    </w:rPr>
                    <w:t>混合机</w:t>
                  </w:r>
                </w:p>
              </w:tc>
              <w:tc>
                <w:tcPr>
                  <w:tcW w:w="483" w:type="pct"/>
                  <w:tcBorders>
                    <w:top w:val="single" w:color="auto" w:sz="4" w:space="0"/>
                    <w:left w:val="nil"/>
                    <w:bottom w:val="single" w:color="auto" w:sz="4" w:space="0"/>
                    <w:right w:val="single" w:color="auto" w:sz="4" w:space="0"/>
                  </w:tcBorders>
                  <w:vAlign w:val="center"/>
                </w:tcPr>
                <w:p w14:paraId="5D6D98DB">
                  <w:pPr>
                    <w:widowControl/>
                    <w:spacing w:line="320" w:lineRule="exact"/>
                    <w:jc w:val="center"/>
                    <w:rPr>
                      <w:szCs w:val="21"/>
                      <w:lang w:bidi="ar"/>
                    </w:rPr>
                  </w:pPr>
                  <w:r>
                    <w:rPr>
                      <w:rFonts w:hint="eastAsia"/>
                      <w:szCs w:val="21"/>
                      <w:lang w:bidi="ar"/>
                    </w:rPr>
                    <w:t>引风管</w:t>
                  </w:r>
                </w:p>
              </w:tc>
              <w:tc>
                <w:tcPr>
                  <w:tcW w:w="387" w:type="pct"/>
                  <w:tcBorders>
                    <w:top w:val="single" w:color="auto" w:sz="4" w:space="0"/>
                    <w:left w:val="nil"/>
                    <w:bottom w:val="single" w:color="auto" w:sz="4" w:space="0"/>
                    <w:right w:val="single" w:color="auto" w:sz="4" w:space="0"/>
                  </w:tcBorders>
                  <w:vAlign w:val="center"/>
                </w:tcPr>
                <w:p w14:paraId="508DEF3C">
                  <w:pPr>
                    <w:widowControl/>
                    <w:spacing w:line="320" w:lineRule="exact"/>
                    <w:jc w:val="center"/>
                    <w:rPr>
                      <w:szCs w:val="21"/>
                      <w:lang w:bidi="ar"/>
                    </w:rPr>
                  </w:pPr>
                  <w:r>
                    <w:rPr>
                      <w:rFonts w:hint="eastAsia"/>
                      <w:szCs w:val="21"/>
                      <w:lang w:bidi="ar"/>
                    </w:rPr>
                    <w:t>1</w:t>
                  </w:r>
                </w:p>
              </w:tc>
              <w:tc>
                <w:tcPr>
                  <w:tcW w:w="506" w:type="pct"/>
                  <w:tcBorders>
                    <w:top w:val="single" w:color="auto" w:sz="4" w:space="0"/>
                    <w:left w:val="nil"/>
                    <w:bottom w:val="single" w:color="auto" w:sz="4" w:space="0"/>
                    <w:right w:val="single" w:color="auto" w:sz="4" w:space="0"/>
                  </w:tcBorders>
                  <w:vAlign w:val="center"/>
                </w:tcPr>
                <w:p w14:paraId="701FBD4A">
                  <w:pPr>
                    <w:widowControl/>
                    <w:spacing w:line="320" w:lineRule="exact"/>
                    <w:jc w:val="center"/>
                    <w:rPr>
                      <w:szCs w:val="21"/>
                      <w:lang w:bidi="ar"/>
                    </w:rPr>
                  </w:pPr>
                  <w:r>
                    <w:rPr>
                      <w:rFonts w:hint="eastAsia"/>
                      <w:szCs w:val="21"/>
                      <w:lang w:bidi="ar"/>
                    </w:rPr>
                    <w:t>/</w:t>
                  </w:r>
                </w:p>
              </w:tc>
              <w:tc>
                <w:tcPr>
                  <w:tcW w:w="1022" w:type="pct"/>
                  <w:tcBorders>
                    <w:top w:val="single" w:color="auto" w:sz="4" w:space="0"/>
                    <w:left w:val="nil"/>
                    <w:bottom w:val="single" w:color="auto" w:sz="4" w:space="0"/>
                    <w:right w:val="single" w:color="auto" w:sz="4" w:space="0"/>
                  </w:tcBorders>
                  <w:vAlign w:val="center"/>
                </w:tcPr>
                <w:p w14:paraId="0CADC0B0">
                  <w:pPr>
                    <w:widowControl/>
                    <w:spacing w:line="320" w:lineRule="exact"/>
                    <w:jc w:val="center"/>
                    <w:rPr>
                      <w:szCs w:val="21"/>
                      <w:lang w:bidi="ar"/>
                    </w:rPr>
                  </w:pPr>
                  <w:r>
                    <w:rPr>
                      <w:rFonts w:hint="eastAsia"/>
                      <w:szCs w:val="21"/>
                      <w:lang w:bidi="ar"/>
                    </w:rPr>
                    <w:t>/</w:t>
                  </w:r>
                </w:p>
              </w:tc>
              <w:tc>
                <w:tcPr>
                  <w:tcW w:w="816" w:type="pct"/>
                  <w:tcBorders>
                    <w:top w:val="single" w:color="auto" w:sz="4" w:space="0"/>
                    <w:left w:val="nil"/>
                    <w:bottom w:val="single" w:color="auto" w:sz="4" w:space="0"/>
                    <w:right w:val="single" w:color="auto" w:sz="4" w:space="0"/>
                  </w:tcBorders>
                  <w:vAlign w:val="center"/>
                </w:tcPr>
                <w:p w14:paraId="00C5DCB5">
                  <w:pPr>
                    <w:widowControl/>
                    <w:spacing w:line="320" w:lineRule="exact"/>
                    <w:jc w:val="center"/>
                    <w:rPr>
                      <w:szCs w:val="21"/>
                      <w:lang w:bidi="ar"/>
                    </w:rPr>
                  </w:pPr>
                  <w:r>
                    <w:rPr>
                      <w:rFonts w:hint="eastAsia"/>
                      <w:szCs w:val="21"/>
                      <w:lang w:bidi="ar"/>
                    </w:rPr>
                    <w:t>4000</w:t>
                  </w:r>
                </w:p>
              </w:tc>
              <w:tc>
                <w:tcPr>
                  <w:tcW w:w="1053" w:type="pct"/>
                  <w:tcBorders>
                    <w:top w:val="single" w:color="auto" w:sz="4" w:space="0"/>
                    <w:left w:val="nil"/>
                    <w:bottom w:val="single" w:color="auto" w:sz="4" w:space="0"/>
                    <w:right w:val="single" w:color="auto" w:sz="4" w:space="0"/>
                  </w:tcBorders>
                </w:tcPr>
                <w:p w14:paraId="41B0CB25">
                  <w:pPr>
                    <w:widowControl/>
                    <w:spacing w:line="320" w:lineRule="exact"/>
                    <w:jc w:val="center"/>
                    <w:rPr>
                      <w:szCs w:val="21"/>
                      <w:lang w:bidi="ar"/>
                    </w:rPr>
                  </w:pPr>
                  <w:r>
                    <w:rPr>
                      <w:rFonts w:hint="eastAsia"/>
                      <w:szCs w:val="21"/>
                      <w:lang w:bidi="ar"/>
                    </w:rPr>
                    <w:t>/</w:t>
                  </w:r>
                </w:p>
              </w:tc>
            </w:tr>
            <w:tr w14:paraId="5FA5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1" w:hRule="atLeast"/>
              </w:trPr>
              <w:tc>
                <w:tcPr>
                  <w:tcW w:w="3131" w:type="pct"/>
                  <w:gridSpan w:val="5"/>
                  <w:tcBorders>
                    <w:top w:val="single" w:color="auto" w:sz="4" w:space="0"/>
                    <w:left w:val="single" w:color="auto" w:sz="4" w:space="0"/>
                    <w:bottom w:val="single" w:color="auto" w:sz="4" w:space="0"/>
                    <w:right w:val="single" w:color="auto" w:sz="4" w:space="0"/>
                  </w:tcBorders>
                  <w:vAlign w:val="center"/>
                </w:tcPr>
                <w:p w14:paraId="388A1147">
                  <w:pPr>
                    <w:widowControl/>
                    <w:spacing w:line="320" w:lineRule="exact"/>
                    <w:jc w:val="center"/>
                    <w:rPr>
                      <w:szCs w:val="21"/>
                      <w:lang w:bidi="ar"/>
                    </w:rPr>
                  </w:pPr>
                  <w:r>
                    <w:rPr>
                      <w:rFonts w:hint="eastAsia"/>
                      <w:szCs w:val="21"/>
                      <w:lang w:bidi="ar"/>
                    </w:rPr>
                    <w:t>合计</w:t>
                  </w:r>
                </w:p>
              </w:tc>
              <w:tc>
                <w:tcPr>
                  <w:tcW w:w="816" w:type="pct"/>
                  <w:tcBorders>
                    <w:top w:val="single" w:color="auto" w:sz="4" w:space="0"/>
                    <w:left w:val="nil"/>
                    <w:bottom w:val="single" w:color="auto" w:sz="4" w:space="0"/>
                    <w:right w:val="single" w:color="auto" w:sz="4" w:space="0"/>
                  </w:tcBorders>
                  <w:vAlign w:val="center"/>
                </w:tcPr>
                <w:p w14:paraId="23C5AC35">
                  <w:pPr>
                    <w:widowControl/>
                    <w:spacing w:line="320" w:lineRule="exact"/>
                    <w:jc w:val="center"/>
                    <w:rPr>
                      <w:szCs w:val="21"/>
                      <w:lang w:bidi="ar"/>
                    </w:rPr>
                  </w:pPr>
                  <w:r>
                    <w:rPr>
                      <w:rFonts w:hint="eastAsia"/>
                      <w:szCs w:val="21"/>
                      <w:lang w:bidi="ar"/>
                    </w:rPr>
                    <w:t>33140</w:t>
                  </w:r>
                </w:p>
              </w:tc>
              <w:tc>
                <w:tcPr>
                  <w:tcW w:w="1053" w:type="pct"/>
                  <w:tcBorders>
                    <w:top w:val="single" w:color="auto" w:sz="4" w:space="0"/>
                    <w:left w:val="nil"/>
                    <w:bottom w:val="single" w:color="auto" w:sz="4" w:space="0"/>
                    <w:right w:val="single" w:color="auto" w:sz="4" w:space="0"/>
                  </w:tcBorders>
                </w:tcPr>
                <w:p w14:paraId="716C37CE">
                  <w:pPr>
                    <w:widowControl/>
                    <w:spacing w:line="320" w:lineRule="exact"/>
                    <w:jc w:val="center"/>
                    <w:rPr>
                      <w:szCs w:val="21"/>
                      <w:lang w:bidi="ar"/>
                    </w:rPr>
                  </w:pPr>
                  <w:r>
                    <w:rPr>
                      <w:rFonts w:hint="eastAsia"/>
                      <w:szCs w:val="21"/>
                      <w:lang w:bidi="ar"/>
                    </w:rPr>
                    <w:t>34797</w:t>
                  </w:r>
                </w:p>
              </w:tc>
            </w:tr>
          </w:tbl>
          <w:p w14:paraId="7720B52B">
            <w:pPr>
              <w:pStyle w:val="72"/>
              <w:spacing w:line="440" w:lineRule="exact"/>
              <w:ind w:firstLine="480"/>
              <w:rPr>
                <w:sz w:val="32"/>
                <w:szCs w:val="28"/>
              </w:rPr>
            </w:pPr>
            <w:r>
              <w:rPr>
                <w:rFonts w:hint="eastAsia"/>
                <w:sz w:val="24"/>
                <w:szCs w:val="22"/>
              </w:rPr>
              <w:t>综合以上计算，骨料</w:t>
            </w:r>
            <w:r>
              <w:rPr>
                <w:rFonts w:hint="eastAsia"/>
                <w:sz w:val="24"/>
                <w:szCs w:val="32"/>
              </w:rPr>
              <w:t>上料、转载、配料、搅拌、包装</w:t>
            </w:r>
            <w:r>
              <w:rPr>
                <w:rFonts w:hint="eastAsia"/>
                <w:sz w:val="24"/>
                <w:szCs w:val="22"/>
              </w:rPr>
              <w:t>系统除尘设计风量为</w:t>
            </w:r>
            <w:r>
              <w:rPr>
                <w:sz w:val="24"/>
                <w:szCs w:val="22"/>
              </w:rPr>
              <w:t>3</w:t>
            </w:r>
            <w:r>
              <w:rPr>
                <w:rFonts w:hint="eastAsia"/>
                <w:sz w:val="24"/>
                <w:szCs w:val="22"/>
              </w:rPr>
              <w:t>4797m</w:t>
            </w:r>
            <w:r>
              <w:rPr>
                <w:rFonts w:hint="eastAsia"/>
                <w:sz w:val="24"/>
                <w:szCs w:val="22"/>
                <w:vertAlign w:val="superscript"/>
              </w:rPr>
              <w:t>3</w:t>
            </w:r>
            <w:r>
              <w:rPr>
                <w:rFonts w:hint="eastAsia"/>
                <w:sz w:val="24"/>
                <w:szCs w:val="22"/>
              </w:rPr>
              <w:t>/h，本项目配套建设一台35000m</w:t>
            </w:r>
            <w:r>
              <w:rPr>
                <w:rFonts w:hint="eastAsia"/>
                <w:sz w:val="24"/>
                <w:szCs w:val="22"/>
                <w:vertAlign w:val="superscript"/>
              </w:rPr>
              <w:t>3</w:t>
            </w:r>
            <w:r>
              <w:rPr>
                <w:rFonts w:hint="eastAsia"/>
                <w:sz w:val="24"/>
                <w:szCs w:val="22"/>
              </w:rPr>
              <w:t>/h</w:t>
            </w:r>
            <w:r>
              <w:rPr>
                <w:rFonts w:hint="eastAsia"/>
                <w:kern w:val="2"/>
                <w:sz w:val="24"/>
                <w:szCs w:val="24"/>
                <w:lang w:val="en-US"/>
              </w:rPr>
              <w:t>布袋除尘器。</w:t>
            </w:r>
          </w:p>
          <w:p w14:paraId="3CD33572">
            <w:pPr>
              <w:spacing w:line="440" w:lineRule="exact"/>
              <w:ind w:firstLine="480" w:firstLineChars="200"/>
              <w:rPr>
                <w:sz w:val="24"/>
                <w:szCs w:val="32"/>
              </w:rPr>
            </w:pPr>
            <w:r>
              <w:rPr>
                <w:rFonts w:hint="eastAsia"/>
                <w:sz w:val="24"/>
                <w:szCs w:val="32"/>
              </w:rPr>
              <w:t>②颗粒物产生量计算</w:t>
            </w:r>
          </w:p>
          <w:p w14:paraId="0DB635F3">
            <w:pPr>
              <w:spacing w:line="440" w:lineRule="exact"/>
              <w:ind w:firstLine="480" w:firstLineChars="200"/>
              <w:rPr>
                <w:sz w:val="24"/>
                <w:szCs w:val="32"/>
              </w:rPr>
            </w:pPr>
            <w:r>
              <w:rPr>
                <w:rFonts w:hint="eastAsia"/>
                <w:sz w:val="24"/>
                <w:szCs w:val="32"/>
              </w:rPr>
              <w:t>参照《排放源统计调查产排污核算方法和系数手册》，“3021水泥制品制造行业系数表－水泥、砂子、石子、钢筋等原料－物料搅拌工序－颗粒物产污系数：0.523千克/吨－产品”，本项目年产干粉砂浆5万t，则本项目上料、搅拌环节颗粒物产生量为26.15</w:t>
            </w:r>
            <w:r>
              <w:rPr>
                <w:sz w:val="24"/>
                <w:szCs w:val="32"/>
              </w:rPr>
              <w:t>t/a</w:t>
            </w:r>
            <w:r>
              <w:rPr>
                <w:rFonts w:hint="eastAsia"/>
                <w:sz w:val="24"/>
                <w:szCs w:val="32"/>
              </w:rPr>
              <w:t>。本项目集气罩集气效率取90%，年运行时间按2400h计，则有组织颗粒物产生量为23.53t/a，无组织颗粒物产生量为</w:t>
            </w:r>
            <w:r>
              <w:rPr>
                <w:sz w:val="24"/>
                <w:szCs w:val="32"/>
              </w:rPr>
              <w:t>2.615t/a</w:t>
            </w:r>
            <w:r>
              <w:rPr>
                <w:rFonts w:hint="eastAsia"/>
                <w:sz w:val="24"/>
                <w:szCs w:val="32"/>
              </w:rPr>
              <w:t>。</w:t>
            </w:r>
          </w:p>
          <w:p w14:paraId="22407575">
            <w:pPr>
              <w:spacing w:line="440" w:lineRule="exact"/>
              <w:ind w:firstLine="480" w:firstLineChars="200"/>
              <w:rPr>
                <w:sz w:val="24"/>
                <w:szCs w:val="32"/>
              </w:rPr>
            </w:pPr>
            <w:r>
              <w:rPr>
                <w:rFonts w:hint="eastAsia"/>
                <w:sz w:val="24"/>
                <w:szCs w:val="32"/>
              </w:rPr>
              <w:t>③颗粒物排放量计算</w:t>
            </w:r>
          </w:p>
          <w:p w14:paraId="1DE6DC9A">
            <w:pPr>
              <w:spacing w:line="440" w:lineRule="exact"/>
              <w:ind w:firstLine="480" w:firstLineChars="200"/>
              <w:rPr>
                <w:sz w:val="24"/>
                <w:szCs w:val="32"/>
              </w:rPr>
            </w:pPr>
            <w:r>
              <w:rPr>
                <w:rFonts w:hint="eastAsia"/>
                <w:sz w:val="24"/>
                <w:szCs w:val="32"/>
              </w:rPr>
              <w:t>本项目上料、转载、配料、搅拌、包装系统配套布袋除尘器风量为35000m</w:t>
            </w:r>
            <w:r>
              <w:rPr>
                <w:rFonts w:hint="eastAsia"/>
                <w:sz w:val="24"/>
                <w:szCs w:val="32"/>
                <w:vertAlign w:val="superscript"/>
              </w:rPr>
              <w:t>3</w:t>
            </w:r>
            <w:r>
              <w:rPr>
                <w:rFonts w:hint="eastAsia"/>
                <w:sz w:val="24"/>
                <w:szCs w:val="32"/>
              </w:rPr>
              <w:t>/h，过滤面积730m</w:t>
            </w:r>
            <w:r>
              <w:rPr>
                <w:rFonts w:hint="eastAsia"/>
                <w:sz w:val="24"/>
                <w:szCs w:val="32"/>
                <w:vertAlign w:val="superscript"/>
              </w:rPr>
              <w:t>2</w:t>
            </w:r>
            <w:r>
              <w:rPr>
                <w:rFonts w:hint="eastAsia"/>
                <w:sz w:val="24"/>
                <w:szCs w:val="32"/>
              </w:rPr>
              <w:t>，过滤风速0.8m/min，滤袋材质为覆膜涤纶针刺过滤毡，采用针刺成型工艺将涤纶纤维交织成致密毡体，形成基材；再通过特殊复合工艺将PTFE薄膜紧密覆合于毡体表面，最终制成兼具高过滤精度与低阻力的过滤材料。属于《污染源源强核算技术指南  水泥工业》（HJ1292—2023）附录C，以及《排污许可证申请与核发技术规范  水泥工业》（HJ847—2017）中推荐的污染物防治可行技术。处理后粉尘排放浓度均可控制在10mg/m</w:t>
            </w:r>
            <w:r>
              <w:rPr>
                <w:rFonts w:hint="eastAsia"/>
                <w:sz w:val="24"/>
                <w:szCs w:val="32"/>
                <w:vertAlign w:val="superscript"/>
              </w:rPr>
              <w:t>3</w:t>
            </w:r>
            <w:r>
              <w:rPr>
                <w:rFonts w:hint="eastAsia"/>
                <w:sz w:val="24"/>
                <w:szCs w:val="32"/>
              </w:rPr>
              <w:t>以下。</w:t>
            </w:r>
          </w:p>
          <w:p w14:paraId="3CA9C448">
            <w:pPr>
              <w:pStyle w:val="72"/>
              <w:spacing w:line="400" w:lineRule="exact"/>
              <w:ind w:firstLine="480"/>
              <w:rPr>
                <w:sz w:val="24"/>
                <w:szCs w:val="22"/>
                <w:highlight w:val="yellow"/>
                <w:lang w:val="en-US"/>
              </w:rPr>
            </w:pPr>
            <w:r>
              <w:rPr>
                <w:rFonts w:hint="eastAsia"/>
                <w:sz w:val="24"/>
                <w:szCs w:val="22"/>
                <w:lang w:val="en-US"/>
              </w:rPr>
              <w:t>本项目处理后粉尘排放浓度均按10mg/m</w:t>
            </w:r>
            <w:r>
              <w:rPr>
                <w:rFonts w:hint="eastAsia"/>
                <w:sz w:val="24"/>
                <w:szCs w:val="22"/>
                <w:vertAlign w:val="superscript"/>
                <w:lang w:val="en-US"/>
              </w:rPr>
              <w:t>3</w:t>
            </w:r>
            <w:r>
              <w:rPr>
                <w:rFonts w:hint="eastAsia"/>
                <w:sz w:val="24"/>
                <w:szCs w:val="22"/>
                <w:lang w:val="en-US"/>
              </w:rPr>
              <w:t>计，年运行时间为2400h，则本项目搅拌系统有组织颗粒物排放量为0.84t/a</w:t>
            </w:r>
            <w:r>
              <w:rPr>
                <w:rFonts w:hint="eastAsia"/>
                <w:sz w:val="24"/>
                <w:szCs w:val="22"/>
              </w:rPr>
              <w:t>，能够满足《水泥工业大气污染物排放标准》（</w:t>
            </w:r>
            <w:r>
              <w:rPr>
                <w:rFonts w:hint="eastAsia"/>
                <w:sz w:val="24"/>
                <w:szCs w:val="24"/>
              </w:rPr>
              <w:t>DB14/3176-2024</w:t>
            </w:r>
            <w:r>
              <w:rPr>
                <w:rFonts w:hint="eastAsia"/>
                <w:sz w:val="24"/>
                <w:szCs w:val="22"/>
              </w:rPr>
              <w:t>）表1排放限值要求。</w:t>
            </w:r>
          </w:p>
          <w:bookmarkEnd w:id="57"/>
          <w:p w14:paraId="57DBCACF">
            <w:pPr>
              <w:spacing w:line="440" w:lineRule="exact"/>
              <w:ind w:firstLine="480" w:firstLineChars="200"/>
              <w:rPr>
                <w:sz w:val="24"/>
                <w:szCs w:val="32"/>
              </w:rPr>
            </w:pPr>
            <w:bookmarkStart w:id="70" w:name="_Hlk238644749"/>
            <w:r>
              <w:rPr>
                <w:rFonts w:hint="eastAsia"/>
                <w:sz w:val="24"/>
                <w:szCs w:val="32"/>
              </w:rPr>
              <w:t>（2）水泥筒仓粉尘（排气筒DA002）</w:t>
            </w:r>
          </w:p>
          <w:p w14:paraId="26003A12">
            <w:pPr>
              <w:spacing w:line="440" w:lineRule="exact"/>
              <w:ind w:firstLine="480" w:firstLineChars="200"/>
              <w:rPr>
                <w:sz w:val="24"/>
                <w:szCs w:val="32"/>
              </w:rPr>
            </w:pPr>
            <w:r>
              <w:rPr>
                <w:rFonts w:hint="eastAsia"/>
                <w:sz w:val="24"/>
                <w:szCs w:val="32"/>
              </w:rPr>
              <w:t>本项目水泥由供应商采用罐车运输到厂区后，由气力输送泵输送至水泥筒仓内储存。水泥筒仓高为8.5m，内径为2.9m，储量为50t。水泥筒仓全密闭，且仓顶安装布袋除尘器。水泥经罐车打入筒仓过程中产生粉尘经仓顶除尘器处理后排放，排放高度约15m。除尘灰回收至筒仓，</w:t>
            </w:r>
            <w:r>
              <w:rPr>
                <w:rFonts w:hint="eastAsia"/>
                <w:sz w:val="24"/>
                <w:szCs w:val="32"/>
                <w:lang w:bidi="ar"/>
              </w:rPr>
              <w:t>配套仓顶</w:t>
            </w:r>
            <w:r>
              <w:rPr>
                <w:rFonts w:hint="eastAsia"/>
                <w:sz w:val="24"/>
                <w:szCs w:val="32"/>
              </w:rPr>
              <w:t>布袋除尘器风量为3000m</w:t>
            </w:r>
            <w:r>
              <w:rPr>
                <w:rFonts w:hint="eastAsia"/>
                <w:sz w:val="24"/>
                <w:szCs w:val="32"/>
                <w:vertAlign w:val="superscript"/>
              </w:rPr>
              <w:t>3</w:t>
            </w:r>
            <w:r>
              <w:rPr>
                <w:rFonts w:hint="eastAsia"/>
                <w:sz w:val="24"/>
                <w:szCs w:val="32"/>
              </w:rPr>
              <w:t>/h，过滤风速0.8m/min，过滤面积62.5m</w:t>
            </w:r>
            <w:r>
              <w:rPr>
                <w:rFonts w:hint="eastAsia"/>
                <w:sz w:val="24"/>
                <w:szCs w:val="32"/>
                <w:vertAlign w:val="superscript"/>
              </w:rPr>
              <w:t>2</w:t>
            </w:r>
            <w:r>
              <w:rPr>
                <w:rFonts w:hint="eastAsia"/>
                <w:sz w:val="24"/>
                <w:szCs w:val="32"/>
              </w:rPr>
              <w:t>，滤袋材质为覆膜涤纶针刺过滤毡，采用针刺成型工艺将涤纶纤维交织成致密毡体，形成基材；再通过特殊复合工艺将PTFE薄膜紧密覆合于毡体表面，最终制成兼具高过滤精度与低阻力的过滤材料。属于《污染源源强核算技术指南  水泥工业》（HJ1292—2023）附录C，以及《排污许可证申请与核发技术规范 水泥工业》（HJ 847—2017）中推荐的污染物防治可行技术。处理后粉尘排放浓度均可控制在10mg/m</w:t>
            </w:r>
            <w:r>
              <w:rPr>
                <w:rFonts w:hint="eastAsia"/>
                <w:sz w:val="24"/>
                <w:szCs w:val="32"/>
                <w:vertAlign w:val="superscript"/>
              </w:rPr>
              <w:t>3</w:t>
            </w:r>
            <w:r>
              <w:rPr>
                <w:rFonts w:hint="eastAsia"/>
                <w:sz w:val="24"/>
                <w:szCs w:val="32"/>
              </w:rPr>
              <w:t>以下。</w:t>
            </w:r>
          </w:p>
          <w:p w14:paraId="71C09A54">
            <w:pPr>
              <w:spacing w:line="440" w:lineRule="exact"/>
              <w:ind w:firstLine="480" w:firstLineChars="200"/>
              <w:rPr>
                <w:sz w:val="24"/>
                <w:szCs w:val="32"/>
              </w:rPr>
            </w:pPr>
            <w:r>
              <w:rPr>
                <w:rFonts w:hint="eastAsia"/>
                <w:sz w:val="24"/>
                <w:szCs w:val="32"/>
              </w:rPr>
              <w:t>水泥原料年用量为12450t，参照《排放源统计调查产排污核算方法和系数手册》，“3021水泥制品制造行业系数表－水泥、砂子、石子、钢筋等原料－物料输送储存工序－颗粒物产污系数：0.19千克/吨－产品”，参照该系数计算，本项目水泥筒仓颗粒物产尘量为2.37t/a。</w:t>
            </w:r>
          </w:p>
          <w:p w14:paraId="04ED87E6">
            <w:pPr>
              <w:pStyle w:val="72"/>
              <w:spacing w:line="400" w:lineRule="exact"/>
              <w:ind w:firstLine="480"/>
              <w:rPr>
                <w:sz w:val="24"/>
                <w:szCs w:val="22"/>
                <w:highlight w:val="yellow"/>
                <w:lang w:val="en-US"/>
              </w:rPr>
            </w:pPr>
            <w:bookmarkStart w:id="71" w:name="_Hlk239063100"/>
            <w:r>
              <w:rPr>
                <w:rFonts w:hint="eastAsia"/>
                <w:sz w:val="24"/>
                <w:szCs w:val="24"/>
              </w:rPr>
              <w:t>类比同类企业数据，</w:t>
            </w:r>
            <w:r>
              <w:rPr>
                <w:sz w:val="24"/>
                <w:szCs w:val="24"/>
              </w:rPr>
              <w:t>每吨粉</w:t>
            </w:r>
            <w:r>
              <w:rPr>
                <w:rFonts w:hint="eastAsia"/>
                <w:sz w:val="24"/>
                <w:szCs w:val="24"/>
              </w:rPr>
              <w:t>料</w:t>
            </w:r>
            <w:r>
              <w:rPr>
                <w:sz w:val="24"/>
                <w:szCs w:val="24"/>
              </w:rPr>
              <w:t>罐车打入筒仓需用时</w:t>
            </w:r>
            <w:r>
              <w:rPr>
                <w:rFonts w:hint="eastAsia"/>
                <w:sz w:val="24"/>
                <w:szCs w:val="24"/>
              </w:rPr>
              <w:t>约</w:t>
            </w:r>
            <w:r>
              <w:rPr>
                <w:sz w:val="24"/>
                <w:szCs w:val="24"/>
              </w:rPr>
              <w:t>0.025h</w:t>
            </w:r>
            <w:r>
              <w:rPr>
                <w:rFonts w:hint="eastAsia"/>
                <w:sz w:val="24"/>
                <w:szCs w:val="24"/>
              </w:rPr>
              <w:t>。本项目水泥年用量为12450t</w:t>
            </w:r>
            <w:r>
              <w:rPr>
                <w:sz w:val="24"/>
                <w:szCs w:val="24"/>
              </w:rPr>
              <w:t>，全部打入筒仓总用时为12450t×0.025h/t=312h</w:t>
            </w:r>
            <w:r>
              <w:rPr>
                <w:rFonts w:hint="eastAsia"/>
                <w:sz w:val="24"/>
                <w:szCs w:val="24"/>
              </w:rPr>
              <w:t>。处理后粉尘排放浓度均按10mg/m</w:t>
            </w:r>
            <w:r>
              <w:rPr>
                <w:rFonts w:hint="eastAsia"/>
                <w:sz w:val="24"/>
                <w:szCs w:val="24"/>
                <w:vertAlign w:val="superscript"/>
              </w:rPr>
              <w:t>3</w:t>
            </w:r>
            <w:r>
              <w:rPr>
                <w:rFonts w:hint="eastAsia"/>
                <w:sz w:val="24"/>
                <w:szCs w:val="24"/>
              </w:rPr>
              <w:t>计，则本项目水泥筒仓颗粒物排放量为</w:t>
            </w:r>
            <w:r>
              <w:rPr>
                <w:sz w:val="24"/>
                <w:szCs w:val="24"/>
              </w:rPr>
              <w:t>3000</w:t>
            </w:r>
            <w:r>
              <w:rPr>
                <w:sz w:val="24"/>
              </w:rPr>
              <w:t xml:space="preserve"> </w:t>
            </w:r>
            <w:r>
              <w:rPr>
                <w:sz w:val="24"/>
                <w:szCs w:val="24"/>
              </w:rPr>
              <w:t>m</w:t>
            </w:r>
            <w:r>
              <w:rPr>
                <w:sz w:val="24"/>
                <w:szCs w:val="24"/>
                <w:vertAlign w:val="superscript"/>
              </w:rPr>
              <w:t>3</w:t>
            </w:r>
            <w:r>
              <w:rPr>
                <w:sz w:val="24"/>
                <w:szCs w:val="24"/>
              </w:rPr>
              <w:t>/h×</w:t>
            </w:r>
            <w:r>
              <w:rPr>
                <w:sz w:val="24"/>
              </w:rPr>
              <w:t>312h</w:t>
            </w:r>
            <w:r>
              <w:rPr>
                <w:sz w:val="24"/>
                <w:szCs w:val="24"/>
              </w:rPr>
              <w:t>×</w:t>
            </w:r>
            <w:r>
              <w:rPr>
                <w:sz w:val="24"/>
              </w:rPr>
              <w:t>10mg/m</w:t>
            </w:r>
            <w:r>
              <w:rPr>
                <w:sz w:val="24"/>
                <w:vertAlign w:val="superscript"/>
              </w:rPr>
              <w:t>3</w:t>
            </w:r>
            <w:r>
              <w:rPr>
                <w:sz w:val="24"/>
                <w:szCs w:val="24"/>
              </w:rPr>
              <w:t>×</w:t>
            </w:r>
            <w:r>
              <w:rPr>
                <w:sz w:val="24"/>
              </w:rPr>
              <w:t>10</w:t>
            </w:r>
            <w:r>
              <w:rPr>
                <w:sz w:val="24"/>
                <w:vertAlign w:val="superscript"/>
              </w:rPr>
              <w:t>-9</w:t>
            </w:r>
            <w:r>
              <w:rPr>
                <w:sz w:val="24"/>
              </w:rPr>
              <w:t>=</w:t>
            </w:r>
            <w:r>
              <w:rPr>
                <w:sz w:val="24"/>
                <w:szCs w:val="24"/>
              </w:rPr>
              <w:t>0.01t/a（0.03kg/h）</w:t>
            </w:r>
            <w:r>
              <w:rPr>
                <w:rFonts w:hint="eastAsia"/>
                <w:sz w:val="24"/>
              </w:rPr>
              <w:t>；</w:t>
            </w:r>
            <w:r>
              <w:rPr>
                <w:rFonts w:hint="eastAsia"/>
                <w:sz w:val="24"/>
                <w:szCs w:val="22"/>
              </w:rPr>
              <w:t>处理后废气经15</w:t>
            </w:r>
            <w:r>
              <w:rPr>
                <w:sz w:val="24"/>
                <w:szCs w:val="22"/>
              </w:rPr>
              <w:t>m高</w:t>
            </w:r>
            <w:r>
              <w:rPr>
                <w:rFonts w:hint="eastAsia"/>
                <w:sz w:val="24"/>
                <w:szCs w:val="22"/>
              </w:rPr>
              <w:t>排气筒（DA002）排出，能够满足《水泥工业大气污染物排放标准》（</w:t>
            </w:r>
            <w:r>
              <w:rPr>
                <w:rFonts w:hint="eastAsia"/>
                <w:sz w:val="24"/>
                <w:szCs w:val="24"/>
              </w:rPr>
              <w:t>DB14/3176-2024</w:t>
            </w:r>
            <w:r>
              <w:rPr>
                <w:rFonts w:hint="eastAsia"/>
                <w:sz w:val="24"/>
                <w:szCs w:val="22"/>
              </w:rPr>
              <w:t>）表1排放限值要求。</w:t>
            </w:r>
            <w:bookmarkEnd w:id="71"/>
          </w:p>
          <w:p w14:paraId="27832DF1">
            <w:pPr>
              <w:spacing w:line="440" w:lineRule="exact"/>
              <w:ind w:firstLine="480" w:firstLineChars="200"/>
              <w:rPr>
                <w:sz w:val="24"/>
                <w:szCs w:val="32"/>
              </w:rPr>
            </w:pPr>
            <w:r>
              <w:rPr>
                <w:rFonts w:hint="eastAsia"/>
                <w:sz w:val="24"/>
                <w:szCs w:val="32"/>
              </w:rPr>
              <w:t>（3）粉煤灰（矿渣粉）筒仓粉尘（排气筒DA003）</w:t>
            </w:r>
          </w:p>
          <w:p w14:paraId="6E86308B">
            <w:pPr>
              <w:pStyle w:val="68"/>
              <w:spacing w:line="440" w:lineRule="exact"/>
              <w:ind w:firstLine="480"/>
              <w:rPr>
                <w:color w:val="000000"/>
                <w:sz w:val="24"/>
                <w:szCs w:val="24"/>
              </w:rPr>
            </w:pPr>
            <w:r>
              <w:rPr>
                <w:rFonts w:hint="eastAsia"/>
                <w:bCs/>
                <w:sz w:val="24"/>
                <w:szCs w:val="24"/>
              </w:rPr>
              <w:t>本项目设1座全封闭</w:t>
            </w:r>
            <w:r>
              <w:rPr>
                <w:rFonts w:hint="eastAsia"/>
                <w:sz w:val="24"/>
                <w:szCs w:val="32"/>
              </w:rPr>
              <w:t>粉煤灰（矿渣粉）</w:t>
            </w:r>
            <w:r>
              <w:rPr>
                <w:rFonts w:hint="eastAsia"/>
                <w:bCs/>
                <w:sz w:val="24"/>
                <w:szCs w:val="24"/>
              </w:rPr>
              <w:t>筒仓，根据外供产品需求用于粉煤</w:t>
            </w:r>
            <w:bookmarkEnd w:id="70"/>
            <w:r>
              <w:rPr>
                <w:rFonts w:hint="eastAsia"/>
                <w:bCs/>
                <w:sz w:val="24"/>
                <w:szCs w:val="24"/>
              </w:rPr>
              <w:t>灰、矿渣粉的储存（本项目同一时段仅生产一类产品，粉煤灰与矿渣粉不同时使用），</w:t>
            </w:r>
            <w:r>
              <w:rPr>
                <w:rFonts w:hint="eastAsia"/>
                <w:color w:val="000000"/>
                <w:sz w:val="24"/>
                <w:szCs w:val="24"/>
              </w:rPr>
              <w:t>筒仓容积50t。筒仓全密闭，且仓顶安装布袋除尘器。粉煤灰/矿渣粉经罐车打入筒仓过程中产生的粉尘经仓顶布袋除尘器处理后经筒仓仓顶排放，</w:t>
            </w:r>
            <w:r>
              <w:rPr>
                <w:rFonts w:hint="eastAsia"/>
                <w:color w:val="000000"/>
                <w:sz w:val="24"/>
                <w:szCs w:val="24"/>
                <w:lang w:bidi="ar"/>
              </w:rPr>
              <w:t>排放高度约15</w:t>
            </w:r>
            <w:r>
              <w:rPr>
                <w:color w:val="000000"/>
                <w:sz w:val="24"/>
                <w:szCs w:val="24"/>
                <w:lang w:bidi="ar"/>
              </w:rPr>
              <w:t>m</w:t>
            </w:r>
            <w:r>
              <w:rPr>
                <w:rFonts w:hint="eastAsia"/>
                <w:color w:val="000000"/>
                <w:sz w:val="24"/>
                <w:szCs w:val="24"/>
                <w:lang w:bidi="ar"/>
              </w:rPr>
              <w:t>。配套仓顶</w:t>
            </w:r>
            <w:r>
              <w:rPr>
                <w:rFonts w:hint="eastAsia"/>
                <w:color w:val="000000"/>
                <w:sz w:val="24"/>
                <w:szCs w:val="24"/>
              </w:rPr>
              <w:t>布袋除尘器风量为3000m</w:t>
            </w:r>
            <w:r>
              <w:rPr>
                <w:rFonts w:hint="eastAsia"/>
                <w:color w:val="000000"/>
                <w:sz w:val="24"/>
                <w:szCs w:val="24"/>
                <w:vertAlign w:val="superscript"/>
              </w:rPr>
              <w:t>3</w:t>
            </w:r>
            <w:r>
              <w:rPr>
                <w:rFonts w:hint="eastAsia"/>
                <w:color w:val="000000"/>
                <w:sz w:val="24"/>
                <w:szCs w:val="24"/>
              </w:rPr>
              <w:t>/h，过滤风速0.8m/min，过</w:t>
            </w:r>
          </w:p>
        </w:tc>
      </w:tr>
    </w:tbl>
    <w:p w14:paraId="2259B3EF">
      <w:pPr>
        <w:sectPr>
          <w:pgSz w:w="11907" w:h="16840"/>
          <w:pgMar w:top="1701" w:right="1531" w:bottom="2127" w:left="1531" w:header="851" w:footer="1304" w:gutter="0"/>
          <w:cols w:space="720" w:num="1"/>
          <w:docGrid w:linePitch="312" w:charSpace="0"/>
        </w:sectPr>
      </w:pPr>
    </w:p>
    <w:p w14:paraId="6658A73F">
      <w:pPr>
        <w:spacing w:line="60" w:lineRule="exact"/>
      </w:pPr>
      <w:r>
        <w:rPr>
          <w:rFonts w:hint="eastAsia"/>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6"/>
      </w:tblGrid>
      <w:tr w14:paraId="6917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52" w:type="dxa"/>
          </w:tcPr>
          <w:p w14:paraId="72150A67">
            <w:pPr>
              <w:pStyle w:val="105"/>
              <w:numPr>
                <w:ilvl w:val="0"/>
                <w:numId w:val="0"/>
              </w:numPr>
              <w:ind w:left="442" w:hanging="442"/>
              <w:rPr>
                <w:b w:val="0"/>
                <w:bCs w:val="0"/>
                <w:sz w:val="24"/>
                <w:szCs w:val="24"/>
              </w:rPr>
            </w:pPr>
            <w:bookmarkStart w:id="72" w:name="_Hlk505009104"/>
            <w:bookmarkStart w:id="73" w:name="_Hlk238645045"/>
            <w:r>
              <w:rPr>
                <w:rFonts w:hint="eastAsia"/>
                <w:b w:val="0"/>
                <w:bCs w:val="0"/>
                <w:sz w:val="24"/>
                <w:szCs w:val="24"/>
              </w:rPr>
              <w:t xml:space="preserve">表4-2  </w:t>
            </w:r>
            <w:r>
              <w:rPr>
                <w:b w:val="0"/>
                <w:bCs w:val="0"/>
                <w:sz w:val="24"/>
                <w:szCs w:val="24"/>
              </w:rPr>
              <w:t>项目有组织废气</w:t>
            </w:r>
            <w:r>
              <w:rPr>
                <w:rFonts w:hint="eastAsia"/>
                <w:b w:val="0"/>
                <w:bCs w:val="0"/>
                <w:sz w:val="24"/>
                <w:szCs w:val="24"/>
              </w:rPr>
              <w:t>污染源源强核算表</w:t>
            </w:r>
            <w:bookmarkEnd w:id="72"/>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5"/>
              <w:gridCol w:w="696"/>
              <w:gridCol w:w="568"/>
              <w:gridCol w:w="480"/>
              <w:gridCol w:w="704"/>
              <w:gridCol w:w="708"/>
              <w:gridCol w:w="532"/>
              <w:gridCol w:w="896"/>
              <w:gridCol w:w="524"/>
              <w:gridCol w:w="480"/>
              <w:gridCol w:w="704"/>
              <w:gridCol w:w="708"/>
              <w:gridCol w:w="835"/>
              <w:gridCol w:w="665"/>
              <w:gridCol w:w="529"/>
              <w:gridCol w:w="492"/>
              <w:gridCol w:w="645"/>
              <w:gridCol w:w="1209"/>
              <w:gridCol w:w="480"/>
            </w:tblGrid>
            <w:tr w14:paraId="0A89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76" w:type="dxa"/>
                  <w:vMerge w:val="restart"/>
                  <w:vAlign w:val="center"/>
                </w:tcPr>
                <w:p w14:paraId="2C3D0E8D">
                  <w:pPr>
                    <w:pStyle w:val="52"/>
                    <w:spacing w:line="300" w:lineRule="exact"/>
                  </w:pPr>
                  <w:r>
                    <w:rPr>
                      <w:rFonts w:hint="eastAsia"/>
                    </w:rPr>
                    <w:t>工序</w:t>
                  </w:r>
                </w:p>
              </w:tc>
              <w:tc>
                <w:tcPr>
                  <w:tcW w:w="696" w:type="dxa"/>
                  <w:vMerge w:val="restart"/>
                  <w:vAlign w:val="center"/>
                </w:tcPr>
                <w:p w14:paraId="3D63F7E3">
                  <w:pPr>
                    <w:pStyle w:val="52"/>
                    <w:spacing w:line="300" w:lineRule="exact"/>
                  </w:pPr>
                  <w:r>
                    <w:rPr>
                      <w:rFonts w:hint="eastAsia"/>
                    </w:rPr>
                    <w:t>排放源</w:t>
                  </w:r>
                </w:p>
              </w:tc>
              <w:tc>
                <w:tcPr>
                  <w:tcW w:w="568" w:type="dxa"/>
                  <w:vMerge w:val="restart"/>
                  <w:vAlign w:val="center"/>
                </w:tcPr>
                <w:p w14:paraId="3F298FF0">
                  <w:pPr>
                    <w:pStyle w:val="52"/>
                    <w:spacing w:line="300" w:lineRule="exact"/>
                  </w:pPr>
                  <w:r>
                    <w:rPr>
                      <w:rFonts w:hint="eastAsia"/>
                    </w:rPr>
                    <w:t>污染物</w:t>
                  </w:r>
                </w:p>
              </w:tc>
              <w:tc>
                <w:tcPr>
                  <w:tcW w:w="0" w:type="auto"/>
                  <w:gridSpan w:val="4"/>
                  <w:vAlign w:val="center"/>
                </w:tcPr>
                <w:p w14:paraId="3883C72D">
                  <w:pPr>
                    <w:pStyle w:val="52"/>
                    <w:spacing w:line="300" w:lineRule="exact"/>
                  </w:pPr>
                  <w:r>
                    <w:rPr>
                      <w:rFonts w:hint="eastAsia"/>
                    </w:rPr>
                    <w:t>产生情况</w:t>
                  </w:r>
                </w:p>
              </w:tc>
              <w:tc>
                <w:tcPr>
                  <w:tcW w:w="0" w:type="auto"/>
                  <w:gridSpan w:val="3"/>
                  <w:vAlign w:val="center"/>
                </w:tcPr>
                <w:p w14:paraId="327CCCC9">
                  <w:pPr>
                    <w:pStyle w:val="52"/>
                    <w:spacing w:line="300" w:lineRule="exact"/>
                  </w:pPr>
                  <w:r>
                    <w:rPr>
                      <w:rFonts w:hint="eastAsia"/>
                    </w:rPr>
                    <w:t>处理措施</w:t>
                  </w:r>
                </w:p>
              </w:tc>
              <w:tc>
                <w:tcPr>
                  <w:tcW w:w="0" w:type="auto"/>
                  <w:gridSpan w:val="4"/>
                  <w:vAlign w:val="center"/>
                </w:tcPr>
                <w:p w14:paraId="78C900C6">
                  <w:pPr>
                    <w:pStyle w:val="52"/>
                    <w:spacing w:line="300" w:lineRule="exact"/>
                  </w:pPr>
                  <w:r>
                    <w:rPr>
                      <w:rFonts w:hint="eastAsia"/>
                    </w:rPr>
                    <w:t>排放情况</w:t>
                  </w:r>
                </w:p>
              </w:tc>
              <w:tc>
                <w:tcPr>
                  <w:tcW w:w="0" w:type="auto"/>
                  <w:gridSpan w:val="5"/>
                  <w:vAlign w:val="center"/>
                </w:tcPr>
                <w:p w14:paraId="522FB041">
                  <w:pPr>
                    <w:pStyle w:val="52"/>
                    <w:spacing w:line="300" w:lineRule="exact"/>
                  </w:pPr>
                  <w:r>
                    <w:rPr>
                      <w:rFonts w:hint="eastAsia"/>
                    </w:rPr>
                    <w:t>排放口基本情况</w:t>
                  </w:r>
                </w:p>
              </w:tc>
            </w:tr>
            <w:tr w14:paraId="3D07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76" w:type="dxa"/>
                  <w:vMerge w:val="continue"/>
                  <w:vAlign w:val="center"/>
                </w:tcPr>
                <w:p w14:paraId="57DC4D4C">
                  <w:pPr>
                    <w:pStyle w:val="52"/>
                    <w:spacing w:line="300" w:lineRule="exact"/>
                  </w:pPr>
                </w:p>
              </w:tc>
              <w:tc>
                <w:tcPr>
                  <w:tcW w:w="696" w:type="dxa"/>
                  <w:vMerge w:val="continue"/>
                  <w:vAlign w:val="center"/>
                </w:tcPr>
                <w:p w14:paraId="398E3733">
                  <w:pPr>
                    <w:pStyle w:val="52"/>
                    <w:spacing w:line="300" w:lineRule="exact"/>
                  </w:pPr>
                </w:p>
              </w:tc>
              <w:tc>
                <w:tcPr>
                  <w:tcW w:w="568" w:type="dxa"/>
                  <w:vMerge w:val="continue"/>
                  <w:vAlign w:val="center"/>
                </w:tcPr>
                <w:p w14:paraId="1FE86A29">
                  <w:pPr>
                    <w:pStyle w:val="52"/>
                    <w:spacing w:line="300" w:lineRule="exact"/>
                  </w:pPr>
                </w:p>
              </w:tc>
              <w:tc>
                <w:tcPr>
                  <w:tcW w:w="0" w:type="auto"/>
                  <w:vAlign w:val="center"/>
                </w:tcPr>
                <w:p w14:paraId="323D5713">
                  <w:pPr>
                    <w:pStyle w:val="52"/>
                    <w:spacing w:line="300" w:lineRule="exact"/>
                  </w:pPr>
                  <w:r>
                    <w:rPr>
                      <w:rFonts w:hint="eastAsia"/>
                    </w:rPr>
                    <w:t>核算方法</w:t>
                  </w:r>
                </w:p>
              </w:tc>
              <w:tc>
                <w:tcPr>
                  <w:tcW w:w="0" w:type="auto"/>
                  <w:vAlign w:val="center"/>
                </w:tcPr>
                <w:p w14:paraId="764245DF">
                  <w:pPr>
                    <w:pStyle w:val="52"/>
                    <w:spacing w:line="300" w:lineRule="exact"/>
                  </w:pPr>
                  <w:r>
                    <w:rPr>
                      <w:rFonts w:hint="eastAsia"/>
                    </w:rPr>
                    <w:t>废气产生量</w:t>
                  </w:r>
                </w:p>
                <w:p w14:paraId="677F7146">
                  <w:pPr>
                    <w:pStyle w:val="52"/>
                    <w:spacing w:line="300" w:lineRule="exact"/>
                  </w:pPr>
                  <w:r>
                    <w:rPr>
                      <w:rFonts w:hint="eastAsia"/>
                    </w:rPr>
                    <w:t>(m</w:t>
                  </w:r>
                  <w:r>
                    <w:rPr>
                      <w:vertAlign w:val="superscript"/>
                    </w:rPr>
                    <w:t>3</w:t>
                  </w:r>
                  <w:r>
                    <w:rPr>
                      <w:rFonts w:hint="eastAsia"/>
                    </w:rPr>
                    <w:t>/</w:t>
                  </w:r>
                  <w:r>
                    <w:t>h</w:t>
                  </w:r>
                  <w:r>
                    <w:rPr>
                      <w:rFonts w:hint="eastAsia"/>
                    </w:rPr>
                    <w:t>)</w:t>
                  </w:r>
                </w:p>
              </w:tc>
              <w:tc>
                <w:tcPr>
                  <w:tcW w:w="0" w:type="auto"/>
                  <w:vAlign w:val="center"/>
                </w:tcPr>
                <w:p w14:paraId="1F296E9C">
                  <w:pPr>
                    <w:pStyle w:val="52"/>
                    <w:spacing w:line="300" w:lineRule="exact"/>
                  </w:pPr>
                  <w:r>
                    <w:rPr>
                      <w:rFonts w:hint="eastAsia"/>
                    </w:rPr>
                    <w:t>产生</w:t>
                  </w:r>
                </w:p>
                <w:p w14:paraId="13852AE5">
                  <w:pPr>
                    <w:pStyle w:val="52"/>
                    <w:spacing w:line="300" w:lineRule="exact"/>
                  </w:pPr>
                  <w:r>
                    <w:rPr>
                      <w:rFonts w:hint="eastAsia"/>
                    </w:rPr>
                    <w:t>浓度</w:t>
                  </w:r>
                </w:p>
                <w:p w14:paraId="76CB4CF5">
                  <w:pPr>
                    <w:pStyle w:val="52"/>
                    <w:spacing w:line="300" w:lineRule="exact"/>
                  </w:pPr>
                  <w:r>
                    <w:rPr>
                      <w:rFonts w:hint="eastAsia"/>
                    </w:rPr>
                    <w:t>(mg/m</w:t>
                  </w:r>
                  <w:r>
                    <w:rPr>
                      <w:rFonts w:hint="eastAsia"/>
                      <w:vertAlign w:val="superscript"/>
                    </w:rPr>
                    <w:t>3</w:t>
                  </w:r>
                  <w:r>
                    <w:rPr>
                      <w:rFonts w:hint="eastAsia"/>
                    </w:rPr>
                    <w:t>)</w:t>
                  </w:r>
                </w:p>
              </w:tc>
              <w:tc>
                <w:tcPr>
                  <w:tcW w:w="0" w:type="auto"/>
                  <w:vAlign w:val="center"/>
                </w:tcPr>
                <w:p w14:paraId="705454ED">
                  <w:pPr>
                    <w:pStyle w:val="52"/>
                    <w:spacing w:line="300" w:lineRule="exact"/>
                  </w:pPr>
                  <w:r>
                    <w:rPr>
                      <w:rFonts w:hint="eastAsia"/>
                    </w:rPr>
                    <w:t>产生量</w:t>
                  </w:r>
                </w:p>
                <w:p w14:paraId="6E4B0719">
                  <w:pPr>
                    <w:pStyle w:val="52"/>
                    <w:spacing w:line="300" w:lineRule="exact"/>
                  </w:pPr>
                  <w:r>
                    <w:rPr>
                      <w:rFonts w:hint="eastAsia"/>
                    </w:rPr>
                    <w:t>(t/a)</w:t>
                  </w:r>
                </w:p>
              </w:tc>
              <w:tc>
                <w:tcPr>
                  <w:tcW w:w="0" w:type="auto"/>
                  <w:vAlign w:val="center"/>
                </w:tcPr>
                <w:p w14:paraId="4F5C45CA">
                  <w:pPr>
                    <w:pStyle w:val="52"/>
                    <w:spacing w:line="300" w:lineRule="exact"/>
                  </w:pPr>
                  <w:r>
                    <w:rPr>
                      <w:rFonts w:hint="eastAsia"/>
                    </w:rPr>
                    <w:t>工艺</w:t>
                  </w:r>
                </w:p>
              </w:tc>
              <w:tc>
                <w:tcPr>
                  <w:tcW w:w="0" w:type="auto"/>
                  <w:vAlign w:val="center"/>
                </w:tcPr>
                <w:p w14:paraId="21EE2C07">
                  <w:pPr>
                    <w:pStyle w:val="52"/>
                    <w:spacing w:line="300" w:lineRule="exact"/>
                  </w:pPr>
                  <w:r>
                    <w:rPr>
                      <w:rFonts w:hint="eastAsia"/>
                    </w:rPr>
                    <w:t>处理效率</w:t>
                  </w:r>
                </w:p>
                <w:p w14:paraId="491BD39F">
                  <w:pPr>
                    <w:pStyle w:val="52"/>
                    <w:spacing w:line="300" w:lineRule="exact"/>
                  </w:pPr>
                  <w:r>
                    <w:rPr>
                      <w:rFonts w:hint="eastAsia"/>
                    </w:rPr>
                    <w:t>(</w:t>
                  </w:r>
                  <w:r>
                    <w:t>%</w:t>
                  </w:r>
                  <w:r>
                    <w:rPr>
                      <w:rFonts w:hint="eastAsia"/>
                    </w:rPr>
                    <w:t>)</w:t>
                  </w:r>
                </w:p>
              </w:tc>
              <w:tc>
                <w:tcPr>
                  <w:tcW w:w="0" w:type="auto"/>
                  <w:vAlign w:val="center"/>
                </w:tcPr>
                <w:p w14:paraId="4B9254C0">
                  <w:pPr>
                    <w:pStyle w:val="52"/>
                    <w:spacing w:line="300" w:lineRule="exact"/>
                  </w:pPr>
                  <w:r>
                    <w:rPr>
                      <w:rFonts w:hint="eastAsia"/>
                    </w:rPr>
                    <w:t>是否</w:t>
                  </w:r>
                </w:p>
                <w:p w14:paraId="47CA295C">
                  <w:pPr>
                    <w:pStyle w:val="52"/>
                    <w:spacing w:line="300" w:lineRule="exact"/>
                  </w:pPr>
                  <w:r>
                    <w:rPr>
                      <w:rFonts w:hint="eastAsia"/>
                    </w:rPr>
                    <w:t>为可行技术</w:t>
                  </w:r>
                </w:p>
              </w:tc>
              <w:tc>
                <w:tcPr>
                  <w:tcW w:w="0" w:type="auto"/>
                  <w:vAlign w:val="center"/>
                </w:tcPr>
                <w:p w14:paraId="31A17F92">
                  <w:pPr>
                    <w:pStyle w:val="52"/>
                    <w:spacing w:line="300" w:lineRule="exact"/>
                  </w:pPr>
                  <w:r>
                    <w:rPr>
                      <w:rFonts w:hint="eastAsia"/>
                    </w:rPr>
                    <w:t>废气排放量</w:t>
                  </w:r>
                </w:p>
                <w:p w14:paraId="1BA7D304">
                  <w:pPr>
                    <w:pStyle w:val="52"/>
                    <w:spacing w:line="300" w:lineRule="exact"/>
                  </w:pPr>
                  <w:r>
                    <w:rPr>
                      <w:rFonts w:hint="eastAsia"/>
                    </w:rPr>
                    <w:t>(m</w:t>
                  </w:r>
                  <w:r>
                    <w:rPr>
                      <w:vertAlign w:val="superscript"/>
                    </w:rPr>
                    <w:t>3</w:t>
                  </w:r>
                  <w:r>
                    <w:rPr>
                      <w:rFonts w:hint="eastAsia"/>
                    </w:rPr>
                    <w:t>/</w:t>
                  </w:r>
                  <w:r>
                    <w:t>h</w:t>
                  </w:r>
                  <w:r>
                    <w:rPr>
                      <w:rFonts w:hint="eastAsia"/>
                    </w:rPr>
                    <w:t>)</w:t>
                  </w:r>
                </w:p>
              </w:tc>
              <w:tc>
                <w:tcPr>
                  <w:tcW w:w="0" w:type="auto"/>
                  <w:vAlign w:val="center"/>
                </w:tcPr>
                <w:p w14:paraId="1057052A">
                  <w:pPr>
                    <w:pStyle w:val="52"/>
                    <w:spacing w:line="300" w:lineRule="exact"/>
                  </w:pPr>
                  <w:r>
                    <w:rPr>
                      <w:rFonts w:hint="eastAsia"/>
                    </w:rPr>
                    <w:t>排放</w:t>
                  </w:r>
                </w:p>
                <w:p w14:paraId="756DE563">
                  <w:pPr>
                    <w:pStyle w:val="52"/>
                    <w:spacing w:line="300" w:lineRule="exact"/>
                  </w:pPr>
                  <w:r>
                    <w:rPr>
                      <w:rFonts w:hint="eastAsia"/>
                    </w:rPr>
                    <w:t>浓度</w:t>
                  </w:r>
                </w:p>
                <w:p w14:paraId="1405EB99">
                  <w:pPr>
                    <w:pStyle w:val="52"/>
                    <w:spacing w:line="300" w:lineRule="exact"/>
                  </w:pPr>
                  <w:r>
                    <w:rPr>
                      <w:rFonts w:hint="eastAsia"/>
                    </w:rPr>
                    <w:t>(mg/m</w:t>
                  </w:r>
                  <w:r>
                    <w:rPr>
                      <w:rFonts w:hint="eastAsia"/>
                      <w:vertAlign w:val="superscript"/>
                    </w:rPr>
                    <w:t>3</w:t>
                  </w:r>
                  <w:r>
                    <w:rPr>
                      <w:rFonts w:hint="eastAsia"/>
                    </w:rPr>
                    <w:t>)</w:t>
                  </w:r>
                </w:p>
              </w:tc>
              <w:tc>
                <w:tcPr>
                  <w:tcW w:w="0" w:type="auto"/>
                  <w:vAlign w:val="center"/>
                </w:tcPr>
                <w:p w14:paraId="422BFDF6">
                  <w:pPr>
                    <w:pStyle w:val="52"/>
                    <w:spacing w:line="300" w:lineRule="exact"/>
                  </w:pPr>
                  <w:r>
                    <w:rPr>
                      <w:rFonts w:hint="eastAsia"/>
                    </w:rPr>
                    <w:t>排放量（t/a）</w:t>
                  </w:r>
                </w:p>
              </w:tc>
              <w:tc>
                <w:tcPr>
                  <w:tcW w:w="0" w:type="auto"/>
                  <w:vAlign w:val="center"/>
                </w:tcPr>
                <w:p w14:paraId="2CBA94BE">
                  <w:pPr>
                    <w:pStyle w:val="52"/>
                    <w:spacing w:line="300" w:lineRule="exact"/>
                  </w:pPr>
                  <w:r>
                    <w:rPr>
                      <w:rFonts w:hint="eastAsia"/>
                    </w:rPr>
                    <w:t>排放</w:t>
                  </w:r>
                </w:p>
                <w:p w14:paraId="0CE916B7">
                  <w:pPr>
                    <w:pStyle w:val="52"/>
                    <w:spacing w:line="300" w:lineRule="exact"/>
                  </w:pPr>
                  <w:r>
                    <w:rPr>
                      <w:rFonts w:hint="eastAsia"/>
                    </w:rPr>
                    <w:t>时间（</w:t>
                  </w:r>
                  <w:r>
                    <w:t>h</w:t>
                  </w:r>
                  <w:r>
                    <w:rPr>
                      <w:rFonts w:hint="eastAsia"/>
                    </w:rPr>
                    <w:t>）</w:t>
                  </w:r>
                </w:p>
              </w:tc>
              <w:tc>
                <w:tcPr>
                  <w:tcW w:w="529" w:type="dxa"/>
                  <w:vAlign w:val="center"/>
                </w:tcPr>
                <w:p w14:paraId="65192E37">
                  <w:pPr>
                    <w:pStyle w:val="52"/>
                    <w:spacing w:line="300" w:lineRule="exact"/>
                  </w:pPr>
                  <w:r>
                    <w:rPr>
                      <w:rFonts w:hint="eastAsia"/>
                    </w:rPr>
                    <w:t>排气筒高度</w:t>
                  </w:r>
                </w:p>
                <w:p w14:paraId="120ED59D">
                  <w:pPr>
                    <w:pStyle w:val="52"/>
                    <w:spacing w:line="300" w:lineRule="exact"/>
                  </w:pPr>
                  <w:r>
                    <w:rPr>
                      <w:rFonts w:hint="eastAsia"/>
                    </w:rPr>
                    <w:t>(m)</w:t>
                  </w:r>
                </w:p>
              </w:tc>
              <w:tc>
                <w:tcPr>
                  <w:tcW w:w="492" w:type="dxa"/>
                  <w:vAlign w:val="center"/>
                </w:tcPr>
                <w:p w14:paraId="5E25B582">
                  <w:pPr>
                    <w:pStyle w:val="52"/>
                    <w:spacing w:line="300" w:lineRule="exact"/>
                  </w:pPr>
                  <w:r>
                    <w:rPr>
                      <w:rFonts w:hint="eastAsia"/>
                    </w:rPr>
                    <w:t>排气筒内径</w:t>
                  </w:r>
                </w:p>
                <w:p w14:paraId="67B13562">
                  <w:pPr>
                    <w:pStyle w:val="52"/>
                    <w:spacing w:line="300" w:lineRule="exact"/>
                  </w:pPr>
                  <w:r>
                    <w:rPr>
                      <w:rFonts w:hint="eastAsia"/>
                    </w:rPr>
                    <w:t>(m)</w:t>
                  </w:r>
                </w:p>
              </w:tc>
              <w:tc>
                <w:tcPr>
                  <w:tcW w:w="645" w:type="dxa"/>
                  <w:vAlign w:val="center"/>
                </w:tcPr>
                <w:p w14:paraId="1459E5CB">
                  <w:pPr>
                    <w:pStyle w:val="52"/>
                    <w:spacing w:line="300" w:lineRule="exact"/>
                  </w:pPr>
                  <w:r>
                    <w:rPr>
                      <w:rFonts w:hint="eastAsia"/>
                    </w:rPr>
                    <w:t>温度（℃）</w:t>
                  </w:r>
                </w:p>
              </w:tc>
              <w:tc>
                <w:tcPr>
                  <w:tcW w:w="0" w:type="auto"/>
                  <w:vAlign w:val="center"/>
                </w:tcPr>
                <w:p w14:paraId="57D15384">
                  <w:pPr>
                    <w:pStyle w:val="52"/>
                    <w:spacing w:line="300" w:lineRule="exact"/>
                  </w:pPr>
                  <w:r>
                    <w:rPr>
                      <w:rFonts w:hint="eastAsia"/>
                    </w:rPr>
                    <w:t>名称</w:t>
                  </w:r>
                </w:p>
              </w:tc>
              <w:tc>
                <w:tcPr>
                  <w:tcW w:w="0" w:type="auto"/>
                  <w:vAlign w:val="center"/>
                </w:tcPr>
                <w:p w14:paraId="147DE6B1">
                  <w:pPr>
                    <w:pStyle w:val="52"/>
                    <w:spacing w:line="300" w:lineRule="exact"/>
                  </w:pPr>
                  <w:r>
                    <w:rPr>
                      <w:rFonts w:hint="eastAsia"/>
                    </w:rPr>
                    <w:t>类型</w:t>
                  </w:r>
                </w:p>
              </w:tc>
            </w:tr>
            <w:tr w14:paraId="6211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76" w:type="dxa"/>
                  <w:vAlign w:val="center"/>
                </w:tcPr>
                <w:p w14:paraId="70091DA2">
                  <w:pPr>
                    <w:pStyle w:val="52"/>
                    <w:spacing w:line="300" w:lineRule="exact"/>
                  </w:pPr>
                  <w:r>
                    <w:rPr>
                      <w:rFonts w:hint="eastAsia"/>
                    </w:rPr>
                    <w:t>骨料上料、转载、搅拌及包装</w:t>
                  </w:r>
                </w:p>
              </w:tc>
              <w:tc>
                <w:tcPr>
                  <w:tcW w:w="696" w:type="dxa"/>
                  <w:vAlign w:val="center"/>
                </w:tcPr>
                <w:p w14:paraId="28C2C078">
                  <w:pPr>
                    <w:pStyle w:val="52"/>
                    <w:spacing w:line="300" w:lineRule="exact"/>
                  </w:pPr>
                  <w:r>
                    <w:t>DA001</w:t>
                  </w:r>
                </w:p>
              </w:tc>
              <w:tc>
                <w:tcPr>
                  <w:tcW w:w="568" w:type="dxa"/>
                  <w:vAlign w:val="center"/>
                </w:tcPr>
                <w:p w14:paraId="525E95BB">
                  <w:pPr>
                    <w:pStyle w:val="52"/>
                    <w:spacing w:line="300" w:lineRule="exact"/>
                  </w:pPr>
                  <w:r>
                    <w:rPr>
                      <w:rFonts w:hint="eastAsia"/>
                    </w:rPr>
                    <w:t>颗粒物</w:t>
                  </w:r>
                </w:p>
              </w:tc>
              <w:tc>
                <w:tcPr>
                  <w:tcW w:w="0" w:type="auto"/>
                  <w:vMerge w:val="restart"/>
                  <w:vAlign w:val="center"/>
                </w:tcPr>
                <w:p w14:paraId="11A3147B">
                  <w:pPr>
                    <w:pStyle w:val="52"/>
                    <w:spacing w:line="300" w:lineRule="exact"/>
                  </w:pPr>
                  <w:r>
                    <w:rPr>
                      <w:rFonts w:hint="eastAsia" w:cs="宋体"/>
                    </w:rPr>
                    <w:t>产污系数法</w:t>
                  </w:r>
                </w:p>
              </w:tc>
              <w:tc>
                <w:tcPr>
                  <w:tcW w:w="0" w:type="auto"/>
                  <w:vAlign w:val="center"/>
                </w:tcPr>
                <w:p w14:paraId="38557B97">
                  <w:pPr>
                    <w:pStyle w:val="52"/>
                    <w:spacing w:line="300" w:lineRule="exact"/>
                  </w:pPr>
                  <w:r>
                    <w:rPr>
                      <w:rFonts w:hint="eastAsia"/>
                    </w:rPr>
                    <w:t>35000</w:t>
                  </w:r>
                </w:p>
              </w:tc>
              <w:tc>
                <w:tcPr>
                  <w:tcW w:w="0" w:type="auto"/>
                  <w:vAlign w:val="center"/>
                </w:tcPr>
                <w:p w14:paraId="42731F94">
                  <w:pPr>
                    <w:pStyle w:val="52"/>
                    <w:spacing w:line="300" w:lineRule="exact"/>
                  </w:pPr>
                  <w:r>
                    <w:rPr>
                      <w:rFonts w:hint="eastAsia"/>
                    </w:rPr>
                    <w:t>311.3</w:t>
                  </w:r>
                </w:p>
              </w:tc>
              <w:tc>
                <w:tcPr>
                  <w:tcW w:w="0" w:type="auto"/>
                  <w:vAlign w:val="center"/>
                </w:tcPr>
                <w:p w14:paraId="558F54CB">
                  <w:pPr>
                    <w:pStyle w:val="52"/>
                    <w:spacing w:line="300" w:lineRule="exact"/>
                  </w:pPr>
                  <w:r>
                    <w:rPr>
                      <w:rFonts w:hint="eastAsia"/>
                    </w:rPr>
                    <w:t>26.15</w:t>
                  </w:r>
                </w:p>
              </w:tc>
              <w:tc>
                <w:tcPr>
                  <w:tcW w:w="0" w:type="auto"/>
                  <w:vAlign w:val="center"/>
                </w:tcPr>
                <w:p w14:paraId="76B4DC64">
                  <w:pPr>
                    <w:pStyle w:val="52"/>
                    <w:spacing w:line="300" w:lineRule="exact"/>
                  </w:pPr>
                  <w:r>
                    <w:rPr>
                      <w:rFonts w:hint="eastAsia"/>
                    </w:rPr>
                    <w:t>集气设施+1台布袋除尘器</w:t>
                  </w:r>
                </w:p>
              </w:tc>
              <w:tc>
                <w:tcPr>
                  <w:tcW w:w="0" w:type="auto"/>
                  <w:vAlign w:val="center"/>
                </w:tcPr>
                <w:p w14:paraId="1377D0B5">
                  <w:pPr>
                    <w:pStyle w:val="52"/>
                    <w:spacing w:line="300" w:lineRule="exact"/>
                  </w:pPr>
                  <w:r>
                    <w:rPr>
                      <w:rFonts w:hint="eastAsia"/>
                    </w:rPr>
                    <w:t>9</w:t>
                  </w:r>
                  <w:r>
                    <w:t>9.</w:t>
                  </w:r>
                  <w:r>
                    <w:rPr>
                      <w:rFonts w:hint="eastAsia"/>
                    </w:rPr>
                    <w:t>5</w:t>
                  </w:r>
                </w:p>
              </w:tc>
              <w:tc>
                <w:tcPr>
                  <w:tcW w:w="0" w:type="auto"/>
                  <w:vMerge w:val="restart"/>
                  <w:vAlign w:val="center"/>
                </w:tcPr>
                <w:p w14:paraId="768E6447">
                  <w:pPr>
                    <w:pStyle w:val="52"/>
                    <w:spacing w:line="300" w:lineRule="exact"/>
                  </w:pPr>
                  <w:r>
                    <w:rPr>
                      <w:rFonts w:hint="eastAsia"/>
                    </w:rPr>
                    <w:t>是</w:t>
                  </w:r>
                </w:p>
              </w:tc>
              <w:tc>
                <w:tcPr>
                  <w:tcW w:w="0" w:type="auto"/>
                  <w:vAlign w:val="center"/>
                </w:tcPr>
                <w:p w14:paraId="4FA9DE4B">
                  <w:pPr>
                    <w:pStyle w:val="52"/>
                    <w:spacing w:line="300" w:lineRule="exact"/>
                  </w:pPr>
                  <w:r>
                    <w:rPr>
                      <w:rFonts w:hint="eastAsia"/>
                    </w:rPr>
                    <w:t>35000</w:t>
                  </w:r>
                </w:p>
              </w:tc>
              <w:tc>
                <w:tcPr>
                  <w:tcW w:w="0" w:type="auto"/>
                  <w:vAlign w:val="center"/>
                </w:tcPr>
                <w:p w14:paraId="42C1CFAB">
                  <w:pPr>
                    <w:pStyle w:val="52"/>
                    <w:spacing w:line="300" w:lineRule="exact"/>
                  </w:pPr>
                  <w:r>
                    <w:t>10</w:t>
                  </w:r>
                </w:p>
              </w:tc>
              <w:tc>
                <w:tcPr>
                  <w:tcW w:w="0" w:type="auto"/>
                  <w:vAlign w:val="center"/>
                </w:tcPr>
                <w:p w14:paraId="2048A698">
                  <w:pPr>
                    <w:pStyle w:val="52"/>
                    <w:spacing w:line="300" w:lineRule="exact"/>
                  </w:pPr>
                  <w:r>
                    <w:rPr>
                      <w:rFonts w:hint="eastAsia"/>
                    </w:rPr>
                    <w:t>0.84</w:t>
                  </w:r>
                </w:p>
              </w:tc>
              <w:tc>
                <w:tcPr>
                  <w:tcW w:w="0" w:type="auto"/>
                  <w:vAlign w:val="center"/>
                </w:tcPr>
                <w:p w14:paraId="1E2BD609">
                  <w:pPr>
                    <w:pStyle w:val="52"/>
                    <w:spacing w:line="300" w:lineRule="exact"/>
                  </w:pPr>
                  <w:r>
                    <w:rPr>
                      <w:rFonts w:hint="eastAsia"/>
                    </w:rPr>
                    <w:t>2400</w:t>
                  </w:r>
                </w:p>
              </w:tc>
              <w:tc>
                <w:tcPr>
                  <w:tcW w:w="529" w:type="dxa"/>
                  <w:vAlign w:val="center"/>
                </w:tcPr>
                <w:p w14:paraId="12BECF52">
                  <w:pPr>
                    <w:pStyle w:val="52"/>
                    <w:spacing w:line="300" w:lineRule="exact"/>
                  </w:pPr>
                  <w:r>
                    <w:rPr>
                      <w:rFonts w:hint="eastAsia"/>
                    </w:rPr>
                    <w:t>15</w:t>
                  </w:r>
                </w:p>
              </w:tc>
              <w:tc>
                <w:tcPr>
                  <w:tcW w:w="492" w:type="dxa"/>
                  <w:vAlign w:val="center"/>
                </w:tcPr>
                <w:p w14:paraId="3D242B2C">
                  <w:pPr>
                    <w:pStyle w:val="52"/>
                    <w:spacing w:line="300" w:lineRule="exact"/>
                  </w:pPr>
                  <w:r>
                    <w:rPr>
                      <w:rFonts w:hint="eastAsia"/>
                    </w:rPr>
                    <w:t>0.9</w:t>
                  </w:r>
                </w:p>
              </w:tc>
              <w:tc>
                <w:tcPr>
                  <w:tcW w:w="645" w:type="dxa"/>
                  <w:vAlign w:val="center"/>
                </w:tcPr>
                <w:p w14:paraId="2F98FB2C">
                  <w:pPr>
                    <w:pStyle w:val="52"/>
                    <w:spacing w:line="300" w:lineRule="exact"/>
                  </w:pPr>
                  <w:r>
                    <w:rPr>
                      <w:rFonts w:hint="eastAsia"/>
                    </w:rPr>
                    <w:t>20</w:t>
                  </w:r>
                </w:p>
              </w:tc>
              <w:tc>
                <w:tcPr>
                  <w:tcW w:w="0" w:type="auto"/>
                  <w:vAlign w:val="center"/>
                </w:tcPr>
                <w:p w14:paraId="1AE885B4">
                  <w:pPr>
                    <w:pStyle w:val="52"/>
                    <w:spacing w:line="300" w:lineRule="exact"/>
                  </w:pPr>
                  <w:r>
                    <w:rPr>
                      <w:rFonts w:hint="eastAsia"/>
                    </w:rPr>
                    <w:t>搅拌包装废气排放口</w:t>
                  </w:r>
                </w:p>
              </w:tc>
              <w:tc>
                <w:tcPr>
                  <w:tcW w:w="0" w:type="auto"/>
                  <w:vAlign w:val="center"/>
                </w:tcPr>
                <w:p w14:paraId="655DFF23">
                  <w:pPr>
                    <w:pStyle w:val="52"/>
                    <w:spacing w:line="300" w:lineRule="exact"/>
                  </w:pPr>
                  <w:r>
                    <w:rPr>
                      <w:rFonts w:hint="eastAsia"/>
                    </w:rPr>
                    <w:t>一般排放口</w:t>
                  </w:r>
                </w:p>
              </w:tc>
            </w:tr>
            <w:tr w14:paraId="0281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76" w:type="dxa"/>
                  <w:vAlign w:val="center"/>
                </w:tcPr>
                <w:p w14:paraId="625CCE51">
                  <w:pPr>
                    <w:pStyle w:val="52"/>
                    <w:spacing w:line="300" w:lineRule="exact"/>
                  </w:pPr>
                  <w:r>
                    <w:rPr>
                      <w:rFonts w:hint="eastAsia"/>
                    </w:rPr>
                    <w:t>水泥筒仓</w:t>
                  </w:r>
                </w:p>
              </w:tc>
              <w:tc>
                <w:tcPr>
                  <w:tcW w:w="696" w:type="dxa"/>
                  <w:vAlign w:val="center"/>
                </w:tcPr>
                <w:p w14:paraId="1D63F463">
                  <w:pPr>
                    <w:pStyle w:val="52"/>
                    <w:spacing w:line="300" w:lineRule="exact"/>
                  </w:pPr>
                  <w:r>
                    <w:rPr>
                      <w:rFonts w:hint="eastAsia"/>
                    </w:rPr>
                    <w:t>DA002</w:t>
                  </w:r>
                </w:p>
              </w:tc>
              <w:tc>
                <w:tcPr>
                  <w:tcW w:w="568" w:type="dxa"/>
                  <w:vAlign w:val="center"/>
                </w:tcPr>
                <w:p w14:paraId="1EA33037">
                  <w:pPr>
                    <w:pStyle w:val="52"/>
                    <w:spacing w:line="300" w:lineRule="exact"/>
                  </w:pPr>
                  <w:r>
                    <w:rPr>
                      <w:rFonts w:hint="eastAsia"/>
                    </w:rPr>
                    <w:t>颗粒物</w:t>
                  </w:r>
                </w:p>
              </w:tc>
              <w:tc>
                <w:tcPr>
                  <w:tcW w:w="0" w:type="auto"/>
                  <w:vMerge w:val="continue"/>
                  <w:vAlign w:val="center"/>
                </w:tcPr>
                <w:p w14:paraId="757D74EF">
                  <w:pPr>
                    <w:pStyle w:val="52"/>
                    <w:spacing w:line="300" w:lineRule="exact"/>
                  </w:pPr>
                </w:p>
              </w:tc>
              <w:tc>
                <w:tcPr>
                  <w:tcW w:w="0" w:type="auto"/>
                  <w:vAlign w:val="center"/>
                </w:tcPr>
                <w:p w14:paraId="68FBF58D">
                  <w:pPr>
                    <w:pStyle w:val="52"/>
                    <w:spacing w:line="300" w:lineRule="exact"/>
                  </w:pPr>
                  <w:r>
                    <w:t>3000</w:t>
                  </w:r>
                </w:p>
              </w:tc>
              <w:tc>
                <w:tcPr>
                  <w:tcW w:w="0" w:type="auto"/>
                  <w:vAlign w:val="center"/>
                </w:tcPr>
                <w:p w14:paraId="2507FE76">
                  <w:pPr>
                    <w:spacing w:line="300" w:lineRule="exact"/>
                    <w:jc w:val="center"/>
                    <w:rPr>
                      <w:kern w:val="0"/>
                      <w:szCs w:val="21"/>
                    </w:rPr>
                  </w:pPr>
                  <w:r>
                    <w:rPr>
                      <w:szCs w:val="21"/>
                    </w:rPr>
                    <w:t>253</w:t>
                  </w:r>
                  <w:r>
                    <w:rPr>
                      <w:rFonts w:hint="eastAsia"/>
                      <w:szCs w:val="21"/>
                    </w:rPr>
                    <w:t>2</w:t>
                  </w:r>
                </w:p>
              </w:tc>
              <w:tc>
                <w:tcPr>
                  <w:tcW w:w="0" w:type="auto"/>
                  <w:vAlign w:val="center"/>
                </w:tcPr>
                <w:p w14:paraId="3EB9BF59">
                  <w:pPr>
                    <w:spacing w:line="300" w:lineRule="exact"/>
                    <w:jc w:val="center"/>
                    <w:rPr>
                      <w:kern w:val="0"/>
                      <w:szCs w:val="21"/>
                    </w:rPr>
                  </w:pPr>
                  <w:r>
                    <w:rPr>
                      <w:rFonts w:hint="eastAsia"/>
                      <w:szCs w:val="21"/>
                    </w:rPr>
                    <w:t>2.37</w:t>
                  </w:r>
                </w:p>
              </w:tc>
              <w:tc>
                <w:tcPr>
                  <w:tcW w:w="0" w:type="auto"/>
                  <w:vAlign w:val="center"/>
                </w:tcPr>
                <w:p w14:paraId="76EE81EF">
                  <w:pPr>
                    <w:pStyle w:val="52"/>
                    <w:spacing w:line="300" w:lineRule="exact"/>
                  </w:pPr>
                  <w:r>
                    <w:rPr>
                      <w:rFonts w:hint="eastAsia"/>
                    </w:rPr>
                    <w:t>1台仓顶布袋除尘器</w:t>
                  </w:r>
                </w:p>
              </w:tc>
              <w:tc>
                <w:tcPr>
                  <w:tcW w:w="0" w:type="auto"/>
                  <w:vAlign w:val="center"/>
                </w:tcPr>
                <w:p w14:paraId="36FBAE67">
                  <w:pPr>
                    <w:pStyle w:val="52"/>
                    <w:spacing w:line="300" w:lineRule="exact"/>
                  </w:pPr>
                  <w:r>
                    <w:rPr>
                      <w:rFonts w:hint="eastAsia"/>
                    </w:rPr>
                    <w:t>9</w:t>
                  </w:r>
                  <w:r>
                    <w:t>9.6</w:t>
                  </w:r>
                </w:p>
              </w:tc>
              <w:tc>
                <w:tcPr>
                  <w:tcW w:w="0" w:type="auto"/>
                  <w:vMerge w:val="continue"/>
                  <w:vAlign w:val="center"/>
                </w:tcPr>
                <w:p w14:paraId="705E7391">
                  <w:pPr>
                    <w:pStyle w:val="52"/>
                    <w:spacing w:line="300" w:lineRule="exact"/>
                  </w:pPr>
                </w:p>
              </w:tc>
              <w:tc>
                <w:tcPr>
                  <w:tcW w:w="0" w:type="auto"/>
                  <w:vAlign w:val="center"/>
                </w:tcPr>
                <w:p w14:paraId="72846CD2">
                  <w:pPr>
                    <w:pStyle w:val="52"/>
                    <w:spacing w:line="300" w:lineRule="exact"/>
                    <w:rPr>
                      <w:kern w:val="0"/>
                    </w:rPr>
                  </w:pPr>
                  <w:r>
                    <w:t>3000</w:t>
                  </w:r>
                </w:p>
              </w:tc>
              <w:tc>
                <w:tcPr>
                  <w:tcW w:w="0" w:type="auto"/>
                  <w:vAlign w:val="center"/>
                </w:tcPr>
                <w:p w14:paraId="5D4FAAE6">
                  <w:pPr>
                    <w:pStyle w:val="52"/>
                    <w:spacing w:line="300" w:lineRule="exact"/>
                    <w:rPr>
                      <w:kern w:val="0"/>
                    </w:rPr>
                  </w:pPr>
                  <w:r>
                    <w:t>10</w:t>
                  </w:r>
                </w:p>
              </w:tc>
              <w:tc>
                <w:tcPr>
                  <w:tcW w:w="0" w:type="auto"/>
                  <w:vAlign w:val="center"/>
                </w:tcPr>
                <w:p w14:paraId="545C2813">
                  <w:pPr>
                    <w:spacing w:line="300" w:lineRule="exact"/>
                    <w:jc w:val="center"/>
                    <w:rPr>
                      <w:kern w:val="0"/>
                      <w:szCs w:val="21"/>
                    </w:rPr>
                  </w:pPr>
                  <w:r>
                    <w:rPr>
                      <w:szCs w:val="21"/>
                    </w:rPr>
                    <w:t>0.0</w:t>
                  </w:r>
                  <w:r>
                    <w:rPr>
                      <w:rFonts w:hint="eastAsia"/>
                      <w:szCs w:val="21"/>
                    </w:rPr>
                    <w:t>1</w:t>
                  </w:r>
                </w:p>
              </w:tc>
              <w:tc>
                <w:tcPr>
                  <w:tcW w:w="0" w:type="auto"/>
                  <w:vAlign w:val="center"/>
                </w:tcPr>
                <w:p w14:paraId="6E7A37AB">
                  <w:pPr>
                    <w:spacing w:line="300" w:lineRule="exact"/>
                    <w:jc w:val="center"/>
                    <w:rPr>
                      <w:szCs w:val="21"/>
                    </w:rPr>
                  </w:pPr>
                  <w:r>
                    <w:rPr>
                      <w:rFonts w:hint="eastAsia"/>
                      <w:szCs w:val="21"/>
                    </w:rPr>
                    <w:t>312</w:t>
                  </w:r>
                </w:p>
              </w:tc>
              <w:tc>
                <w:tcPr>
                  <w:tcW w:w="529" w:type="dxa"/>
                  <w:vAlign w:val="center"/>
                </w:tcPr>
                <w:p w14:paraId="61B681FF">
                  <w:pPr>
                    <w:pStyle w:val="52"/>
                    <w:spacing w:line="300" w:lineRule="exact"/>
                  </w:pPr>
                  <w:r>
                    <w:rPr>
                      <w:rFonts w:hint="eastAsia"/>
                    </w:rPr>
                    <w:t>15</w:t>
                  </w:r>
                </w:p>
              </w:tc>
              <w:tc>
                <w:tcPr>
                  <w:tcW w:w="492" w:type="dxa"/>
                  <w:vAlign w:val="center"/>
                </w:tcPr>
                <w:p w14:paraId="31A5FC9D">
                  <w:pPr>
                    <w:pStyle w:val="52"/>
                    <w:spacing w:line="300" w:lineRule="exact"/>
                  </w:pPr>
                  <w:r>
                    <w:rPr>
                      <w:rFonts w:hint="eastAsia"/>
                    </w:rPr>
                    <w:t>0.</w:t>
                  </w:r>
                  <w:r>
                    <w:t>2</w:t>
                  </w:r>
                  <w:r>
                    <w:rPr>
                      <w:rFonts w:hint="eastAsia"/>
                    </w:rPr>
                    <w:t>5</w:t>
                  </w:r>
                </w:p>
              </w:tc>
              <w:tc>
                <w:tcPr>
                  <w:tcW w:w="645" w:type="dxa"/>
                  <w:vAlign w:val="center"/>
                </w:tcPr>
                <w:p w14:paraId="47D8D8DE">
                  <w:pPr>
                    <w:pStyle w:val="52"/>
                    <w:spacing w:line="300" w:lineRule="exact"/>
                  </w:pPr>
                  <w:r>
                    <w:rPr>
                      <w:rFonts w:hint="eastAsia"/>
                    </w:rPr>
                    <w:t>20</w:t>
                  </w:r>
                </w:p>
              </w:tc>
              <w:tc>
                <w:tcPr>
                  <w:tcW w:w="0" w:type="auto"/>
                  <w:vAlign w:val="center"/>
                </w:tcPr>
                <w:p w14:paraId="6504A193">
                  <w:pPr>
                    <w:pStyle w:val="52"/>
                    <w:spacing w:line="300" w:lineRule="exact"/>
                  </w:pPr>
                  <w:r>
                    <w:rPr>
                      <w:rFonts w:hint="eastAsia"/>
                    </w:rPr>
                    <w:t>水泥仓废气排放口</w:t>
                  </w:r>
                </w:p>
              </w:tc>
              <w:tc>
                <w:tcPr>
                  <w:tcW w:w="0" w:type="auto"/>
                  <w:vAlign w:val="center"/>
                </w:tcPr>
                <w:p w14:paraId="7DB777F0">
                  <w:pPr>
                    <w:pStyle w:val="52"/>
                    <w:spacing w:line="300" w:lineRule="exact"/>
                  </w:pPr>
                  <w:r>
                    <w:rPr>
                      <w:rFonts w:hint="eastAsia"/>
                    </w:rPr>
                    <w:t>一般排放口</w:t>
                  </w:r>
                </w:p>
              </w:tc>
            </w:tr>
            <w:tr w14:paraId="4828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76" w:type="dxa"/>
                  <w:vAlign w:val="center"/>
                </w:tcPr>
                <w:p w14:paraId="31FB3221">
                  <w:pPr>
                    <w:pStyle w:val="52"/>
                    <w:spacing w:line="300" w:lineRule="exact"/>
                  </w:pPr>
                  <w:r>
                    <w:rPr>
                      <w:rFonts w:hint="eastAsia"/>
                    </w:rPr>
                    <w:t>粉煤灰（矿渣粉）筒仓</w:t>
                  </w:r>
                </w:p>
              </w:tc>
              <w:tc>
                <w:tcPr>
                  <w:tcW w:w="696" w:type="dxa"/>
                  <w:vAlign w:val="center"/>
                </w:tcPr>
                <w:p w14:paraId="0CBED83D">
                  <w:pPr>
                    <w:pStyle w:val="52"/>
                    <w:spacing w:line="300" w:lineRule="exact"/>
                  </w:pPr>
                  <w:r>
                    <w:rPr>
                      <w:rFonts w:hint="eastAsia"/>
                    </w:rPr>
                    <w:t>DA0</w:t>
                  </w:r>
                  <w:r>
                    <w:t>03</w:t>
                  </w:r>
                </w:p>
              </w:tc>
              <w:tc>
                <w:tcPr>
                  <w:tcW w:w="568" w:type="dxa"/>
                  <w:vAlign w:val="center"/>
                </w:tcPr>
                <w:p w14:paraId="107A41C7">
                  <w:pPr>
                    <w:pStyle w:val="52"/>
                    <w:spacing w:line="300" w:lineRule="exact"/>
                  </w:pPr>
                  <w:r>
                    <w:rPr>
                      <w:rFonts w:hint="eastAsia"/>
                    </w:rPr>
                    <w:t>颗粒物</w:t>
                  </w:r>
                </w:p>
              </w:tc>
              <w:tc>
                <w:tcPr>
                  <w:tcW w:w="0" w:type="auto"/>
                  <w:vMerge w:val="continue"/>
                  <w:vAlign w:val="center"/>
                </w:tcPr>
                <w:p w14:paraId="3D3A29D0">
                  <w:pPr>
                    <w:pStyle w:val="52"/>
                    <w:spacing w:line="300" w:lineRule="exact"/>
                  </w:pPr>
                </w:p>
              </w:tc>
              <w:tc>
                <w:tcPr>
                  <w:tcW w:w="0" w:type="auto"/>
                  <w:vAlign w:val="center"/>
                </w:tcPr>
                <w:p w14:paraId="7B62E514">
                  <w:pPr>
                    <w:pStyle w:val="52"/>
                    <w:spacing w:line="300" w:lineRule="exact"/>
                  </w:pPr>
                  <w:r>
                    <w:t>3000</w:t>
                  </w:r>
                </w:p>
              </w:tc>
              <w:tc>
                <w:tcPr>
                  <w:tcW w:w="0" w:type="auto"/>
                  <w:vAlign w:val="center"/>
                </w:tcPr>
                <w:p w14:paraId="1BFB2C46">
                  <w:pPr>
                    <w:spacing w:line="300" w:lineRule="exact"/>
                    <w:jc w:val="center"/>
                    <w:rPr>
                      <w:szCs w:val="21"/>
                    </w:rPr>
                  </w:pPr>
                  <w:r>
                    <w:rPr>
                      <w:szCs w:val="21"/>
                    </w:rPr>
                    <w:t>25</w:t>
                  </w:r>
                  <w:r>
                    <w:rPr>
                      <w:rFonts w:hint="eastAsia"/>
                      <w:szCs w:val="21"/>
                    </w:rPr>
                    <w:t>00</w:t>
                  </w:r>
                </w:p>
              </w:tc>
              <w:tc>
                <w:tcPr>
                  <w:tcW w:w="0" w:type="auto"/>
                  <w:vAlign w:val="center"/>
                </w:tcPr>
                <w:p w14:paraId="0DDE4496">
                  <w:pPr>
                    <w:spacing w:line="300" w:lineRule="exact"/>
                    <w:jc w:val="center"/>
                    <w:rPr>
                      <w:szCs w:val="21"/>
                    </w:rPr>
                  </w:pPr>
                  <w:r>
                    <w:rPr>
                      <w:rFonts w:hint="eastAsia"/>
                      <w:szCs w:val="21"/>
                    </w:rPr>
                    <w:t>0.54</w:t>
                  </w:r>
                </w:p>
              </w:tc>
              <w:tc>
                <w:tcPr>
                  <w:tcW w:w="0" w:type="auto"/>
                  <w:vAlign w:val="center"/>
                </w:tcPr>
                <w:p w14:paraId="22F9E917">
                  <w:pPr>
                    <w:pStyle w:val="52"/>
                    <w:spacing w:line="300" w:lineRule="exact"/>
                  </w:pPr>
                  <w:r>
                    <w:rPr>
                      <w:rFonts w:hint="eastAsia"/>
                    </w:rPr>
                    <w:t>1台仓顶布袋除尘器</w:t>
                  </w:r>
                </w:p>
              </w:tc>
              <w:tc>
                <w:tcPr>
                  <w:tcW w:w="0" w:type="auto"/>
                  <w:vAlign w:val="center"/>
                </w:tcPr>
                <w:p w14:paraId="686FCC7A">
                  <w:pPr>
                    <w:pStyle w:val="52"/>
                    <w:spacing w:line="300" w:lineRule="exact"/>
                  </w:pPr>
                  <w:r>
                    <w:rPr>
                      <w:rFonts w:hint="eastAsia"/>
                    </w:rPr>
                    <w:t>9</w:t>
                  </w:r>
                  <w:r>
                    <w:t>9.6</w:t>
                  </w:r>
                </w:p>
              </w:tc>
              <w:tc>
                <w:tcPr>
                  <w:tcW w:w="0" w:type="auto"/>
                  <w:vMerge w:val="continue"/>
                  <w:vAlign w:val="center"/>
                </w:tcPr>
                <w:p w14:paraId="24045C35">
                  <w:pPr>
                    <w:pStyle w:val="52"/>
                    <w:spacing w:line="300" w:lineRule="exact"/>
                  </w:pPr>
                </w:p>
              </w:tc>
              <w:tc>
                <w:tcPr>
                  <w:tcW w:w="0" w:type="auto"/>
                  <w:vAlign w:val="center"/>
                </w:tcPr>
                <w:p w14:paraId="565228B5">
                  <w:pPr>
                    <w:pStyle w:val="52"/>
                    <w:spacing w:line="300" w:lineRule="exact"/>
                  </w:pPr>
                  <w:r>
                    <w:t>3000</w:t>
                  </w:r>
                </w:p>
              </w:tc>
              <w:tc>
                <w:tcPr>
                  <w:tcW w:w="0" w:type="auto"/>
                  <w:vAlign w:val="center"/>
                </w:tcPr>
                <w:p w14:paraId="28F07E39">
                  <w:pPr>
                    <w:pStyle w:val="52"/>
                    <w:spacing w:line="300" w:lineRule="exact"/>
                  </w:pPr>
                  <w:r>
                    <w:t>10</w:t>
                  </w:r>
                </w:p>
              </w:tc>
              <w:tc>
                <w:tcPr>
                  <w:tcW w:w="0" w:type="auto"/>
                  <w:vAlign w:val="center"/>
                </w:tcPr>
                <w:p w14:paraId="2D271BB6">
                  <w:pPr>
                    <w:spacing w:line="300" w:lineRule="exact"/>
                    <w:jc w:val="center"/>
                    <w:rPr>
                      <w:szCs w:val="21"/>
                    </w:rPr>
                  </w:pPr>
                  <w:r>
                    <w:rPr>
                      <w:szCs w:val="21"/>
                    </w:rPr>
                    <w:t>0.0</w:t>
                  </w:r>
                  <w:r>
                    <w:rPr>
                      <w:rFonts w:hint="eastAsia"/>
                      <w:szCs w:val="21"/>
                    </w:rPr>
                    <w:t>02</w:t>
                  </w:r>
                </w:p>
              </w:tc>
              <w:tc>
                <w:tcPr>
                  <w:tcW w:w="0" w:type="auto"/>
                  <w:vAlign w:val="center"/>
                </w:tcPr>
                <w:p w14:paraId="505EE823">
                  <w:pPr>
                    <w:spacing w:line="300" w:lineRule="exact"/>
                    <w:jc w:val="center"/>
                    <w:rPr>
                      <w:szCs w:val="21"/>
                    </w:rPr>
                  </w:pPr>
                  <w:r>
                    <w:rPr>
                      <w:rFonts w:hint="eastAsia"/>
                      <w:szCs w:val="21"/>
                    </w:rPr>
                    <w:t>72</w:t>
                  </w:r>
                </w:p>
              </w:tc>
              <w:tc>
                <w:tcPr>
                  <w:tcW w:w="529" w:type="dxa"/>
                  <w:vAlign w:val="center"/>
                </w:tcPr>
                <w:p w14:paraId="63FC6A71">
                  <w:pPr>
                    <w:pStyle w:val="52"/>
                    <w:spacing w:line="300" w:lineRule="exact"/>
                  </w:pPr>
                  <w:r>
                    <w:rPr>
                      <w:rFonts w:hint="eastAsia"/>
                    </w:rPr>
                    <w:t>15</w:t>
                  </w:r>
                </w:p>
              </w:tc>
              <w:tc>
                <w:tcPr>
                  <w:tcW w:w="492" w:type="dxa"/>
                  <w:vAlign w:val="center"/>
                </w:tcPr>
                <w:p w14:paraId="658C682F">
                  <w:pPr>
                    <w:pStyle w:val="52"/>
                    <w:spacing w:line="300" w:lineRule="exact"/>
                  </w:pPr>
                  <w:r>
                    <w:rPr>
                      <w:rFonts w:hint="eastAsia"/>
                    </w:rPr>
                    <w:t>0.</w:t>
                  </w:r>
                  <w:r>
                    <w:t>2</w:t>
                  </w:r>
                  <w:r>
                    <w:rPr>
                      <w:rFonts w:hint="eastAsia"/>
                    </w:rPr>
                    <w:t>5</w:t>
                  </w:r>
                </w:p>
              </w:tc>
              <w:tc>
                <w:tcPr>
                  <w:tcW w:w="645" w:type="dxa"/>
                  <w:vAlign w:val="center"/>
                </w:tcPr>
                <w:p w14:paraId="5685CBEF">
                  <w:pPr>
                    <w:pStyle w:val="52"/>
                    <w:spacing w:line="300" w:lineRule="exact"/>
                  </w:pPr>
                  <w:r>
                    <w:rPr>
                      <w:rFonts w:hint="eastAsia"/>
                    </w:rPr>
                    <w:t>20</w:t>
                  </w:r>
                </w:p>
              </w:tc>
              <w:tc>
                <w:tcPr>
                  <w:tcW w:w="0" w:type="auto"/>
                  <w:vAlign w:val="center"/>
                </w:tcPr>
                <w:p w14:paraId="65ED6923">
                  <w:pPr>
                    <w:pStyle w:val="52"/>
                    <w:spacing w:line="300" w:lineRule="exact"/>
                  </w:pPr>
                  <w:r>
                    <w:rPr>
                      <w:rFonts w:hint="eastAsia"/>
                    </w:rPr>
                    <w:t>粉煤灰（矿渣粉）仓废气排放口</w:t>
                  </w:r>
                </w:p>
              </w:tc>
              <w:tc>
                <w:tcPr>
                  <w:tcW w:w="0" w:type="auto"/>
                  <w:vAlign w:val="center"/>
                </w:tcPr>
                <w:p w14:paraId="5FE75155">
                  <w:pPr>
                    <w:pStyle w:val="52"/>
                    <w:spacing w:line="300" w:lineRule="exact"/>
                  </w:pPr>
                  <w:r>
                    <w:rPr>
                      <w:rFonts w:hint="eastAsia"/>
                    </w:rPr>
                    <w:t>一般排放口</w:t>
                  </w:r>
                </w:p>
              </w:tc>
            </w:tr>
            <w:tr w14:paraId="49DF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72" w:type="dxa"/>
                  <w:gridSpan w:val="2"/>
                  <w:vAlign w:val="center"/>
                </w:tcPr>
                <w:p w14:paraId="4664EA80">
                  <w:pPr>
                    <w:pStyle w:val="52"/>
                    <w:spacing w:line="300" w:lineRule="exact"/>
                  </w:pPr>
                  <w:r>
                    <w:rPr>
                      <w:rFonts w:hint="eastAsia"/>
                    </w:rPr>
                    <w:t>合计</w:t>
                  </w:r>
                </w:p>
              </w:tc>
              <w:tc>
                <w:tcPr>
                  <w:tcW w:w="568" w:type="dxa"/>
                  <w:vAlign w:val="center"/>
                </w:tcPr>
                <w:p w14:paraId="288514E8">
                  <w:pPr>
                    <w:pStyle w:val="52"/>
                    <w:spacing w:line="300" w:lineRule="exact"/>
                  </w:pPr>
                  <w:r>
                    <w:rPr>
                      <w:rFonts w:hint="eastAsia"/>
                    </w:rPr>
                    <w:t>颗粒物</w:t>
                  </w:r>
                </w:p>
              </w:tc>
              <w:tc>
                <w:tcPr>
                  <w:tcW w:w="0" w:type="auto"/>
                  <w:vAlign w:val="center"/>
                </w:tcPr>
                <w:p w14:paraId="147FCB0C">
                  <w:pPr>
                    <w:pStyle w:val="52"/>
                    <w:spacing w:line="300" w:lineRule="exact"/>
                    <w:rPr>
                      <w:rFonts w:cs="宋体"/>
                    </w:rPr>
                  </w:pPr>
                  <w:r>
                    <w:rPr>
                      <w:rFonts w:hint="eastAsia"/>
                    </w:rPr>
                    <w:t>/</w:t>
                  </w:r>
                </w:p>
              </w:tc>
              <w:tc>
                <w:tcPr>
                  <w:tcW w:w="0" w:type="auto"/>
                  <w:vAlign w:val="center"/>
                </w:tcPr>
                <w:p w14:paraId="059D38C5">
                  <w:pPr>
                    <w:pStyle w:val="52"/>
                    <w:spacing w:line="300" w:lineRule="exact"/>
                  </w:pPr>
                  <w:r>
                    <w:rPr>
                      <w:rFonts w:hint="eastAsia"/>
                    </w:rPr>
                    <w:t>/</w:t>
                  </w:r>
                </w:p>
              </w:tc>
              <w:tc>
                <w:tcPr>
                  <w:tcW w:w="0" w:type="auto"/>
                  <w:vAlign w:val="center"/>
                </w:tcPr>
                <w:p w14:paraId="7B9793E3">
                  <w:pPr>
                    <w:pStyle w:val="52"/>
                    <w:spacing w:line="300" w:lineRule="exact"/>
                  </w:pPr>
                  <w:r>
                    <w:rPr>
                      <w:rFonts w:hint="eastAsia"/>
                    </w:rPr>
                    <w:t>/</w:t>
                  </w:r>
                </w:p>
              </w:tc>
              <w:tc>
                <w:tcPr>
                  <w:tcW w:w="0" w:type="auto"/>
                  <w:vAlign w:val="center"/>
                </w:tcPr>
                <w:p w14:paraId="01115FC2">
                  <w:pPr>
                    <w:pStyle w:val="52"/>
                    <w:spacing w:line="300" w:lineRule="exact"/>
                    <w:rPr>
                      <w:kern w:val="0"/>
                    </w:rPr>
                  </w:pPr>
                  <w:r>
                    <w:rPr>
                      <w:rFonts w:hint="eastAsia"/>
                      <w:kern w:val="0"/>
                    </w:rPr>
                    <w:t>29.06</w:t>
                  </w:r>
                </w:p>
              </w:tc>
              <w:tc>
                <w:tcPr>
                  <w:tcW w:w="0" w:type="auto"/>
                  <w:vAlign w:val="center"/>
                </w:tcPr>
                <w:p w14:paraId="1293455C">
                  <w:pPr>
                    <w:pStyle w:val="52"/>
                    <w:spacing w:line="300" w:lineRule="exact"/>
                  </w:pPr>
                  <w:r>
                    <w:rPr>
                      <w:rFonts w:hint="eastAsia"/>
                    </w:rPr>
                    <w:t>/</w:t>
                  </w:r>
                </w:p>
              </w:tc>
              <w:tc>
                <w:tcPr>
                  <w:tcW w:w="0" w:type="auto"/>
                  <w:vAlign w:val="center"/>
                </w:tcPr>
                <w:p w14:paraId="36D89086">
                  <w:pPr>
                    <w:pStyle w:val="52"/>
                    <w:spacing w:line="300" w:lineRule="exact"/>
                  </w:pPr>
                  <w:r>
                    <w:rPr>
                      <w:rFonts w:hint="eastAsia"/>
                    </w:rPr>
                    <w:t>/</w:t>
                  </w:r>
                </w:p>
              </w:tc>
              <w:tc>
                <w:tcPr>
                  <w:tcW w:w="0" w:type="auto"/>
                  <w:vAlign w:val="center"/>
                </w:tcPr>
                <w:p w14:paraId="2D2D2934">
                  <w:pPr>
                    <w:pStyle w:val="52"/>
                    <w:spacing w:line="300" w:lineRule="exact"/>
                  </w:pPr>
                  <w:r>
                    <w:rPr>
                      <w:rFonts w:hint="eastAsia"/>
                    </w:rPr>
                    <w:t>/</w:t>
                  </w:r>
                </w:p>
              </w:tc>
              <w:tc>
                <w:tcPr>
                  <w:tcW w:w="0" w:type="auto"/>
                  <w:vAlign w:val="center"/>
                </w:tcPr>
                <w:p w14:paraId="38927AD2">
                  <w:pPr>
                    <w:pStyle w:val="52"/>
                    <w:spacing w:line="300" w:lineRule="exact"/>
                  </w:pPr>
                  <w:r>
                    <w:rPr>
                      <w:rFonts w:hint="eastAsia"/>
                    </w:rPr>
                    <w:t>/</w:t>
                  </w:r>
                </w:p>
              </w:tc>
              <w:tc>
                <w:tcPr>
                  <w:tcW w:w="0" w:type="auto"/>
                  <w:vAlign w:val="center"/>
                </w:tcPr>
                <w:p w14:paraId="667E9657">
                  <w:pPr>
                    <w:pStyle w:val="52"/>
                    <w:spacing w:line="300" w:lineRule="exact"/>
                  </w:pPr>
                  <w:r>
                    <w:rPr>
                      <w:rFonts w:hint="eastAsia"/>
                    </w:rPr>
                    <w:t>/</w:t>
                  </w:r>
                </w:p>
              </w:tc>
              <w:tc>
                <w:tcPr>
                  <w:tcW w:w="0" w:type="auto"/>
                  <w:vAlign w:val="center"/>
                </w:tcPr>
                <w:p w14:paraId="215A6F75">
                  <w:pPr>
                    <w:pStyle w:val="52"/>
                    <w:spacing w:line="300" w:lineRule="exact"/>
                    <w:rPr>
                      <w:kern w:val="0"/>
                    </w:rPr>
                  </w:pPr>
                  <w:r>
                    <w:rPr>
                      <w:rFonts w:hint="eastAsia"/>
                    </w:rPr>
                    <w:t>0.852</w:t>
                  </w:r>
                </w:p>
              </w:tc>
              <w:tc>
                <w:tcPr>
                  <w:tcW w:w="0" w:type="auto"/>
                  <w:vAlign w:val="center"/>
                </w:tcPr>
                <w:p w14:paraId="2572ABE7">
                  <w:pPr>
                    <w:pStyle w:val="52"/>
                    <w:spacing w:line="300" w:lineRule="exact"/>
                  </w:pPr>
                  <w:r>
                    <w:rPr>
                      <w:rFonts w:hint="eastAsia"/>
                    </w:rPr>
                    <w:t>/</w:t>
                  </w:r>
                </w:p>
              </w:tc>
              <w:tc>
                <w:tcPr>
                  <w:tcW w:w="529" w:type="dxa"/>
                  <w:vAlign w:val="center"/>
                </w:tcPr>
                <w:p w14:paraId="3B3992F0">
                  <w:pPr>
                    <w:pStyle w:val="52"/>
                    <w:spacing w:line="300" w:lineRule="exact"/>
                  </w:pPr>
                  <w:r>
                    <w:rPr>
                      <w:rFonts w:hint="eastAsia"/>
                    </w:rPr>
                    <w:t>/</w:t>
                  </w:r>
                </w:p>
              </w:tc>
              <w:tc>
                <w:tcPr>
                  <w:tcW w:w="492" w:type="dxa"/>
                  <w:vAlign w:val="center"/>
                </w:tcPr>
                <w:p w14:paraId="2AC6C8BF">
                  <w:pPr>
                    <w:pStyle w:val="52"/>
                    <w:spacing w:line="300" w:lineRule="exact"/>
                  </w:pPr>
                  <w:r>
                    <w:rPr>
                      <w:rFonts w:hint="eastAsia"/>
                    </w:rPr>
                    <w:t>/</w:t>
                  </w:r>
                </w:p>
              </w:tc>
              <w:tc>
                <w:tcPr>
                  <w:tcW w:w="645" w:type="dxa"/>
                  <w:vAlign w:val="center"/>
                </w:tcPr>
                <w:p w14:paraId="27100CC6">
                  <w:pPr>
                    <w:pStyle w:val="52"/>
                    <w:spacing w:line="300" w:lineRule="exact"/>
                  </w:pPr>
                  <w:r>
                    <w:rPr>
                      <w:rFonts w:hint="eastAsia"/>
                    </w:rPr>
                    <w:t>/</w:t>
                  </w:r>
                </w:p>
              </w:tc>
              <w:tc>
                <w:tcPr>
                  <w:tcW w:w="0" w:type="auto"/>
                  <w:vAlign w:val="center"/>
                </w:tcPr>
                <w:p w14:paraId="2DC6C30D">
                  <w:pPr>
                    <w:pStyle w:val="52"/>
                    <w:spacing w:line="300" w:lineRule="exact"/>
                  </w:pPr>
                  <w:r>
                    <w:rPr>
                      <w:rFonts w:hint="eastAsia"/>
                    </w:rPr>
                    <w:t>/</w:t>
                  </w:r>
                </w:p>
              </w:tc>
              <w:tc>
                <w:tcPr>
                  <w:tcW w:w="0" w:type="auto"/>
                  <w:vAlign w:val="center"/>
                </w:tcPr>
                <w:p w14:paraId="3D358943">
                  <w:pPr>
                    <w:pStyle w:val="52"/>
                    <w:spacing w:line="300" w:lineRule="exact"/>
                  </w:pPr>
                  <w:r>
                    <w:rPr>
                      <w:rFonts w:hint="eastAsia"/>
                    </w:rPr>
                    <w:t>/</w:t>
                  </w:r>
                </w:p>
              </w:tc>
            </w:tr>
          </w:tbl>
          <w:p w14:paraId="24981951"/>
          <w:bookmarkEnd w:id="73"/>
          <w:p w14:paraId="7A0FF63D">
            <w:pPr>
              <w:pStyle w:val="19"/>
              <w:ind w:firstLine="480"/>
            </w:pPr>
          </w:p>
          <w:p w14:paraId="51667CBE">
            <w:pPr>
              <w:pStyle w:val="61"/>
              <w:ind w:firstLine="210"/>
            </w:pPr>
          </w:p>
          <w:p w14:paraId="63CC6528">
            <w:pPr>
              <w:pStyle w:val="108"/>
            </w:pPr>
          </w:p>
          <w:p w14:paraId="33518B18"/>
          <w:p w14:paraId="5A51F035"/>
          <w:p w14:paraId="14790EF4"/>
          <w:p w14:paraId="033F5720"/>
          <w:p w14:paraId="2FFE07BF"/>
          <w:p w14:paraId="3F7BE8CE">
            <w:pPr>
              <w:pStyle w:val="19"/>
              <w:ind w:firstLine="480"/>
            </w:pPr>
          </w:p>
          <w:p w14:paraId="0F9EFD15">
            <w:pPr>
              <w:pStyle w:val="19"/>
              <w:ind w:firstLine="480"/>
            </w:pPr>
          </w:p>
          <w:p w14:paraId="615FC4BA">
            <w:pPr>
              <w:pStyle w:val="61"/>
              <w:ind w:firstLine="210"/>
            </w:pPr>
          </w:p>
          <w:p w14:paraId="320AF2F5">
            <w:pPr>
              <w:pStyle w:val="108"/>
            </w:pPr>
          </w:p>
        </w:tc>
      </w:tr>
    </w:tbl>
    <w:p w14:paraId="40611539">
      <w:pPr>
        <w:spacing w:line="60" w:lineRule="exact"/>
      </w:pPr>
    </w:p>
    <w:p w14:paraId="677815A7">
      <w:pPr>
        <w:spacing w:line="60" w:lineRule="exact"/>
      </w:pPr>
    </w:p>
    <w:p w14:paraId="04E3A1BB">
      <w:pPr>
        <w:spacing w:line="60" w:lineRule="exact"/>
        <w:sectPr>
          <w:pgSz w:w="16838" w:h="11906" w:orient="landscape"/>
          <w:pgMar w:top="1134" w:right="1701" w:bottom="1077" w:left="1871" w:header="851" w:footer="624" w:gutter="0"/>
          <w:cols w:space="720" w:num="1"/>
          <w:docGrid w:linePitch="312" w:charSpace="0"/>
        </w:sectPr>
      </w:pPr>
    </w:p>
    <w:tbl>
      <w:tblPr>
        <w:tblStyle w:val="2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5"/>
        <w:gridCol w:w="8560"/>
      </w:tblGrid>
      <w:tr w14:paraId="4DCC1E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3" w:type="dxa"/>
            <w:tcMar>
              <w:left w:w="28" w:type="dxa"/>
              <w:right w:w="28" w:type="dxa"/>
            </w:tcMar>
            <w:vAlign w:val="center"/>
          </w:tcPr>
          <w:p w14:paraId="2BC0324A">
            <w:pPr>
              <w:adjustRightInd w:val="0"/>
              <w:snapToGrid w:val="0"/>
              <w:jc w:val="center"/>
              <w:rPr>
                <w:rFonts w:cs="宋体"/>
                <w:bCs/>
                <w:szCs w:val="21"/>
              </w:rPr>
            </w:pPr>
            <w:r>
              <w:rPr>
                <w:rFonts w:hint="eastAsia" w:cs="宋体"/>
                <w:bCs/>
                <w:szCs w:val="21"/>
              </w:rPr>
              <w:t>运营</w:t>
            </w:r>
          </w:p>
          <w:p w14:paraId="075612EF">
            <w:pPr>
              <w:adjustRightInd w:val="0"/>
              <w:snapToGrid w:val="0"/>
              <w:jc w:val="center"/>
              <w:rPr>
                <w:rFonts w:cs="宋体"/>
                <w:bCs/>
                <w:szCs w:val="21"/>
              </w:rPr>
            </w:pPr>
            <w:r>
              <w:rPr>
                <w:rFonts w:hint="eastAsia" w:cs="宋体"/>
                <w:bCs/>
                <w:szCs w:val="21"/>
              </w:rPr>
              <w:t>期环</w:t>
            </w:r>
          </w:p>
          <w:p w14:paraId="0C210A55">
            <w:pPr>
              <w:adjustRightInd w:val="0"/>
              <w:snapToGrid w:val="0"/>
              <w:jc w:val="center"/>
              <w:rPr>
                <w:rFonts w:cs="宋体"/>
                <w:bCs/>
                <w:szCs w:val="21"/>
              </w:rPr>
            </w:pPr>
            <w:r>
              <w:rPr>
                <w:rFonts w:hint="eastAsia" w:cs="宋体"/>
                <w:bCs/>
                <w:szCs w:val="21"/>
              </w:rPr>
              <w:t>境影</w:t>
            </w:r>
          </w:p>
          <w:p w14:paraId="6A96187F">
            <w:pPr>
              <w:adjustRightInd w:val="0"/>
              <w:snapToGrid w:val="0"/>
              <w:jc w:val="center"/>
              <w:rPr>
                <w:rFonts w:cs="宋体"/>
                <w:bCs/>
                <w:szCs w:val="21"/>
              </w:rPr>
            </w:pPr>
            <w:r>
              <w:rPr>
                <w:rFonts w:hint="eastAsia" w:cs="宋体"/>
                <w:bCs/>
                <w:szCs w:val="21"/>
              </w:rPr>
              <w:t>响和</w:t>
            </w:r>
          </w:p>
          <w:p w14:paraId="1B36B421">
            <w:pPr>
              <w:adjustRightInd w:val="0"/>
              <w:snapToGrid w:val="0"/>
              <w:jc w:val="center"/>
              <w:rPr>
                <w:rFonts w:cs="宋体"/>
                <w:bCs/>
                <w:szCs w:val="21"/>
              </w:rPr>
            </w:pPr>
            <w:r>
              <w:rPr>
                <w:rFonts w:hint="eastAsia" w:cs="宋体"/>
                <w:bCs/>
                <w:szCs w:val="21"/>
              </w:rPr>
              <w:t>保护</w:t>
            </w:r>
          </w:p>
          <w:p w14:paraId="1CA9105C">
            <w:pPr>
              <w:adjustRightInd w:val="0"/>
              <w:snapToGrid w:val="0"/>
              <w:jc w:val="center"/>
              <w:rPr>
                <w:rFonts w:cs="宋体"/>
                <w:bCs/>
                <w:szCs w:val="21"/>
              </w:rPr>
            </w:pPr>
            <w:r>
              <w:rPr>
                <w:rFonts w:hint="eastAsia" w:cs="宋体"/>
                <w:bCs/>
                <w:szCs w:val="21"/>
              </w:rPr>
              <w:t>措施</w:t>
            </w:r>
          </w:p>
        </w:tc>
        <w:tc>
          <w:tcPr>
            <w:tcW w:w="8532" w:type="dxa"/>
            <w:vAlign w:val="center"/>
          </w:tcPr>
          <w:p w14:paraId="1CE56002">
            <w:pPr>
              <w:pStyle w:val="68"/>
              <w:spacing w:line="440" w:lineRule="exact"/>
              <w:ind w:firstLine="0" w:firstLineChars="0"/>
              <w:rPr>
                <w:color w:val="000000"/>
                <w:sz w:val="24"/>
                <w:szCs w:val="24"/>
              </w:rPr>
            </w:pPr>
            <w:bookmarkStart w:id="74" w:name="_Hlk238645008"/>
            <w:bookmarkStart w:id="75" w:name="_Hlk238645122"/>
            <w:r>
              <w:rPr>
                <w:rFonts w:hint="eastAsia"/>
                <w:color w:val="000000"/>
                <w:sz w:val="24"/>
                <w:szCs w:val="24"/>
              </w:rPr>
              <w:t>滤面积62.50m</w:t>
            </w:r>
            <w:r>
              <w:rPr>
                <w:rFonts w:hint="eastAsia"/>
                <w:color w:val="000000"/>
                <w:sz w:val="24"/>
                <w:szCs w:val="24"/>
                <w:vertAlign w:val="superscript"/>
              </w:rPr>
              <w:t>2</w:t>
            </w:r>
            <w:r>
              <w:rPr>
                <w:rFonts w:hint="eastAsia"/>
                <w:color w:val="000000"/>
                <w:sz w:val="24"/>
                <w:szCs w:val="24"/>
              </w:rPr>
              <w:t>，滤袋材质为覆膜涤纶针刺过滤毡，采用针刺成型工艺将涤纶纤维交织成致密毡体，形成基材；再通过特殊复合工艺将PTFE薄膜紧密覆合于毡体表面，最终制成兼具高过滤精度与低阻力的过滤材料。属于《污染源源强核算技术指南 水泥工业》（HJ1292—2023）附录C，以及《排污许可证申请与核发技术规范 水泥工业》（HJ 847—2017）中推荐的污染物防治可行技术。处理后粉尘排放浓度均可控制在10mg/m</w:t>
            </w:r>
            <w:r>
              <w:rPr>
                <w:rFonts w:hint="eastAsia"/>
                <w:color w:val="000000"/>
                <w:sz w:val="24"/>
                <w:szCs w:val="24"/>
                <w:vertAlign w:val="superscript"/>
              </w:rPr>
              <w:t>3</w:t>
            </w:r>
            <w:r>
              <w:rPr>
                <w:rFonts w:hint="eastAsia"/>
                <w:color w:val="000000"/>
                <w:sz w:val="24"/>
                <w:szCs w:val="24"/>
              </w:rPr>
              <w:t>以下。</w:t>
            </w:r>
          </w:p>
          <w:p w14:paraId="26A0E440">
            <w:pPr>
              <w:pStyle w:val="68"/>
              <w:spacing w:line="440" w:lineRule="exact"/>
              <w:ind w:firstLine="480"/>
              <w:rPr>
                <w:sz w:val="24"/>
                <w:szCs w:val="24"/>
              </w:rPr>
            </w:pPr>
            <w:r>
              <w:rPr>
                <w:rFonts w:hint="eastAsia"/>
                <w:sz w:val="24"/>
                <w:szCs w:val="24"/>
              </w:rPr>
              <w:t>本项目粉煤灰年用量为165</w:t>
            </w:r>
            <w:r>
              <w:rPr>
                <w:sz w:val="24"/>
                <w:szCs w:val="24"/>
              </w:rPr>
              <w:t>0</w:t>
            </w:r>
            <w:r>
              <w:rPr>
                <w:rFonts w:hint="eastAsia"/>
                <w:sz w:val="24"/>
                <w:szCs w:val="24"/>
              </w:rPr>
              <w:t>t，矿渣粉年用量为1200t，该仓年储存粉料量为2850t；参照《排放源统计调查产排污核算方法和系数手册》，“3021水泥制品制造行业系数表－水泥、砂子、石子、钢筋等原料－物料输送储存工序－颗粒物产污系数：0.19千克/吨－产品”，参照该系数计算，本项目多功能筒仓颗粒物产尘量为0.54t/a。</w:t>
            </w:r>
          </w:p>
          <w:p w14:paraId="05613595">
            <w:pPr>
              <w:spacing w:line="440" w:lineRule="exact"/>
              <w:ind w:firstLine="480" w:firstLineChars="200"/>
              <w:rPr>
                <w:sz w:val="24"/>
                <w:szCs w:val="32"/>
              </w:rPr>
            </w:pPr>
            <w:bookmarkStart w:id="76" w:name="_Hlk239063155"/>
            <w:r>
              <w:rPr>
                <w:rFonts w:hint="eastAsia"/>
                <w:sz w:val="24"/>
              </w:rPr>
              <w:t>类比同类企业数据，</w:t>
            </w:r>
            <w:r>
              <w:rPr>
                <w:sz w:val="24"/>
              </w:rPr>
              <w:t>每吨粉</w:t>
            </w:r>
            <w:r>
              <w:rPr>
                <w:rFonts w:hint="eastAsia"/>
                <w:sz w:val="24"/>
              </w:rPr>
              <w:t>料</w:t>
            </w:r>
            <w:r>
              <w:rPr>
                <w:sz w:val="24"/>
              </w:rPr>
              <w:t>罐车打入筒仓需用时</w:t>
            </w:r>
            <w:r>
              <w:rPr>
                <w:rFonts w:hint="eastAsia"/>
                <w:sz w:val="24"/>
              </w:rPr>
              <w:t>约</w:t>
            </w:r>
            <w:r>
              <w:rPr>
                <w:sz w:val="24"/>
              </w:rPr>
              <w:t>0.025h</w:t>
            </w:r>
            <w:r>
              <w:rPr>
                <w:rFonts w:hint="eastAsia"/>
                <w:sz w:val="24"/>
              </w:rPr>
              <w:t>。本项目粉煤灰及矿渣粉年用量为1650t，矿渣粉年用量为1200t，该仓年储存粉料量为2850t；</w:t>
            </w:r>
            <w:r>
              <w:rPr>
                <w:sz w:val="24"/>
              </w:rPr>
              <w:t>全部打入筒仓总用时为</w:t>
            </w:r>
            <w:r>
              <w:rPr>
                <w:rFonts w:hint="eastAsia"/>
                <w:sz w:val="24"/>
              </w:rPr>
              <w:t>2850</w:t>
            </w:r>
            <w:r>
              <w:rPr>
                <w:sz w:val="24"/>
              </w:rPr>
              <w:t>t×0.025h/t=</w:t>
            </w:r>
            <w:r>
              <w:rPr>
                <w:rFonts w:hint="eastAsia"/>
                <w:sz w:val="24"/>
              </w:rPr>
              <w:t>72</w:t>
            </w:r>
            <w:r>
              <w:rPr>
                <w:sz w:val="24"/>
              </w:rPr>
              <w:t>h</w:t>
            </w:r>
            <w:r>
              <w:rPr>
                <w:rFonts w:hint="eastAsia"/>
                <w:sz w:val="24"/>
              </w:rPr>
              <w:t>。处理后粉尘排放浓度均按10mg/m</w:t>
            </w:r>
            <w:r>
              <w:rPr>
                <w:rFonts w:hint="eastAsia"/>
                <w:sz w:val="24"/>
                <w:vertAlign w:val="superscript"/>
              </w:rPr>
              <w:t>3</w:t>
            </w:r>
            <w:r>
              <w:rPr>
                <w:rFonts w:hint="eastAsia"/>
                <w:sz w:val="24"/>
              </w:rPr>
              <w:t>计，则本项目</w:t>
            </w:r>
            <w:r>
              <w:rPr>
                <w:rFonts w:hint="eastAsia"/>
                <w:sz w:val="24"/>
                <w:szCs w:val="32"/>
              </w:rPr>
              <w:t>粉煤灰（矿渣粉）</w:t>
            </w:r>
            <w:r>
              <w:rPr>
                <w:rFonts w:hint="eastAsia"/>
                <w:sz w:val="24"/>
              </w:rPr>
              <w:t>筒仓颗粒物排放量为3000 m</w:t>
            </w:r>
            <w:r>
              <w:rPr>
                <w:rFonts w:hint="eastAsia"/>
                <w:sz w:val="24"/>
                <w:vertAlign w:val="superscript"/>
              </w:rPr>
              <w:t>3</w:t>
            </w:r>
            <w:r>
              <w:rPr>
                <w:rFonts w:hint="eastAsia"/>
                <w:sz w:val="24"/>
              </w:rPr>
              <w:t>/h</w:t>
            </w:r>
            <w:r>
              <w:rPr>
                <w:sz w:val="24"/>
              </w:rPr>
              <w:t>×</w:t>
            </w:r>
            <w:r>
              <w:rPr>
                <w:rFonts w:hint="eastAsia"/>
                <w:sz w:val="24"/>
              </w:rPr>
              <w:t>72h</w:t>
            </w:r>
            <w:r>
              <w:rPr>
                <w:sz w:val="24"/>
              </w:rPr>
              <w:t>×</w:t>
            </w:r>
            <w:r>
              <w:rPr>
                <w:rFonts w:hint="eastAsia"/>
                <w:sz w:val="24"/>
              </w:rPr>
              <w:t>10mg/m</w:t>
            </w:r>
            <w:r>
              <w:rPr>
                <w:rFonts w:hint="eastAsia"/>
                <w:sz w:val="24"/>
                <w:vertAlign w:val="superscript"/>
              </w:rPr>
              <w:t>3</w:t>
            </w:r>
            <w:r>
              <w:rPr>
                <w:sz w:val="24"/>
              </w:rPr>
              <w:t>×</w:t>
            </w:r>
            <w:r>
              <w:rPr>
                <w:rFonts w:hint="eastAsia"/>
                <w:sz w:val="24"/>
              </w:rPr>
              <w:t>10</w:t>
            </w:r>
            <w:r>
              <w:rPr>
                <w:rFonts w:hint="eastAsia"/>
                <w:sz w:val="24"/>
                <w:vertAlign w:val="superscript"/>
              </w:rPr>
              <w:t>-9</w:t>
            </w:r>
            <w:r>
              <w:rPr>
                <w:sz w:val="24"/>
              </w:rPr>
              <w:t>=</w:t>
            </w:r>
            <w:r>
              <w:rPr>
                <w:rFonts w:hint="eastAsia"/>
                <w:sz w:val="24"/>
              </w:rPr>
              <w:t>0.002t/a（0.03kg/h）；</w:t>
            </w:r>
            <w:r>
              <w:rPr>
                <w:rFonts w:hint="eastAsia"/>
                <w:sz w:val="24"/>
                <w:szCs w:val="22"/>
              </w:rPr>
              <w:t>处理后废气经15</w:t>
            </w:r>
            <w:r>
              <w:rPr>
                <w:sz w:val="24"/>
                <w:szCs w:val="22"/>
              </w:rPr>
              <w:t>m高</w:t>
            </w:r>
            <w:r>
              <w:rPr>
                <w:rFonts w:hint="eastAsia"/>
                <w:sz w:val="24"/>
                <w:szCs w:val="22"/>
              </w:rPr>
              <w:t>排气筒（DA003）排出，能够满足《水泥工业大气污染物排放标准》（</w:t>
            </w:r>
            <w:r>
              <w:rPr>
                <w:rFonts w:hint="eastAsia"/>
                <w:sz w:val="24"/>
              </w:rPr>
              <w:t>DB14/3176-2024</w:t>
            </w:r>
            <w:r>
              <w:rPr>
                <w:rFonts w:hint="eastAsia"/>
                <w:sz w:val="24"/>
                <w:szCs w:val="22"/>
              </w:rPr>
              <w:t>）表1排放限值要求。</w:t>
            </w:r>
          </w:p>
          <w:bookmarkEnd w:id="76"/>
          <w:p w14:paraId="7D514FCB">
            <w:pPr>
              <w:pStyle w:val="68"/>
              <w:spacing w:line="440" w:lineRule="exact"/>
              <w:ind w:firstLine="480"/>
              <w:rPr>
                <w:kern w:val="2"/>
                <w:sz w:val="32"/>
                <w:szCs w:val="22"/>
              </w:rPr>
            </w:pPr>
            <w:r>
              <w:rPr>
                <w:rFonts w:hint="eastAsia"/>
                <w:sz w:val="24"/>
                <w:szCs w:val="22"/>
              </w:rPr>
              <w:t>B.无组织废气</w:t>
            </w:r>
          </w:p>
          <w:p w14:paraId="336F2791">
            <w:pPr>
              <w:pStyle w:val="72"/>
              <w:spacing w:line="400" w:lineRule="exact"/>
              <w:ind w:firstLine="480"/>
              <w:rPr>
                <w:sz w:val="24"/>
                <w:szCs w:val="22"/>
              </w:rPr>
            </w:pPr>
            <w:r>
              <w:rPr>
                <w:rFonts w:hint="eastAsia"/>
                <w:sz w:val="24"/>
                <w:szCs w:val="22"/>
              </w:rPr>
              <w:t>（1）原料储存、中转扬尘</w:t>
            </w:r>
          </w:p>
          <w:p w14:paraId="4A4DB33A">
            <w:pPr>
              <w:pStyle w:val="72"/>
              <w:spacing w:line="440" w:lineRule="exact"/>
              <w:ind w:firstLine="480"/>
              <w:rPr>
                <w:sz w:val="24"/>
                <w:szCs w:val="22"/>
              </w:rPr>
            </w:pPr>
            <w:r>
              <w:rPr>
                <w:rFonts w:hint="eastAsia"/>
                <w:sz w:val="24"/>
                <w:szCs w:val="22"/>
              </w:rPr>
              <w:t>本项目购置的机制砂存放在全封闭生产车间原料堆存区。产品在生产线封包后存放在全封闭生产车间成品存放区内，本次评价不考虑其无组织排放。</w:t>
            </w:r>
          </w:p>
          <w:p w14:paraId="21E191D6">
            <w:pPr>
              <w:pStyle w:val="95"/>
              <w:spacing w:line="440" w:lineRule="exact"/>
              <w:ind w:firstLine="480"/>
              <w:rPr>
                <w:sz w:val="24"/>
                <w:szCs w:val="32"/>
              </w:rPr>
            </w:pPr>
            <w:r>
              <w:rPr>
                <w:rFonts w:hint="eastAsia"/>
                <w:sz w:val="24"/>
                <w:szCs w:val="32"/>
              </w:rPr>
              <w:t>本项目机制砂在封闭车间内设置150m</w:t>
            </w:r>
            <w:r>
              <w:rPr>
                <w:rFonts w:hint="eastAsia"/>
                <w:sz w:val="24"/>
                <w:szCs w:val="32"/>
                <w:vertAlign w:val="superscript"/>
              </w:rPr>
              <w:t>2</w:t>
            </w:r>
            <w:r>
              <w:rPr>
                <w:rFonts w:hint="eastAsia"/>
                <w:sz w:val="24"/>
                <w:szCs w:val="32"/>
              </w:rPr>
              <w:t>堆存区，封闭车间</w:t>
            </w:r>
            <w:r>
              <w:rPr>
                <w:rFonts w:hint="eastAsia"/>
                <w:bCs/>
                <w:snapToGrid w:val="0"/>
                <w:sz w:val="24"/>
                <w:szCs w:val="21"/>
              </w:rPr>
              <w:t>安装自动启闭门</w:t>
            </w:r>
            <w:r>
              <w:rPr>
                <w:rFonts w:hint="eastAsia"/>
                <w:snapToGrid w:val="0"/>
                <w:sz w:val="24"/>
                <w:szCs w:val="21"/>
              </w:rPr>
              <w:t>。原料堆放区配套设置</w:t>
            </w:r>
            <w:r>
              <w:rPr>
                <w:rFonts w:hint="eastAsia"/>
                <w:sz w:val="24"/>
              </w:rPr>
              <w:t>覆盖堆存区的喷雾抑尘设施；同时，</w:t>
            </w:r>
            <w:r>
              <w:rPr>
                <w:rFonts w:hint="eastAsia"/>
                <w:snapToGrid w:val="0"/>
                <w:sz w:val="24"/>
                <w:szCs w:val="21"/>
              </w:rPr>
              <w:t>卸料区设置移动雾炮设施，采用对5</w:t>
            </w:r>
            <w:r>
              <w:rPr>
                <w:snapToGrid w:val="0"/>
                <w:sz w:val="24"/>
                <w:szCs w:val="21"/>
              </w:rPr>
              <w:t>-10μm可吸入粉尘颗粒抑尘效果好的喷雾设施，</w:t>
            </w:r>
            <w:r>
              <w:rPr>
                <w:rFonts w:hint="eastAsia"/>
                <w:snapToGrid w:val="0"/>
                <w:sz w:val="24"/>
                <w:szCs w:val="21"/>
              </w:rPr>
              <w:t>对</w:t>
            </w:r>
            <w:r>
              <w:rPr>
                <w:snapToGrid w:val="0"/>
                <w:sz w:val="24"/>
                <w:szCs w:val="21"/>
              </w:rPr>
              <w:t>10μm以下的可</w:t>
            </w:r>
            <w:r>
              <w:rPr>
                <w:rFonts w:hint="eastAsia"/>
                <w:snapToGrid w:val="0"/>
                <w:sz w:val="24"/>
                <w:szCs w:val="21"/>
              </w:rPr>
              <w:t>吸入粉尘治理效果达到90%以上，</w:t>
            </w:r>
            <w:r>
              <w:rPr>
                <w:rFonts w:hint="eastAsia"/>
                <w:sz w:val="24"/>
                <w:szCs w:val="32"/>
              </w:rPr>
              <w:t>能有效抑制扬尘产生及排放。</w:t>
            </w:r>
          </w:p>
          <w:p w14:paraId="65A48972">
            <w:pPr>
              <w:pStyle w:val="95"/>
              <w:spacing w:line="440" w:lineRule="exact"/>
              <w:ind w:firstLine="480"/>
              <w:rPr>
                <w:sz w:val="24"/>
                <w:szCs w:val="32"/>
              </w:rPr>
            </w:pPr>
            <w:r>
              <w:rPr>
                <w:rFonts w:hint="eastAsia"/>
                <w:sz w:val="24"/>
                <w:szCs w:val="32"/>
              </w:rPr>
              <w:t>根据《</w:t>
            </w:r>
            <w:bookmarkStart w:id="77" w:name="OLE_LINK16"/>
            <w:r>
              <w:rPr>
                <w:rFonts w:hint="eastAsia"/>
                <w:sz w:val="24"/>
                <w:szCs w:val="32"/>
              </w:rPr>
              <w:t>扬尘源颗粒物排放清单编制技术指南</w:t>
            </w:r>
            <w:bookmarkEnd w:id="77"/>
            <w:r>
              <w:rPr>
                <w:rFonts w:hint="eastAsia"/>
                <w:sz w:val="24"/>
                <w:szCs w:val="32"/>
              </w:rPr>
              <w:t>》，堆场扬尘源排放量根据下式进行计算，堆场扬尘源中颗粒物总排放量：</w:t>
            </w:r>
          </w:p>
          <w:p w14:paraId="7439B7EC">
            <w:pPr>
              <w:pStyle w:val="95"/>
              <w:adjustRightInd w:val="0"/>
              <w:snapToGrid w:val="0"/>
              <w:spacing w:line="240" w:lineRule="auto"/>
              <w:ind w:firstLine="480"/>
              <w:rPr>
                <w:sz w:val="24"/>
                <w:szCs w:val="32"/>
              </w:rPr>
            </w:pPr>
            <w:r>
              <w:rPr>
                <w:sz w:val="24"/>
                <w:szCs w:val="32"/>
              </w:rPr>
              <w:drawing>
                <wp:inline distT="0" distB="0" distL="0" distR="0">
                  <wp:extent cx="3165475" cy="528320"/>
                  <wp:effectExtent l="0" t="0" r="3810" b="0"/>
                  <wp:docPr id="17328507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50712" name="图片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165475" cy="528320"/>
                          </a:xfrm>
                          <a:prstGeom prst="rect">
                            <a:avLst/>
                          </a:prstGeom>
                          <a:noFill/>
                          <a:ln>
                            <a:noFill/>
                          </a:ln>
                        </pic:spPr>
                      </pic:pic>
                    </a:graphicData>
                  </a:graphic>
                </wp:inline>
              </w:drawing>
            </w:r>
            <w:r>
              <w:rPr>
                <w:sz w:val="24"/>
                <w:szCs w:val="32"/>
              </w:rPr>
              <w:t xml:space="preserve"> </w:t>
            </w:r>
            <w:r>
              <w:rPr>
                <w:rFonts w:hint="eastAsia"/>
                <w:sz w:val="24"/>
                <w:szCs w:val="32"/>
              </w:rPr>
              <w:t>（式</w:t>
            </w:r>
            <w:r>
              <w:rPr>
                <w:sz w:val="24"/>
                <w:szCs w:val="32"/>
              </w:rPr>
              <w:t>5</w:t>
            </w:r>
            <w:r>
              <w:rPr>
                <w:rFonts w:hint="eastAsia"/>
                <w:sz w:val="24"/>
                <w:szCs w:val="32"/>
              </w:rPr>
              <w:t>）</w:t>
            </w:r>
          </w:p>
          <w:p w14:paraId="6551CCF2">
            <w:pPr>
              <w:pStyle w:val="95"/>
              <w:spacing w:line="440" w:lineRule="exact"/>
              <w:ind w:firstLine="480"/>
              <w:rPr>
                <w:sz w:val="24"/>
                <w:szCs w:val="32"/>
              </w:rPr>
            </w:pPr>
            <w:r>
              <w:rPr>
                <w:rFonts w:hint="eastAsia"/>
                <w:sz w:val="24"/>
                <w:szCs w:val="32"/>
              </w:rPr>
              <w:t>式中：</w:t>
            </w:r>
            <w:r>
              <w:rPr>
                <w:sz w:val="24"/>
                <w:szCs w:val="32"/>
              </w:rPr>
              <w:t>W</w:t>
            </w:r>
            <w:r>
              <w:rPr>
                <w:sz w:val="24"/>
                <w:szCs w:val="32"/>
                <w:vertAlign w:val="subscript"/>
              </w:rPr>
              <w:t>Y</w:t>
            </w:r>
            <w:r>
              <w:rPr>
                <w:rFonts w:hint="eastAsia"/>
                <w:sz w:val="24"/>
                <w:szCs w:val="32"/>
              </w:rPr>
              <w:t>—堆场扬尘源中颗粒物总排放量，单位为</w:t>
            </w:r>
            <w:r>
              <w:rPr>
                <w:sz w:val="24"/>
                <w:szCs w:val="32"/>
              </w:rPr>
              <w:t>t/a</w:t>
            </w:r>
            <w:r>
              <w:rPr>
                <w:rFonts w:hint="eastAsia"/>
                <w:sz w:val="24"/>
                <w:szCs w:val="32"/>
              </w:rPr>
              <w:t>；</w:t>
            </w:r>
          </w:p>
          <w:p w14:paraId="0E3055A1">
            <w:pPr>
              <w:pStyle w:val="95"/>
              <w:spacing w:line="440" w:lineRule="exact"/>
              <w:ind w:firstLine="480"/>
              <w:rPr>
                <w:sz w:val="24"/>
                <w:szCs w:val="32"/>
              </w:rPr>
            </w:pPr>
            <w:r>
              <w:rPr>
                <w:sz w:val="24"/>
                <w:szCs w:val="32"/>
              </w:rPr>
              <w:t>Eh</w:t>
            </w:r>
            <w:r>
              <w:rPr>
                <w:rFonts w:hint="eastAsia"/>
                <w:sz w:val="24"/>
                <w:szCs w:val="32"/>
              </w:rPr>
              <w:t>—堆场装卸运输过程中的扬尘颗粒物排放系数，单位为</w:t>
            </w:r>
            <w:r>
              <w:rPr>
                <w:sz w:val="24"/>
                <w:szCs w:val="32"/>
              </w:rPr>
              <w:t>kg/t</w:t>
            </w:r>
            <w:r>
              <w:rPr>
                <w:rFonts w:hint="eastAsia"/>
                <w:sz w:val="24"/>
                <w:szCs w:val="32"/>
              </w:rPr>
              <w:t>；</w:t>
            </w:r>
          </w:p>
          <w:p w14:paraId="6F51C2AC">
            <w:pPr>
              <w:pStyle w:val="95"/>
              <w:spacing w:line="440" w:lineRule="exact"/>
              <w:ind w:firstLine="480"/>
              <w:rPr>
                <w:sz w:val="24"/>
                <w:szCs w:val="32"/>
              </w:rPr>
            </w:pPr>
            <w:r>
              <w:rPr>
                <w:sz w:val="24"/>
                <w:szCs w:val="32"/>
              </w:rPr>
              <w:t>m</w:t>
            </w:r>
            <w:r>
              <w:rPr>
                <w:rFonts w:hint="eastAsia"/>
                <w:sz w:val="24"/>
                <w:szCs w:val="32"/>
              </w:rPr>
              <w:t>—每年料堆物料装卸总次数，本项目干混砂浆产量共计</w:t>
            </w:r>
            <w:r>
              <w:rPr>
                <w:sz w:val="24"/>
                <w:szCs w:val="32"/>
              </w:rPr>
              <w:t>5</w:t>
            </w:r>
            <w:r>
              <w:rPr>
                <w:rFonts w:hint="eastAsia"/>
                <w:sz w:val="24"/>
                <w:szCs w:val="32"/>
              </w:rPr>
              <w:t>万</w:t>
            </w:r>
            <w:r>
              <w:rPr>
                <w:sz w:val="24"/>
                <w:szCs w:val="32"/>
              </w:rPr>
              <w:t>t/a</w:t>
            </w:r>
            <w:r>
              <w:rPr>
                <w:rFonts w:hint="eastAsia"/>
                <w:sz w:val="24"/>
                <w:szCs w:val="32"/>
              </w:rPr>
              <w:t>，运输车辆吨位为</w:t>
            </w:r>
            <w:r>
              <w:rPr>
                <w:sz w:val="24"/>
                <w:szCs w:val="32"/>
              </w:rPr>
              <w:t>20t</w:t>
            </w:r>
            <w:r>
              <w:rPr>
                <w:rFonts w:hint="eastAsia"/>
                <w:sz w:val="24"/>
                <w:szCs w:val="32"/>
              </w:rPr>
              <w:t>，则本项目每年料堆物料装卸总次数为</w:t>
            </w:r>
            <w:r>
              <w:rPr>
                <w:sz w:val="24"/>
                <w:szCs w:val="32"/>
              </w:rPr>
              <w:t>2500</w:t>
            </w:r>
            <w:r>
              <w:rPr>
                <w:rFonts w:hint="eastAsia"/>
                <w:sz w:val="24"/>
                <w:szCs w:val="32"/>
              </w:rPr>
              <w:t>；</w:t>
            </w:r>
            <w:bookmarkEnd w:id="74"/>
          </w:p>
          <w:p w14:paraId="2EA641BD">
            <w:pPr>
              <w:pStyle w:val="95"/>
              <w:spacing w:line="440" w:lineRule="exact"/>
              <w:ind w:firstLine="480"/>
              <w:rPr>
                <w:sz w:val="24"/>
                <w:szCs w:val="32"/>
              </w:rPr>
            </w:pPr>
            <w:r>
              <w:rPr>
                <w:sz w:val="24"/>
                <w:szCs w:val="32"/>
              </w:rPr>
              <w:t>G</w:t>
            </w:r>
            <w:r>
              <w:rPr>
                <w:sz w:val="24"/>
                <w:szCs w:val="32"/>
                <w:vertAlign w:val="subscript"/>
              </w:rPr>
              <w:t>Yi</w:t>
            </w:r>
            <w:r>
              <w:rPr>
                <w:rFonts w:hint="eastAsia"/>
                <w:sz w:val="24"/>
                <w:szCs w:val="32"/>
              </w:rPr>
              <w:t>—第</w:t>
            </w:r>
            <w:r>
              <w:rPr>
                <w:sz w:val="24"/>
                <w:szCs w:val="32"/>
              </w:rPr>
              <w:t>i</w:t>
            </w:r>
            <w:r>
              <w:rPr>
                <w:rFonts w:hint="eastAsia"/>
                <w:sz w:val="24"/>
                <w:szCs w:val="32"/>
              </w:rPr>
              <w:t>次装卸过程的物料装卸量，单位为</w:t>
            </w:r>
            <w:r>
              <w:rPr>
                <w:sz w:val="24"/>
                <w:szCs w:val="32"/>
              </w:rPr>
              <w:t>t</w:t>
            </w:r>
            <w:r>
              <w:rPr>
                <w:rFonts w:hint="eastAsia"/>
                <w:sz w:val="24"/>
                <w:szCs w:val="32"/>
              </w:rPr>
              <w:t>，取</w:t>
            </w:r>
            <w:r>
              <w:rPr>
                <w:sz w:val="24"/>
                <w:szCs w:val="32"/>
              </w:rPr>
              <w:t>20t</w:t>
            </w:r>
            <w:r>
              <w:rPr>
                <w:rFonts w:hint="eastAsia"/>
                <w:sz w:val="24"/>
                <w:szCs w:val="32"/>
              </w:rPr>
              <w:t>；</w:t>
            </w:r>
          </w:p>
          <w:p w14:paraId="3B34AFE0">
            <w:pPr>
              <w:pStyle w:val="95"/>
              <w:spacing w:line="440" w:lineRule="exact"/>
              <w:ind w:firstLine="480"/>
              <w:rPr>
                <w:sz w:val="24"/>
                <w:szCs w:val="32"/>
              </w:rPr>
            </w:pPr>
            <w:r>
              <w:rPr>
                <w:sz w:val="24"/>
                <w:szCs w:val="32"/>
              </w:rPr>
              <w:t>Ew</w:t>
            </w:r>
            <w:r>
              <w:rPr>
                <w:rFonts w:hint="eastAsia"/>
                <w:sz w:val="24"/>
                <w:szCs w:val="32"/>
              </w:rPr>
              <w:t>—料堆受到风蚀作用的颗粒物排放系数，单位为</w:t>
            </w:r>
            <w:r>
              <w:rPr>
                <w:sz w:val="24"/>
                <w:szCs w:val="32"/>
              </w:rPr>
              <w:t>kg/m</w:t>
            </w:r>
            <w:r>
              <w:rPr>
                <w:sz w:val="24"/>
                <w:szCs w:val="32"/>
                <w:vertAlign w:val="superscript"/>
              </w:rPr>
              <w:t>2</w:t>
            </w:r>
            <w:r>
              <w:rPr>
                <w:rFonts w:hint="eastAsia"/>
                <w:sz w:val="24"/>
                <w:szCs w:val="32"/>
              </w:rPr>
              <w:t>，本项目堆场位于全封闭厂房内，风蚀作用小，</w:t>
            </w:r>
            <w:r>
              <w:rPr>
                <w:sz w:val="24"/>
                <w:szCs w:val="32"/>
              </w:rPr>
              <w:t>Ew</w:t>
            </w:r>
            <w:r>
              <w:rPr>
                <w:rFonts w:hint="eastAsia"/>
                <w:sz w:val="24"/>
                <w:szCs w:val="32"/>
              </w:rPr>
              <w:t>取值为</w:t>
            </w:r>
            <w:r>
              <w:rPr>
                <w:sz w:val="24"/>
                <w:szCs w:val="32"/>
              </w:rPr>
              <w:t>0</w:t>
            </w:r>
            <w:r>
              <w:rPr>
                <w:rFonts w:hint="eastAsia"/>
                <w:sz w:val="24"/>
                <w:szCs w:val="32"/>
              </w:rPr>
              <w:t>；</w:t>
            </w:r>
          </w:p>
          <w:p w14:paraId="6F4BF166">
            <w:pPr>
              <w:pStyle w:val="95"/>
              <w:spacing w:line="440" w:lineRule="exact"/>
              <w:ind w:firstLine="480"/>
              <w:rPr>
                <w:sz w:val="24"/>
                <w:szCs w:val="32"/>
              </w:rPr>
            </w:pPr>
            <w:r>
              <w:rPr>
                <w:sz w:val="24"/>
                <w:szCs w:val="32"/>
              </w:rPr>
              <w:t>A</w:t>
            </w:r>
            <w:r>
              <w:rPr>
                <w:sz w:val="24"/>
                <w:szCs w:val="32"/>
                <w:vertAlign w:val="subscript"/>
              </w:rPr>
              <w:t>Y</w:t>
            </w:r>
            <w:r>
              <w:rPr>
                <w:rFonts w:hint="eastAsia"/>
                <w:sz w:val="24"/>
                <w:szCs w:val="32"/>
              </w:rPr>
              <w:t>—料堆表面积，单位为</w:t>
            </w:r>
            <w:r>
              <w:rPr>
                <w:sz w:val="24"/>
                <w:szCs w:val="32"/>
              </w:rPr>
              <w:t>m</w:t>
            </w:r>
            <w:r>
              <w:rPr>
                <w:sz w:val="24"/>
                <w:szCs w:val="32"/>
                <w:vertAlign w:val="superscript"/>
              </w:rPr>
              <w:t>2</w:t>
            </w:r>
            <w:r>
              <w:rPr>
                <w:rFonts w:hint="eastAsia"/>
                <w:sz w:val="24"/>
                <w:szCs w:val="32"/>
              </w:rPr>
              <w:t>。</w:t>
            </w:r>
          </w:p>
          <w:p w14:paraId="4F78CBC4">
            <w:pPr>
              <w:spacing w:line="420" w:lineRule="exact"/>
              <w:ind w:firstLine="480" w:firstLineChars="200"/>
              <w:rPr>
                <w:kern w:val="0"/>
                <w:sz w:val="24"/>
                <w:szCs w:val="22"/>
                <w:lang w:val="zh-CN"/>
              </w:rPr>
            </w:pPr>
            <w:r>
              <w:rPr>
                <w:rFonts w:hint="eastAsia"/>
                <w:kern w:val="0"/>
                <w:sz w:val="24"/>
                <w:szCs w:val="22"/>
                <w:lang w:val="zh-CN"/>
              </w:rPr>
              <w:t>堆场装卸运输过程的扬尘颗粒物排放系数计算方法见下式：</w:t>
            </w:r>
          </w:p>
          <w:p w14:paraId="682E05D4">
            <w:pPr>
              <w:adjustRightInd w:val="0"/>
              <w:snapToGrid w:val="0"/>
              <w:spacing w:before="78" w:after="78"/>
              <w:jc w:val="center"/>
              <w:rPr>
                <w:sz w:val="24"/>
                <w:szCs w:val="20"/>
              </w:rPr>
            </w:pPr>
            <w:r>
              <w:rPr>
                <w:color w:val="EE0000"/>
                <w:sz w:val="24"/>
                <w:szCs w:val="20"/>
              </w:rPr>
              <w:drawing>
                <wp:inline distT="0" distB="0" distL="0" distR="0">
                  <wp:extent cx="2523490" cy="570230"/>
                  <wp:effectExtent l="0" t="0" r="0" b="1270"/>
                  <wp:docPr id="105239639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396390" name="图片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523490" cy="570230"/>
                          </a:xfrm>
                          <a:prstGeom prst="rect">
                            <a:avLst/>
                          </a:prstGeom>
                          <a:noFill/>
                          <a:ln>
                            <a:noFill/>
                          </a:ln>
                        </pic:spPr>
                      </pic:pic>
                    </a:graphicData>
                  </a:graphic>
                </wp:inline>
              </w:drawing>
            </w:r>
            <w:r>
              <w:rPr>
                <w:rFonts w:hint="eastAsia"/>
                <w:color w:val="EE0000"/>
                <w:sz w:val="24"/>
                <w:szCs w:val="20"/>
              </w:rPr>
              <w:t xml:space="preserve">    （</w:t>
            </w:r>
            <w:r>
              <w:rPr>
                <w:rFonts w:hint="eastAsia"/>
                <w:sz w:val="24"/>
                <w:szCs w:val="20"/>
              </w:rPr>
              <w:t>式6）</w:t>
            </w:r>
          </w:p>
          <w:p w14:paraId="48A277DF">
            <w:pPr>
              <w:spacing w:line="420" w:lineRule="exact"/>
              <w:ind w:firstLine="480" w:firstLineChars="200"/>
              <w:rPr>
                <w:kern w:val="0"/>
                <w:sz w:val="24"/>
                <w:szCs w:val="22"/>
                <w:lang w:val="zh-CN"/>
              </w:rPr>
            </w:pPr>
            <w:r>
              <w:rPr>
                <w:rFonts w:hint="eastAsia"/>
                <w:kern w:val="0"/>
                <w:sz w:val="24"/>
                <w:szCs w:val="22"/>
              </w:rPr>
              <w:t>式中：</w:t>
            </w:r>
            <w:r>
              <w:rPr>
                <w:rFonts w:hint="eastAsia"/>
                <w:kern w:val="0"/>
                <w:sz w:val="24"/>
                <w:szCs w:val="22"/>
                <w:lang w:val="zh-CN"/>
              </w:rPr>
              <w:t>Eh—堆场装卸扬尘的排放系数，单位为kg/t；</w:t>
            </w:r>
          </w:p>
          <w:p w14:paraId="1BDD8865">
            <w:pPr>
              <w:spacing w:line="420" w:lineRule="exact"/>
              <w:ind w:firstLine="1200" w:firstLineChars="500"/>
              <w:rPr>
                <w:kern w:val="0"/>
                <w:sz w:val="24"/>
                <w:szCs w:val="22"/>
                <w:lang w:val="zh-CN"/>
              </w:rPr>
            </w:pPr>
            <w:r>
              <w:rPr>
                <w:rFonts w:hint="eastAsia"/>
                <w:kern w:val="0"/>
                <w:sz w:val="24"/>
                <w:szCs w:val="22"/>
                <w:lang w:val="zh-CN"/>
              </w:rPr>
              <w:t>Ki—物料的粒度乘数，参考技术指南表10，TSP为0.74；</w:t>
            </w:r>
          </w:p>
          <w:p w14:paraId="1CC65120">
            <w:pPr>
              <w:spacing w:line="420" w:lineRule="exact"/>
              <w:ind w:firstLine="1200" w:firstLineChars="500"/>
              <w:rPr>
                <w:kern w:val="0"/>
                <w:sz w:val="24"/>
                <w:szCs w:val="22"/>
                <w:lang w:val="zh-CN"/>
              </w:rPr>
            </w:pPr>
            <w:r>
              <w:rPr>
                <w:rFonts w:hint="eastAsia"/>
                <w:kern w:val="0"/>
                <w:sz w:val="24"/>
                <w:szCs w:val="22"/>
                <w:lang w:val="zh-CN"/>
              </w:rPr>
              <w:t>u—地面平均风速，单位为2.</w:t>
            </w:r>
            <w:r>
              <w:rPr>
                <w:rFonts w:hint="eastAsia"/>
                <w:kern w:val="0"/>
                <w:sz w:val="24"/>
                <w:szCs w:val="22"/>
              </w:rPr>
              <w:t>2</w:t>
            </w:r>
            <w:r>
              <w:rPr>
                <w:rFonts w:hint="eastAsia"/>
                <w:kern w:val="0"/>
                <w:sz w:val="24"/>
                <w:szCs w:val="22"/>
                <w:lang w:val="zh-CN"/>
              </w:rPr>
              <w:t>m/s，取m/s；</w:t>
            </w:r>
          </w:p>
          <w:p w14:paraId="7F230892">
            <w:pPr>
              <w:spacing w:line="420" w:lineRule="exact"/>
              <w:ind w:firstLine="1200" w:firstLineChars="500"/>
              <w:rPr>
                <w:kern w:val="0"/>
                <w:sz w:val="24"/>
                <w:szCs w:val="22"/>
                <w:lang w:val="zh-CN"/>
              </w:rPr>
            </w:pPr>
            <w:r>
              <w:rPr>
                <w:rFonts w:hint="eastAsia"/>
                <w:kern w:val="0"/>
                <w:sz w:val="24"/>
                <w:szCs w:val="22"/>
                <w:lang w:val="zh-CN"/>
              </w:rPr>
              <w:t>M—物料含水率，</w:t>
            </w:r>
            <w:r>
              <w:rPr>
                <w:rFonts w:hint="eastAsia"/>
                <w:kern w:val="0"/>
                <w:sz w:val="24"/>
                <w:szCs w:val="22"/>
              </w:rPr>
              <w:t>单位%</w:t>
            </w:r>
            <w:r>
              <w:rPr>
                <w:rFonts w:hint="eastAsia"/>
                <w:kern w:val="0"/>
                <w:sz w:val="24"/>
                <w:szCs w:val="22"/>
                <w:lang w:val="zh-CN"/>
              </w:rPr>
              <w:t>，参考技术指南表11，取0.4；</w:t>
            </w:r>
          </w:p>
          <w:p w14:paraId="7E0CC1F8">
            <w:pPr>
              <w:spacing w:line="420" w:lineRule="exact"/>
              <w:ind w:firstLine="1200" w:firstLineChars="500"/>
              <w:rPr>
                <w:kern w:val="0"/>
                <w:sz w:val="24"/>
                <w:szCs w:val="22"/>
                <w:lang w:val="zh-CN"/>
              </w:rPr>
            </w:pPr>
            <w:r>
              <w:rPr>
                <w:kern w:val="0"/>
                <w:sz w:val="24"/>
                <w:szCs w:val="22"/>
                <w:lang w:val="zh-CN"/>
              </w:rPr>
              <w:t>η</w:t>
            </w:r>
            <w:r>
              <w:rPr>
                <w:rFonts w:hint="eastAsia"/>
                <w:kern w:val="0"/>
                <w:sz w:val="24"/>
                <w:szCs w:val="22"/>
                <w:lang w:val="zh-CN"/>
              </w:rPr>
              <w:t>—污染控制技术对扬尘的去除效率，参考技术指南表12，取9</w:t>
            </w:r>
            <w:r>
              <w:rPr>
                <w:rFonts w:hint="eastAsia"/>
                <w:kern w:val="0"/>
                <w:sz w:val="24"/>
                <w:szCs w:val="22"/>
              </w:rPr>
              <w:t>0</w:t>
            </w:r>
            <w:r>
              <w:rPr>
                <w:rFonts w:hint="eastAsia"/>
                <w:kern w:val="0"/>
                <w:sz w:val="24"/>
                <w:szCs w:val="22"/>
                <w:lang w:val="zh-CN"/>
              </w:rPr>
              <w:t>%。</w:t>
            </w:r>
          </w:p>
          <w:p w14:paraId="4A7A4DE4">
            <w:pPr>
              <w:spacing w:line="440" w:lineRule="exact"/>
              <w:ind w:firstLine="480" w:firstLineChars="200"/>
              <w:rPr>
                <w:kern w:val="0"/>
                <w:sz w:val="24"/>
                <w:szCs w:val="22"/>
                <w:lang w:val="zh-CN"/>
              </w:rPr>
            </w:pPr>
            <w:r>
              <w:rPr>
                <w:rFonts w:hint="eastAsia"/>
                <w:kern w:val="0"/>
                <w:sz w:val="24"/>
                <w:szCs w:val="22"/>
                <w:lang w:val="zh-CN"/>
              </w:rPr>
              <w:t>本项目仅考虑装卸、运输引起的扬尘，不考虑堆积存放期间风蚀扬尘，本项目堆场扬尘排放系数为</w:t>
            </w:r>
            <w:r>
              <w:rPr>
                <w:rFonts w:hint="eastAsia"/>
                <w:kern w:val="0"/>
                <w:sz w:val="24"/>
                <w:szCs w:val="22"/>
              </w:rPr>
              <w:t>0.0011</w:t>
            </w:r>
            <w:r>
              <w:rPr>
                <w:rFonts w:hint="eastAsia"/>
                <w:kern w:val="0"/>
                <w:sz w:val="24"/>
                <w:szCs w:val="22"/>
                <w:lang w:val="zh-CN"/>
              </w:rPr>
              <w:t>kg/t，原料装卸运输过程中颗粒物排放量为</w:t>
            </w:r>
            <w:r>
              <w:rPr>
                <w:rFonts w:hint="eastAsia"/>
                <w:kern w:val="0"/>
                <w:sz w:val="24"/>
                <w:szCs w:val="22"/>
              </w:rPr>
              <w:t>0.056</w:t>
            </w:r>
            <w:r>
              <w:rPr>
                <w:rFonts w:hint="eastAsia"/>
                <w:kern w:val="0"/>
                <w:sz w:val="24"/>
                <w:szCs w:val="22"/>
                <w:lang w:val="zh-CN"/>
              </w:rPr>
              <w:t>t/a。</w:t>
            </w:r>
          </w:p>
          <w:p w14:paraId="510AF4FA">
            <w:pPr>
              <w:pStyle w:val="72"/>
              <w:spacing w:line="440" w:lineRule="exact"/>
              <w:ind w:firstLineChars="175"/>
              <w:rPr>
                <w:sz w:val="24"/>
                <w:szCs w:val="32"/>
              </w:rPr>
            </w:pPr>
            <w:r>
              <w:rPr>
                <w:rFonts w:hint="eastAsia"/>
                <w:sz w:val="24"/>
                <w:szCs w:val="22"/>
              </w:rPr>
              <w:t>（2）皮带输送粉尘</w:t>
            </w:r>
          </w:p>
          <w:p w14:paraId="2C64E9CC">
            <w:pPr>
              <w:pStyle w:val="72"/>
              <w:spacing w:line="440" w:lineRule="exact"/>
              <w:ind w:firstLine="480"/>
              <w:rPr>
                <w:color w:val="EE0000"/>
                <w:sz w:val="24"/>
                <w:szCs w:val="22"/>
                <w:lang w:val="en-US"/>
              </w:rPr>
            </w:pPr>
            <w:r>
              <w:rPr>
                <w:rFonts w:hint="eastAsia"/>
                <w:sz w:val="24"/>
                <w:szCs w:val="22"/>
                <w:lang w:val="en-US"/>
              </w:rPr>
              <w:t>本项目皮带输送机年输送物料约3.38万t，皮带输送、转载、物料跌落等工序产尘量参考《逸散性工业粉尘控制技术》中P275粒料加工厂－筛选、运输和搬运（碎石）粉尘逸散系数1.0kg/t-贮料，则粉尘产生量为33.8t/a。</w:t>
            </w:r>
            <w:r>
              <w:rPr>
                <w:rFonts w:hint="eastAsia"/>
                <w:sz w:val="24"/>
                <w:szCs w:val="22"/>
              </w:rPr>
              <w:t>评价要求项目皮带输送机及各转载点全封闭，</w:t>
            </w:r>
            <w:r>
              <w:rPr>
                <w:rFonts w:hint="eastAsia"/>
                <w:sz w:val="24"/>
                <w:szCs w:val="22"/>
                <w:lang w:val="en-US"/>
              </w:rPr>
              <w:t>且项目皮带输送机全部位于封闭厂房内</w:t>
            </w:r>
            <w:r>
              <w:rPr>
                <w:rFonts w:hint="eastAsia"/>
                <w:sz w:val="24"/>
                <w:szCs w:val="22"/>
              </w:rPr>
              <w:t>，可以有效抑制物料输送、转载过程中无组织粉尘的产生。皮带输送、转载过程中无组织粉尘排放量可忽略不计。</w:t>
            </w:r>
          </w:p>
          <w:p w14:paraId="3669FBD2">
            <w:pPr>
              <w:pStyle w:val="72"/>
              <w:spacing w:line="440" w:lineRule="exact"/>
              <w:ind w:firstLine="480"/>
              <w:rPr>
                <w:sz w:val="24"/>
                <w:szCs w:val="22"/>
              </w:rPr>
            </w:pPr>
            <w:r>
              <w:rPr>
                <w:rFonts w:hint="eastAsia"/>
                <w:sz w:val="24"/>
                <w:szCs w:val="22"/>
              </w:rPr>
              <w:t>（3）道路运输扬尘</w:t>
            </w:r>
          </w:p>
          <w:p w14:paraId="1AEE706C">
            <w:pPr>
              <w:pStyle w:val="72"/>
              <w:spacing w:line="440" w:lineRule="exact"/>
              <w:ind w:firstLine="480"/>
              <w:rPr>
                <w:sz w:val="24"/>
                <w:szCs w:val="22"/>
              </w:rPr>
            </w:pPr>
            <w:r>
              <w:rPr>
                <w:rFonts w:hint="eastAsia"/>
                <w:sz w:val="24"/>
                <w:szCs w:val="22"/>
              </w:rPr>
              <w:t>本项目原料及产品运输过程中产生道路运输扬尘，根据《扬尘源颗粒物排放清单编制技术指南（试行）》中</w:t>
            </w:r>
            <w:r>
              <w:rPr>
                <w:sz w:val="24"/>
                <w:szCs w:val="22"/>
              </w:rPr>
              <w:t>道路扬尘源</w:t>
            </w:r>
            <w:r>
              <w:rPr>
                <w:rFonts w:hint="eastAsia"/>
                <w:sz w:val="24"/>
                <w:szCs w:val="22"/>
              </w:rPr>
              <w:t>排放量公式（</w:t>
            </w:r>
            <w:r>
              <w:rPr>
                <w:sz w:val="24"/>
                <w:szCs w:val="22"/>
              </w:rPr>
              <w:t>8</w:t>
            </w:r>
            <w:r>
              <w:rPr>
                <w:rFonts w:hint="eastAsia"/>
                <w:sz w:val="24"/>
                <w:szCs w:val="22"/>
              </w:rPr>
              <w:t>）进行计算。计算公式如下：</w:t>
            </w:r>
          </w:p>
          <w:p w14:paraId="485B9D80">
            <w:pPr>
              <w:pStyle w:val="52"/>
            </w:pPr>
            <w:r>
              <w:drawing>
                <wp:inline distT="0" distB="0" distL="0" distR="0">
                  <wp:extent cx="3009900" cy="4248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051596" cy="430917"/>
                          </a:xfrm>
                          <a:prstGeom prst="rect">
                            <a:avLst/>
                          </a:prstGeom>
                          <a:noFill/>
                          <a:ln>
                            <a:noFill/>
                          </a:ln>
                        </pic:spPr>
                      </pic:pic>
                    </a:graphicData>
                  </a:graphic>
                </wp:inline>
              </w:drawing>
            </w:r>
          </w:p>
          <w:p w14:paraId="7DB60F2A">
            <w:pPr>
              <w:pStyle w:val="86"/>
              <w:spacing w:line="440" w:lineRule="exact"/>
              <w:ind w:firstLine="480"/>
              <w:rPr>
                <w:sz w:val="24"/>
                <w:szCs w:val="24"/>
              </w:rPr>
            </w:pPr>
            <w:r>
              <w:rPr>
                <w:rFonts w:hint="eastAsia"/>
                <w:sz w:val="24"/>
                <w:szCs w:val="24"/>
              </w:rPr>
              <w:t>式中：</w:t>
            </w:r>
            <w:r>
              <w:rPr>
                <w:sz w:val="24"/>
                <w:szCs w:val="24"/>
              </w:rPr>
              <w:t>W</w:t>
            </w:r>
            <w:r>
              <w:rPr>
                <w:sz w:val="24"/>
                <w:szCs w:val="24"/>
                <w:vertAlign w:val="subscript"/>
              </w:rPr>
              <w:t>Ri</w:t>
            </w:r>
            <w:r>
              <w:rPr>
                <w:rFonts w:hint="eastAsia"/>
                <w:sz w:val="24"/>
                <w:szCs w:val="24"/>
              </w:rPr>
              <w:t>——</w:t>
            </w:r>
            <w:r>
              <w:rPr>
                <w:sz w:val="24"/>
                <w:szCs w:val="24"/>
              </w:rPr>
              <w:t>道路扬尘源中颗粒物PM</w:t>
            </w:r>
            <w:r>
              <w:rPr>
                <w:sz w:val="24"/>
                <w:szCs w:val="24"/>
                <w:vertAlign w:val="subscript"/>
              </w:rPr>
              <w:t>i</w:t>
            </w:r>
            <w:r>
              <w:rPr>
                <w:sz w:val="24"/>
                <w:szCs w:val="24"/>
              </w:rPr>
              <w:t>的总排放量，t/a</w:t>
            </w:r>
            <w:r>
              <w:rPr>
                <w:rFonts w:hint="eastAsia"/>
                <w:sz w:val="24"/>
                <w:szCs w:val="24"/>
              </w:rPr>
              <w:t>；</w:t>
            </w:r>
          </w:p>
          <w:p w14:paraId="4C70AC07">
            <w:pPr>
              <w:pStyle w:val="86"/>
              <w:spacing w:line="440" w:lineRule="exact"/>
              <w:ind w:firstLine="1200" w:firstLineChars="500"/>
              <w:rPr>
                <w:sz w:val="24"/>
                <w:szCs w:val="24"/>
              </w:rPr>
            </w:pPr>
            <w:r>
              <w:rPr>
                <w:sz w:val="24"/>
                <w:szCs w:val="24"/>
              </w:rPr>
              <w:t>E</w:t>
            </w:r>
            <w:r>
              <w:rPr>
                <w:sz w:val="24"/>
                <w:szCs w:val="24"/>
                <w:vertAlign w:val="subscript"/>
              </w:rPr>
              <w:t>Ri</w:t>
            </w:r>
            <w:r>
              <w:rPr>
                <w:sz w:val="24"/>
                <w:szCs w:val="24"/>
              </w:rPr>
              <w:t>——道路扬尘源中PM</w:t>
            </w:r>
            <w:r>
              <w:rPr>
                <w:sz w:val="24"/>
                <w:szCs w:val="24"/>
                <w:vertAlign w:val="subscript"/>
              </w:rPr>
              <w:t>i</w:t>
            </w:r>
            <w:r>
              <w:rPr>
                <w:sz w:val="24"/>
                <w:szCs w:val="24"/>
              </w:rPr>
              <w:t>平均排放系数，g/</w:t>
            </w:r>
            <w:r>
              <w:rPr>
                <w:rFonts w:hint="eastAsia"/>
                <w:sz w:val="24"/>
                <w:szCs w:val="24"/>
              </w:rPr>
              <w:t>（</w:t>
            </w:r>
            <w:r>
              <w:rPr>
                <w:sz w:val="24"/>
                <w:szCs w:val="24"/>
              </w:rPr>
              <w:t>km</w:t>
            </w:r>
            <w:r>
              <w:rPr>
                <w:rFonts w:hint="eastAsia" w:ascii="微软雅黑" w:hAnsi="微软雅黑" w:eastAsia="微软雅黑" w:cs="微软雅黑"/>
                <w:sz w:val="24"/>
                <w:szCs w:val="24"/>
              </w:rPr>
              <w:t>∙</w:t>
            </w:r>
            <w:r>
              <w:rPr>
                <w:sz w:val="24"/>
                <w:szCs w:val="24"/>
              </w:rPr>
              <w:t>辆</w:t>
            </w:r>
            <w:r>
              <w:rPr>
                <w:rFonts w:hint="eastAsia"/>
                <w:sz w:val="24"/>
                <w:szCs w:val="24"/>
              </w:rPr>
              <w:t>）；</w:t>
            </w:r>
          </w:p>
          <w:p w14:paraId="1984666E">
            <w:pPr>
              <w:pStyle w:val="86"/>
              <w:spacing w:line="440" w:lineRule="exact"/>
              <w:ind w:firstLine="1200" w:firstLineChars="500"/>
              <w:rPr>
                <w:sz w:val="24"/>
                <w:szCs w:val="24"/>
              </w:rPr>
            </w:pPr>
            <w:r>
              <w:rPr>
                <w:sz w:val="24"/>
                <w:szCs w:val="24"/>
              </w:rPr>
              <w:t>L</w:t>
            </w:r>
            <w:r>
              <w:rPr>
                <w:sz w:val="24"/>
                <w:szCs w:val="24"/>
                <w:vertAlign w:val="subscript"/>
              </w:rPr>
              <w:t>R</w:t>
            </w:r>
            <w:r>
              <w:rPr>
                <w:rFonts w:hint="eastAsia"/>
                <w:sz w:val="24"/>
                <w:szCs w:val="24"/>
              </w:rPr>
              <w:t>——</w:t>
            </w:r>
            <w:r>
              <w:rPr>
                <w:sz w:val="24"/>
                <w:szCs w:val="24"/>
              </w:rPr>
              <w:t>道路长度，km</w:t>
            </w:r>
            <w:r>
              <w:rPr>
                <w:rFonts w:hint="eastAsia"/>
                <w:sz w:val="24"/>
                <w:szCs w:val="24"/>
              </w:rPr>
              <w:t>，厂区专用道路长约</w:t>
            </w:r>
            <w:r>
              <w:rPr>
                <w:sz w:val="24"/>
                <w:szCs w:val="24"/>
              </w:rPr>
              <w:t>0.</w:t>
            </w:r>
            <w:r>
              <w:rPr>
                <w:rFonts w:hint="eastAsia"/>
                <w:sz w:val="24"/>
                <w:szCs w:val="24"/>
              </w:rPr>
              <w:t>1</w:t>
            </w:r>
            <w:r>
              <w:rPr>
                <w:sz w:val="24"/>
                <w:szCs w:val="24"/>
              </w:rPr>
              <w:t>0</w:t>
            </w:r>
            <w:r>
              <w:rPr>
                <w:rFonts w:hint="eastAsia"/>
                <w:sz w:val="24"/>
                <w:szCs w:val="24"/>
              </w:rPr>
              <w:t>k</w:t>
            </w:r>
            <w:r>
              <w:rPr>
                <w:sz w:val="24"/>
                <w:szCs w:val="24"/>
              </w:rPr>
              <w:t>m</w:t>
            </w:r>
            <w:r>
              <w:rPr>
                <w:rFonts w:hint="eastAsia"/>
                <w:sz w:val="24"/>
                <w:szCs w:val="24"/>
              </w:rPr>
              <w:t>；</w:t>
            </w:r>
          </w:p>
          <w:p w14:paraId="075A544B">
            <w:pPr>
              <w:pStyle w:val="86"/>
              <w:spacing w:line="440" w:lineRule="exact"/>
              <w:ind w:firstLine="1200" w:firstLineChars="500"/>
              <w:rPr>
                <w:sz w:val="24"/>
                <w:szCs w:val="24"/>
              </w:rPr>
            </w:pPr>
            <w:r>
              <w:rPr>
                <w:sz w:val="24"/>
                <w:szCs w:val="24"/>
              </w:rPr>
              <w:t>N</w:t>
            </w:r>
            <w:r>
              <w:rPr>
                <w:sz w:val="24"/>
                <w:szCs w:val="24"/>
                <w:vertAlign w:val="subscript"/>
              </w:rPr>
              <w:t>R</w:t>
            </w:r>
            <w:r>
              <w:rPr>
                <w:rFonts w:hint="eastAsia"/>
                <w:sz w:val="24"/>
                <w:szCs w:val="24"/>
              </w:rPr>
              <w:t>——</w:t>
            </w:r>
            <w:r>
              <w:rPr>
                <w:sz w:val="24"/>
                <w:szCs w:val="24"/>
              </w:rPr>
              <w:t>一定时期内车辆在该段道路上的平均车流量，辆/a</w:t>
            </w:r>
            <w:r>
              <w:rPr>
                <w:rFonts w:hint="eastAsia"/>
                <w:sz w:val="24"/>
                <w:szCs w:val="24"/>
              </w:rPr>
              <w:t>，项目道路车流量约为5000</w:t>
            </w:r>
            <w:r>
              <w:rPr>
                <w:sz w:val="24"/>
                <w:szCs w:val="24"/>
              </w:rPr>
              <w:t>辆/a。</w:t>
            </w:r>
          </w:p>
          <w:p w14:paraId="2F607BEB">
            <w:pPr>
              <w:pStyle w:val="86"/>
              <w:spacing w:line="440" w:lineRule="exact"/>
              <w:ind w:firstLine="1200" w:firstLineChars="500"/>
              <w:rPr>
                <w:sz w:val="24"/>
                <w:szCs w:val="24"/>
              </w:rPr>
            </w:pPr>
            <w:r>
              <w:rPr>
                <w:sz w:val="24"/>
                <w:szCs w:val="24"/>
              </w:rPr>
              <w:t>n</w:t>
            </w:r>
            <w:r>
              <w:rPr>
                <w:sz w:val="24"/>
                <w:szCs w:val="24"/>
                <w:vertAlign w:val="subscript"/>
              </w:rPr>
              <w:t>r</w:t>
            </w:r>
            <w:r>
              <w:rPr>
                <w:rFonts w:hint="eastAsia"/>
                <w:sz w:val="24"/>
                <w:szCs w:val="24"/>
              </w:rPr>
              <w:t>——</w:t>
            </w:r>
            <w:r>
              <w:rPr>
                <w:sz w:val="24"/>
                <w:szCs w:val="24"/>
              </w:rPr>
              <w:t>不起尘天数，</w:t>
            </w:r>
            <w:r>
              <w:rPr>
                <w:rFonts w:hint="eastAsia"/>
                <w:sz w:val="24"/>
                <w:szCs w:val="24"/>
              </w:rPr>
              <w:t>考虑项目不生产天数及区域3-11月平均降雨天数，项目不起尘天数共计约135天。</w:t>
            </w:r>
          </w:p>
          <w:p w14:paraId="237EA277">
            <w:pPr>
              <w:pStyle w:val="86"/>
              <w:spacing w:line="440" w:lineRule="exact"/>
              <w:ind w:firstLine="480"/>
              <w:rPr>
                <w:sz w:val="24"/>
                <w:szCs w:val="22"/>
              </w:rPr>
            </w:pPr>
            <w:r>
              <w:rPr>
                <w:rFonts w:hint="eastAsia"/>
                <w:sz w:val="24"/>
                <w:szCs w:val="22"/>
              </w:rPr>
              <w:t>其中，对于铺装道路，</w:t>
            </w:r>
            <w:r>
              <w:rPr>
                <w:sz w:val="24"/>
                <w:szCs w:val="24"/>
              </w:rPr>
              <w:t>道路扬尘源排放系数E</w:t>
            </w:r>
            <w:r>
              <w:rPr>
                <w:sz w:val="24"/>
                <w:szCs w:val="24"/>
                <w:vertAlign w:val="subscript"/>
              </w:rPr>
              <w:t>Pi</w:t>
            </w:r>
            <w:r>
              <w:rPr>
                <w:rFonts w:hint="eastAsia"/>
                <w:sz w:val="24"/>
                <w:szCs w:val="22"/>
              </w:rPr>
              <w:t>估算公式为：</w:t>
            </w:r>
          </w:p>
          <w:p w14:paraId="4C2B7CA2">
            <w:pPr>
              <w:pStyle w:val="52"/>
              <w:spacing w:before="120" w:beforeLines="50"/>
            </w:pPr>
            <w:r>
              <w:drawing>
                <wp:inline distT="0" distB="0" distL="0" distR="0">
                  <wp:extent cx="2905125" cy="266700"/>
                  <wp:effectExtent l="0" t="0" r="0" b="0"/>
                  <wp:docPr id="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905125" cy="266700"/>
                          </a:xfrm>
                          <a:prstGeom prst="rect">
                            <a:avLst/>
                          </a:prstGeom>
                          <a:noFill/>
                          <a:ln>
                            <a:noFill/>
                          </a:ln>
                        </pic:spPr>
                      </pic:pic>
                    </a:graphicData>
                  </a:graphic>
                </wp:inline>
              </w:drawing>
            </w:r>
          </w:p>
          <w:p w14:paraId="3B591EAE">
            <w:pPr>
              <w:pStyle w:val="86"/>
              <w:spacing w:line="440" w:lineRule="exact"/>
              <w:ind w:firstLine="480"/>
              <w:rPr>
                <w:sz w:val="24"/>
                <w:szCs w:val="24"/>
              </w:rPr>
            </w:pPr>
            <w:r>
              <w:rPr>
                <w:sz w:val="24"/>
                <w:szCs w:val="24"/>
              </w:rPr>
              <w:t>式中</w:t>
            </w:r>
            <w:r>
              <w:rPr>
                <w:rFonts w:hint="eastAsia"/>
                <w:sz w:val="24"/>
                <w:szCs w:val="24"/>
              </w:rPr>
              <w:t>：</w:t>
            </w:r>
            <w:r>
              <w:rPr>
                <w:sz w:val="24"/>
                <w:szCs w:val="24"/>
              </w:rPr>
              <w:t>E</w:t>
            </w:r>
            <w:r>
              <w:rPr>
                <w:sz w:val="24"/>
                <w:szCs w:val="24"/>
                <w:vertAlign w:val="subscript"/>
              </w:rPr>
              <w:t>Pi</w:t>
            </w:r>
            <w:r>
              <w:rPr>
                <w:rFonts w:hint="eastAsia"/>
                <w:sz w:val="24"/>
                <w:szCs w:val="24"/>
              </w:rPr>
              <w:t>——</w:t>
            </w:r>
            <w:r>
              <w:rPr>
                <w:sz w:val="24"/>
                <w:szCs w:val="24"/>
              </w:rPr>
              <w:t>铺装道路的扬尘中PMi排放系数，g/km</w:t>
            </w:r>
            <w:r>
              <w:rPr>
                <w:rFonts w:hint="eastAsia"/>
                <w:sz w:val="24"/>
                <w:szCs w:val="24"/>
              </w:rPr>
              <w:t>；</w:t>
            </w:r>
          </w:p>
          <w:p w14:paraId="64FACC28">
            <w:pPr>
              <w:pStyle w:val="86"/>
              <w:spacing w:line="440" w:lineRule="exact"/>
              <w:ind w:firstLine="1200" w:firstLineChars="500"/>
              <w:rPr>
                <w:sz w:val="24"/>
                <w:szCs w:val="22"/>
              </w:rPr>
            </w:pPr>
            <w:r>
              <w:rPr>
                <w:sz w:val="24"/>
                <w:szCs w:val="24"/>
              </w:rPr>
              <w:t>k</w:t>
            </w:r>
            <w:r>
              <w:rPr>
                <w:sz w:val="24"/>
                <w:szCs w:val="24"/>
                <w:vertAlign w:val="subscript"/>
              </w:rPr>
              <w:t>i</w:t>
            </w:r>
            <w:r>
              <w:rPr>
                <w:rFonts w:hint="eastAsia"/>
                <w:sz w:val="24"/>
                <w:szCs w:val="24"/>
              </w:rPr>
              <w:t>——</w:t>
            </w:r>
            <w:r>
              <w:rPr>
                <w:sz w:val="24"/>
                <w:szCs w:val="24"/>
              </w:rPr>
              <w:t>产生的扬尘中PMi的粒度乘数，</w:t>
            </w:r>
            <w:r>
              <w:rPr>
                <w:rFonts w:hint="eastAsia"/>
                <w:sz w:val="24"/>
                <w:szCs w:val="22"/>
              </w:rPr>
              <w:t>参考技术指南表</w:t>
            </w:r>
            <w:r>
              <w:rPr>
                <w:sz w:val="24"/>
                <w:szCs w:val="22"/>
              </w:rPr>
              <w:t>5</w:t>
            </w:r>
            <w:r>
              <w:rPr>
                <w:rFonts w:hint="eastAsia"/>
                <w:sz w:val="24"/>
                <w:szCs w:val="22"/>
              </w:rPr>
              <w:t>，TSP为</w:t>
            </w:r>
            <w:r>
              <w:rPr>
                <w:sz w:val="24"/>
                <w:szCs w:val="22"/>
              </w:rPr>
              <w:t>3.23</w:t>
            </w:r>
            <w:r>
              <w:rPr>
                <w:rFonts w:hint="eastAsia"/>
                <w:sz w:val="24"/>
                <w:szCs w:val="22"/>
              </w:rPr>
              <w:t>；</w:t>
            </w:r>
          </w:p>
          <w:p w14:paraId="0476F74C">
            <w:pPr>
              <w:pStyle w:val="86"/>
              <w:spacing w:line="440" w:lineRule="exact"/>
              <w:ind w:firstLine="1200" w:firstLineChars="500"/>
              <w:rPr>
                <w:sz w:val="24"/>
                <w:szCs w:val="24"/>
              </w:rPr>
            </w:pPr>
            <w:r>
              <w:rPr>
                <w:sz w:val="24"/>
                <w:szCs w:val="24"/>
              </w:rPr>
              <w:t>sL</w:t>
            </w:r>
            <w:r>
              <w:rPr>
                <w:rFonts w:hint="eastAsia"/>
                <w:sz w:val="24"/>
                <w:szCs w:val="24"/>
              </w:rPr>
              <w:t>——</w:t>
            </w:r>
            <w:r>
              <w:rPr>
                <w:sz w:val="24"/>
                <w:szCs w:val="24"/>
              </w:rPr>
              <w:t>道路积尘负荷，g/m</w:t>
            </w:r>
            <w:r>
              <w:rPr>
                <w:sz w:val="24"/>
                <w:szCs w:val="24"/>
                <w:vertAlign w:val="superscript"/>
              </w:rPr>
              <w:t>2</w:t>
            </w:r>
            <w:r>
              <w:rPr>
                <w:rFonts w:hint="eastAsia"/>
                <w:sz w:val="24"/>
                <w:szCs w:val="24"/>
              </w:rPr>
              <w:t>；类比</w:t>
            </w:r>
            <w:r>
              <w:rPr>
                <w:sz w:val="24"/>
                <w:szCs w:val="24"/>
              </w:rPr>
              <w:t>《防治城市扬尘污染技术规范》（HJ/T 393-2007）中的附录</w:t>
            </w:r>
            <w:r>
              <w:rPr>
                <w:rFonts w:hint="eastAsia"/>
                <w:sz w:val="24"/>
                <w:szCs w:val="24"/>
              </w:rPr>
              <w:t>C参考值，取值为1</w:t>
            </w:r>
            <w:r>
              <w:rPr>
                <w:sz w:val="24"/>
                <w:szCs w:val="24"/>
              </w:rPr>
              <w:t>0g/m</w:t>
            </w:r>
            <w:r>
              <w:rPr>
                <w:sz w:val="24"/>
                <w:szCs w:val="24"/>
                <w:vertAlign w:val="superscript"/>
              </w:rPr>
              <w:t>2</w:t>
            </w:r>
            <w:r>
              <w:rPr>
                <w:rFonts w:hint="eastAsia"/>
                <w:sz w:val="24"/>
                <w:szCs w:val="24"/>
              </w:rPr>
              <w:t>；</w:t>
            </w:r>
          </w:p>
          <w:p w14:paraId="62F9CD23">
            <w:pPr>
              <w:pStyle w:val="86"/>
              <w:spacing w:line="440" w:lineRule="exact"/>
              <w:ind w:firstLine="1200" w:firstLineChars="500"/>
              <w:rPr>
                <w:sz w:val="24"/>
                <w:szCs w:val="24"/>
              </w:rPr>
            </w:pPr>
            <w:r>
              <w:rPr>
                <w:sz w:val="24"/>
                <w:szCs w:val="24"/>
              </w:rPr>
              <w:t>W</w:t>
            </w:r>
            <w:r>
              <w:rPr>
                <w:rFonts w:hint="eastAsia"/>
                <w:sz w:val="24"/>
                <w:szCs w:val="24"/>
              </w:rPr>
              <w:t>——</w:t>
            </w:r>
            <w:r>
              <w:rPr>
                <w:sz w:val="24"/>
                <w:szCs w:val="24"/>
              </w:rPr>
              <w:t>平均车重，t</w:t>
            </w:r>
            <w:r>
              <w:rPr>
                <w:rFonts w:hint="eastAsia"/>
                <w:sz w:val="24"/>
                <w:szCs w:val="24"/>
              </w:rPr>
              <w:t>，2</w:t>
            </w:r>
            <w:r>
              <w:rPr>
                <w:sz w:val="24"/>
                <w:szCs w:val="24"/>
              </w:rPr>
              <w:t>0t</w:t>
            </w:r>
            <w:r>
              <w:rPr>
                <w:rFonts w:hint="eastAsia"/>
                <w:sz w:val="24"/>
                <w:szCs w:val="24"/>
              </w:rPr>
              <w:t>；</w:t>
            </w:r>
          </w:p>
          <w:p w14:paraId="243FB034">
            <w:pPr>
              <w:pStyle w:val="86"/>
              <w:spacing w:line="440" w:lineRule="exact"/>
              <w:ind w:firstLine="1200" w:firstLineChars="500"/>
              <w:rPr>
                <w:sz w:val="24"/>
                <w:szCs w:val="22"/>
              </w:rPr>
            </w:pPr>
            <w:r>
              <w:rPr>
                <w:rFonts w:hint="eastAsia"/>
                <w:sz w:val="24"/>
                <w:szCs w:val="22"/>
              </w:rPr>
              <w:t>η</w:t>
            </w:r>
            <w:r>
              <w:rPr>
                <w:rFonts w:hint="eastAsia"/>
                <w:sz w:val="24"/>
                <w:szCs w:val="24"/>
              </w:rPr>
              <w:t>——</w:t>
            </w:r>
            <w:r>
              <w:rPr>
                <w:sz w:val="24"/>
                <w:szCs w:val="24"/>
              </w:rPr>
              <w:t>污染控制技术对扬尘的去除效率，</w:t>
            </w:r>
            <w:r>
              <w:rPr>
                <w:rFonts w:hint="eastAsia"/>
                <w:sz w:val="24"/>
                <w:szCs w:val="22"/>
              </w:rPr>
              <w:t>参考技术指南表</w:t>
            </w:r>
            <w:r>
              <w:rPr>
                <w:sz w:val="24"/>
                <w:szCs w:val="22"/>
              </w:rPr>
              <w:t>6</w:t>
            </w:r>
            <w:r>
              <w:rPr>
                <w:rFonts w:hint="eastAsia"/>
                <w:sz w:val="24"/>
                <w:szCs w:val="22"/>
              </w:rPr>
              <w:t>，本项目对道路每天进行洒水抑尘，抑尘效率取值为</w:t>
            </w:r>
            <w:r>
              <w:rPr>
                <w:sz w:val="24"/>
                <w:szCs w:val="22"/>
              </w:rPr>
              <w:t>66%</w:t>
            </w:r>
            <w:r>
              <w:rPr>
                <w:rFonts w:hint="eastAsia"/>
                <w:sz w:val="24"/>
                <w:szCs w:val="22"/>
              </w:rPr>
              <w:t>。</w:t>
            </w:r>
          </w:p>
          <w:p w14:paraId="3A57715D">
            <w:pPr>
              <w:pStyle w:val="86"/>
              <w:spacing w:line="440" w:lineRule="exact"/>
              <w:ind w:firstLine="480"/>
              <w:rPr>
                <w:sz w:val="24"/>
                <w:szCs w:val="24"/>
              </w:rPr>
            </w:pPr>
            <w:r>
              <w:rPr>
                <w:rFonts w:hint="eastAsia"/>
                <w:sz w:val="24"/>
                <w:szCs w:val="24"/>
              </w:rPr>
              <w:t>通过上述公式计算可知，本项目</w:t>
            </w:r>
            <w:r>
              <w:rPr>
                <w:sz w:val="24"/>
                <w:szCs w:val="24"/>
              </w:rPr>
              <w:t>道路扬尘源排放系数</w:t>
            </w:r>
            <w:r>
              <w:rPr>
                <w:rFonts w:hint="eastAsia"/>
                <w:sz w:val="24"/>
                <w:szCs w:val="24"/>
              </w:rPr>
              <w:t>为189.55</w:t>
            </w:r>
            <w:r>
              <w:rPr>
                <w:sz w:val="24"/>
                <w:szCs w:val="24"/>
              </w:rPr>
              <w:t>g/km</w:t>
            </w:r>
            <w:r>
              <w:rPr>
                <w:rFonts w:hint="eastAsia"/>
                <w:sz w:val="24"/>
                <w:szCs w:val="24"/>
              </w:rPr>
              <w:t>，本项目专用道路长约0.1km，则道路扬尘产生量为0.175t/a。评价要求</w:t>
            </w:r>
            <w:r>
              <w:rPr>
                <w:rFonts w:hint="eastAsia"/>
                <w:bCs/>
                <w:sz w:val="24"/>
                <w:szCs w:val="24"/>
              </w:rPr>
              <w:t>项目厂区出入口建设1座标准化洗车平台，运输车辆进出厂区时对车身、轮胎进行冲洗。同时，</w:t>
            </w:r>
            <w:r>
              <w:rPr>
                <w:rFonts w:hint="eastAsia"/>
                <w:sz w:val="24"/>
                <w:szCs w:val="24"/>
              </w:rPr>
              <w:t>运输车辆限制车速、限制超载，并采用固定苫盖车辆运输。再则，运输道路及时清扫，并设洒水车定期洒水。采取上述措施后抑尘效率约为</w:t>
            </w:r>
            <w:r>
              <w:rPr>
                <w:sz w:val="24"/>
                <w:szCs w:val="24"/>
              </w:rPr>
              <w:t>66</w:t>
            </w:r>
            <w:r>
              <w:rPr>
                <w:rFonts w:hint="eastAsia"/>
                <w:sz w:val="24"/>
                <w:szCs w:val="24"/>
              </w:rPr>
              <w:t>%，则本项目运输扬尘排放量约为0.06t/a。同时，进出厂运输车辆全部采用国六标准或新能源车辆；厂区非道路机械全部采用国四及以上标准或新能源机械。</w:t>
            </w:r>
          </w:p>
          <w:p w14:paraId="47A4D8A6">
            <w:pPr>
              <w:adjustRightInd w:val="0"/>
              <w:snapToGrid w:val="0"/>
              <w:spacing w:line="440" w:lineRule="exact"/>
              <w:jc w:val="center"/>
              <w:rPr>
                <w:bCs/>
                <w:color w:val="000000"/>
                <w:kern w:val="0"/>
                <w:sz w:val="24"/>
                <w:szCs w:val="21"/>
              </w:rPr>
            </w:pPr>
            <w:r>
              <w:rPr>
                <w:rFonts w:hint="eastAsia"/>
                <w:bCs/>
                <w:color w:val="000000"/>
                <w:kern w:val="0"/>
                <w:sz w:val="24"/>
                <w:szCs w:val="21"/>
              </w:rPr>
              <w:t>表4-3  项目无组织废气污染源源强核算表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59"/>
              <w:gridCol w:w="1552"/>
              <w:gridCol w:w="1887"/>
              <w:gridCol w:w="1614"/>
              <w:gridCol w:w="2622"/>
            </w:tblGrid>
            <w:tr w14:paraId="621D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326" w:type="pct"/>
                  <w:gridSpan w:val="2"/>
                  <w:tcBorders>
                    <w:top w:val="single" w:color="auto" w:sz="4" w:space="0"/>
                    <w:left w:val="single" w:color="auto" w:sz="4" w:space="0"/>
                    <w:bottom w:val="single" w:color="auto" w:sz="4" w:space="0"/>
                    <w:right w:val="single" w:color="auto" w:sz="4" w:space="0"/>
                  </w:tcBorders>
                  <w:vAlign w:val="center"/>
                </w:tcPr>
                <w:p w14:paraId="1A18264F">
                  <w:pPr>
                    <w:widowControl/>
                    <w:spacing w:line="300" w:lineRule="exact"/>
                    <w:jc w:val="center"/>
                    <w:rPr>
                      <w:color w:val="000000"/>
                      <w:szCs w:val="21"/>
                    </w:rPr>
                  </w:pPr>
                  <w:r>
                    <w:rPr>
                      <w:rFonts w:hint="eastAsia" w:ascii="宋体" w:hAnsi="宋体"/>
                      <w:color w:val="000000"/>
                      <w:szCs w:val="21"/>
                    </w:rPr>
                    <w:t>污染源名称</w:t>
                  </w:r>
                </w:p>
              </w:tc>
              <w:tc>
                <w:tcPr>
                  <w:tcW w:w="1132" w:type="pct"/>
                  <w:tcBorders>
                    <w:top w:val="single" w:color="auto" w:sz="4" w:space="0"/>
                    <w:left w:val="single" w:color="auto" w:sz="4" w:space="0"/>
                    <w:bottom w:val="single" w:color="auto" w:sz="4" w:space="0"/>
                    <w:right w:val="single" w:color="auto" w:sz="4" w:space="0"/>
                  </w:tcBorders>
                  <w:vAlign w:val="center"/>
                </w:tcPr>
                <w:p w14:paraId="2B825B8C">
                  <w:pPr>
                    <w:widowControl/>
                    <w:spacing w:line="300" w:lineRule="exact"/>
                    <w:jc w:val="center"/>
                    <w:rPr>
                      <w:color w:val="000000"/>
                      <w:szCs w:val="21"/>
                    </w:rPr>
                  </w:pPr>
                  <w:r>
                    <w:rPr>
                      <w:rFonts w:hint="eastAsia" w:ascii="宋体" w:hAnsi="宋体"/>
                      <w:color w:val="000000"/>
                      <w:szCs w:val="21"/>
                    </w:rPr>
                    <w:t>砂石料堆存区</w:t>
                  </w:r>
                </w:p>
              </w:tc>
              <w:tc>
                <w:tcPr>
                  <w:tcW w:w="968" w:type="pct"/>
                  <w:tcBorders>
                    <w:top w:val="single" w:color="auto" w:sz="4" w:space="0"/>
                    <w:left w:val="single" w:color="auto" w:sz="4" w:space="0"/>
                    <w:bottom w:val="single" w:color="auto" w:sz="4" w:space="0"/>
                    <w:right w:val="single" w:color="auto" w:sz="4" w:space="0"/>
                  </w:tcBorders>
                  <w:vAlign w:val="center"/>
                </w:tcPr>
                <w:p w14:paraId="42FEE233">
                  <w:pPr>
                    <w:widowControl/>
                    <w:spacing w:line="300" w:lineRule="exact"/>
                    <w:jc w:val="center"/>
                    <w:rPr>
                      <w:color w:val="000000"/>
                      <w:szCs w:val="21"/>
                    </w:rPr>
                  </w:pPr>
                  <w:r>
                    <w:rPr>
                      <w:rFonts w:hint="eastAsia" w:ascii="宋体" w:hAnsi="宋体"/>
                      <w:color w:val="000000"/>
                      <w:szCs w:val="21"/>
                    </w:rPr>
                    <w:t>皮带输送</w:t>
                  </w:r>
                </w:p>
              </w:tc>
              <w:tc>
                <w:tcPr>
                  <w:tcW w:w="1572" w:type="pct"/>
                  <w:tcBorders>
                    <w:top w:val="single" w:color="auto" w:sz="4" w:space="0"/>
                    <w:left w:val="single" w:color="auto" w:sz="4" w:space="0"/>
                    <w:bottom w:val="single" w:color="auto" w:sz="4" w:space="0"/>
                    <w:right w:val="single" w:color="auto" w:sz="4" w:space="0"/>
                  </w:tcBorders>
                  <w:vAlign w:val="center"/>
                </w:tcPr>
                <w:p w14:paraId="47389E49">
                  <w:pPr>
                    <w:widowControl/>
                    <w:spacing w:line="300" w:lineRule="exact"/>
                    <w:jc w:val="center"/>
                    <w:rPr>
                      <w:color w:val="000000"/>
                      <w:szCs w:val="21"/>
                    </w:rPr>
                  </w:pPr>
                  <w:r>
                    <w:rPr>
                      <w:rFonts w:hint="eastAsia" w:ascii="宋体" w:hAnsi="宋体"/>
                      <w:color w:val="000000"/>
                      <w:szCs w:val="21"/>
                    </w:rPr>
                    <w:t>运输道路</w:t>
                  </w:r>
                </w:p>
              </w:tc>
            </w:tr>
            <w:tr w14:paraId="2869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326" w:type="pct"/>
                  <w:gridSpan w:val="2"/>
                  <w:tcBorders>
                    <w:top w:val="single" w:color="auto" w:sz="4" w:space="0"/>
                    <w:left w:val="single" w:color="auto" w:sz="4" w:space="0"/>
                    <w:bottom w:val="single" w:color="auto" w:sz="4" w:space="0"/>
                    <w:right w:val="single" w:color="auto" w:sz="4" w:space="0"/>
                  </w:tcBorders>
                  <w:vAlign w:val="center"/>
                </w:tcPr>
                <w:p w14:paraId="159E420B">
                  <w:pPr>
                    <w:widowControl/>
                    <w:spacing w:line="300" w:lineRule="exact"/>
                    <w:jc w:val="center"/>
                    <w:rPr>
                      <w:color w:val="000000"/>
                      <w:szCs w:val="21"/>
                    </w:rPr>
                  </w:pPr>
                  <w:r>
                    <w:rPr>
                      <w:rFonts w:hint="eastAsia" w:ascii="宋体" w:hAnsi="宋体"/>
                      <w:color w:val="000000"/>
                      <w:szCs w:val="21"/>
                    </w:rPr>
                    <w:t>污染物种类</w:t>
                  </w:r>
                </w:p>
              </w:tc>
              <w:tc>
                <w:tcPr>
                  <w:tcW w:w="1132" w:type="pct"/>
                  <w:tcBorders>
                    <w:top w:val="single" w:color="auto" w:sz="4" w:space="0"/>
                    <w:left w:val="single" w:color="auto" w:sz="4" w:space="0"/>
                    <w:bottom w:val="single" w:color="auto" w:sz="4" w:space="0"/>
                    <w:right w:val="single" w:color="auto" w:sz="4" w:space="0"/>
                  </w:tcBorders>
                  <w:vAlign w:val="center"/>
                </w:tcPr>
                <w:p w14:paraId="73586574">
                  <w:pPr>
                    <w:widowControl/>
                    <w:spacing w:line="300" w:lineRule="exact"/>
                    <w:jc w:val="center"/>
                    <w:rPr>
                      <w:color w:val="000000"/>
                      <w:szCs w:val="21"/>
                    </w:rPr>
                  </w:pPr>
                  <w:r>
                    <w:rPr>
                      <w:rFonts w:hint="eastAsia" w:ascii="宋体" w:hAnsi="宋体"/>
                      <w:color w:val="000000"/>
                      <w:szCs w:val="21"/>
                    </w:rPr>
                    <w:t>颗粒物</w:t>
                  </w:r>
                </w:p>
              </w:tc>
              <w:tc>
                <w:tcPr>
                  <w:tcW w:w="968" w:type="pct"/>
                  <w:tcBorders>
                    <w:top w:val="single" w:color="auto" w:sz="4" w:space="0"/>
                    <w:left w:val="single" w:color="auto" w:sz="4" w:space="0"/>
                    <w:bottom w:val="single" w:color="auto" w:sz="4" w:space="0"/>
                    <w:right w:val="single" w:color="auto" w:sz="4" w:space="0"/>
                  </w:tcBorders>
                  <w:vAlign w:val="center"/>
                </w:tcPr>
                <w:p w14:paraId="2138FB98">
                  <w:pPr>
                    <w:widowControl/>
                    <w:spacing w:line="300" w:lineRule="exact"/>
                    <w:jc w:val="center"/>
                    <w:rPr>
                      <w:color w:val="000000"/>
                      <w:szCs w:val="21"/>
                    </w:rPr>
                  </w:pPr>
                  <w:r>
                    <w:rPr>
                      <w:rFonts w:hint="eastAsia" w:ascii="宋体" w:hAnsi="宋体"/>
                      <w:color w:val="000000"/>
                      <w:szCs w:val="21"/>
                    </w:rPr>
                    <w:t>颗粒物</w:t>
                  </w:r>
                </w:p>
              </w:tc>
              <w:tc>
                <w:tcPr>
                  <w:tcW w:w="1572" w:type="pct"/>
                  <w:tcBorders>
                    <w:top w:val="single" w:color="auto" w:sz="4" w:space="0"/>
                    <w:left w:val="single" w:color="auto" w:sz="4" w:space="0"/>
                    <w:bottom w:val="single" w:color="auto" w:sz="4" w:space="0"/>
                    <w:right w:val="single" w:color="auto" w:sz="4" w:space="0"/>
                  </w:tcBorders>
                  <w:vAlign w:val="center"/>
                </w:tcPr>
                <w:p w14:paraId="2218B1CA">
                  <w:pPr>
                    <w:widowControl/>
                    <w:spacing w:line="300" w:lineRule="exact"/>
                    <w:jc w:val="center"/>
                    <w:rPr>
                      <w:color w:val="000000"/>
                      <w:szCs w:val="21"/>
                    </w:rPr>
                  </w:pPr>
                  <w:r>
                    <w:rPr>
                      <w:rFonts w:hint="eastAsia" w:ascii="宋体" w:hAnsi="宋体"/>
                      <w:color w:val="000000"/>
                      <w:szCs w:val="21"/>
                    </w:rPr>
                    <w:t>颗粒物</w:t>
                  </w:r>
                </w:p>
              </w:tc>
            </w:tr>
            <w:tr w14:paraId="7857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326" w:type="pct"/>
                  <w:gridSpan w:val="2"/>
                  <w:tcBorders>
                    <w:top w:val="single" w:color="auto" w:sz="4" w:space="0"/>
                    <w:left w:val="single" w:color="auto" w:sz="4" w:space="0"/>
                    <w:bottom w:val="single" w:color="auto" w:sz="4" w:space="0"/>
                    <w:right w:val="single" w:color="auto" w:sz="4" w:space="0"/>
                  </w:tcBorders>
                  <w:vAlign w:val="center"/>
                </w:tcPr>
                <w:p w14:paraId="6BFCDFD2">
                  <w:pPr>
                    <w:widowControl/>
                    <w:spacing w:line="300" w:lineRule="exact"/>
                    <w:jc w:val="center"/>
                    <w:rPr>
                      <w:color w:val="000000"/>
                      <w:szCs w:val="21"/>
                    </w:rPr>
                  </w:pPr>
                  <w:r>
                    <w:rPr>
                      <w:rFonts w:hint="eastAsia" w:ascii="宋体" w:hAnsi="宋体"/>
                      <w:color w:val="000000"/>
                      <w:szCs w:val="21"/>
                    </w:rPr>
                    <w:t>排放方式</w:t>
                  </w:r>
                </w:p>
              </w:tc>
              <w:tc>
                <w:tcPr>
                  <w:tcW w:w="1132" w:type="pct"/>
                  <w:tcBorders>
                    <w:top w:val="single" w:color="auto" w:sz="4" w:space="0"/>
                    <w:left w:val="single" w:color="auto" w:sz="4" w:space="0"/>
                    <w:bottom w:val="single" w:color="auto" w:sz="4" w:space="0"/>
                    <w:right w:val="single" w:color="auto" w:sz="4" w:space="0"/>
                  </w:tcBorders>
                  <w:vAlign w:val="center"/>
                </w:tcPr>
                <w:p w14:paraId="5F2371F9">
                  <w:pPr>
                    <w:widowControl/>
                    <w:spacing w:line="300" w:lineRule="exact"/>
                    <w:jc w:val="center"/>
                    <w:rPr>
                      <w:color w:val="000000"/>
                      <w:szCs w:val="21"/>
                    </w:rPr>
                  </w:pPr>
                  <w:r>
                    <w:rPr>
                      <w:rFonts w:hint="eastAsia" w:ascii="宋体" w:hAnsi="宋体"/>
                      <w:color w:val="000000"/>
                      <w:szCs w:val="21"/>
                    </w:rPr>
                    <w:t>无组织</w:t>
                  </w:r>
                </w:p>
              </w:tc>
              <w:tc>
                <w:tcPr>
                  <w:tcW w:w="968" w:type="pct"/>
                  <w:tcBorders>
                    <w:top w:val="single" w:color="auto" w:sz="4" w:space="0"/>
                    <w:left w:val="single" w:color="auto" w:sz="4" w:space="0"/>
                    <w:bottom w:val="single" w:color="auto" w:sz="4" w:space="0"/>
                    <w:right w:val="single" w:color="auto" w:sz="4" w:space="0"/>
                  </w:tcBorders>
                  <w:vAlign w:val="center"/>
                </w:tcPr>
                <w:p w14:paraId="6DD852DE">
                  <w:pPr>
                    <w:widowControl/>
                    <w:spacing w:line="300" w:lineRule="exact"/>
                    <w:jc w:val="center"/>
                    <w:rPr>
                      <w:color w:val="000000"/>
                      <w:szCs w:val="21"/>
                    </w:rPr>
                  </w:pPr>
                  <w:r>
                    <w:rPr>
                      <w:rFonts w:hint="eastAsia" w:ascii="宋体" w:hAnsi="宋体"/>
                      <w:color w:val="000000"/>
                      <w:szCs w:val="21"/>
                    </w:rPr>
                    <w:t>无组织</w:t>
                  </w:r>
                </w:p>
              </w:tc>
              <w:tc>
                <w:tcPr>
                  <w:tcW w:w="1572" w:type="pct"/>
                  <w:tcBorders>
                    <w:top w:val="single" w:color="auto" w:sz="4" w:space="0"/>
                    <w:left w:val="single" w:color="auto" w:sz="4" w:space="0"/>
                    <w:bottom w:val="single" w:color="auto" w:sz="4" w:space="0"/>
                    <w:right w:val="single" w:color="auto" w:sz="4" w:space="0"/>
                  </w:tcBorders>
                  <w:vAlign w:val="center"/>
                </w:tcPr>
                <w:p w14:paraId="1EF000B1">
                  <w:pPr>
                    <w:widowControl/>
                    <w:spacing w:line="300" w:lineRule="exact"/>
                    <w:jc w:val="center"/>
                    <w:rPr>
                      <w:color w:val="000000"/>
                      <w:szCs w:val="21"/>
                    </w:rPr>
                  </w:pPr>
                  <w:r>
                    <w:rPr>
                      <w:rFonts w:hint="eastAsia" w:ascii="宋体" w:hAnsi="宋体"/>
                      <w:color w:val="000000"/>
                      <w:szCs w:val="21"/>
                    </w:rPr>
                    <w:t>无组织</w:t>
                  </w:r>
                </w:p>
              </w:tc>
            </w:tr>
            <w:tr w14:paraId="680F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95" w:type="pct"/>
                  <w:vMerge w:val="restart"/>
                  <w:tcBorders>
                    <w:top w:val="nil"/>
                    <w:left w:val="single" w:color="auto" w:sz="4" w:space="0"/>
                    <w:bottom w:val="single" w:color="auto" w:sz="4" w:space="0"/>
                    <w:right w:val="single" w:color="auto" w:sz="4" w:space="0"/>
                  </w:tcBorders>
                  <w:vAlign w:val="center"/>
                </w:tcPr>
                <w:p w14:paraId="47F6BA72">
                  <w:pPr>
                    <w:widowControl/>
                    <w:spacing w:line="300" w:lineRule="exact"/>
                    <w:jc w:val="center"/>
                    <w:rPr>
                      <w:color w:val="000000"/>
                      <w:szCs w:val="21"/>
                    </w:rPr>
                  </w:pPr>
                  <w:r>
                    <w:rPr>
                      <w:rFonts w:hint="eastAsia" w:ascii="宋体" w:hAnsi="宋体"/>
                      <w:color w:val="000000"/>
                      <w:szCs w:val="21"/>
                    </w:rPr>
                    <w:t>污染物产生情况</w:t>
                  </w:r>
                </w:p>
              </w:tc>
              <w:tc>
                <w:tcPr>
                  <w:tcW w:w="931" w:type="pct"/>
                  <w:tcBorders>
                    <w:top w:val="single" w:color="auto" w:sz="4" w:space="0"/>
                    <w:left w:val="single" w:color="auto" w:sz="4" w:space="0"/>
                    <w:bottom w:val="single" w:color="auto" w:sz="4" w:space="0"/>
                    <w:right w:val="single" w:color="auto" w:sz="4" w:space="0"/>
                  </w:tcBorders>
                  <w:vAlign w:val="center"/>
                </w:tcPr>
                <w:p w14:paraId="5F5B7377">
                  <w:pPr>
                    <w:widowControl/>
                    <w:spacing w:line="300" w:lineRule="exact"/>
                    <w:jc w:val="center"/>
                    <w:rPr>
                      <w:color w:val="000000"/>
                      <w:szCs w:val="21"/>
                    </w:rPr>
                  </w:pPr>
                  <w:r>
                    <w:rPr>
                      <w:rFonts w:hint="eastAsia" w:ascii="宋体" w:hAnsi="宋体"/>
                      <w:color w:val="000000"/>
                      <w:szCs w:val="21"/>
                    </w:rPr>
                    <w:t>产生量（</w:t>
                  </w:r>
                  <w:r>
                    <w:rPr>
                      <w:color w:val="000000"/>
                      <w:szCs w:val="21"/>
                    </w:rPr>
                    <w:t>kg</w:t>
                  </w:r>
                  <w:r>
                    <w:rPr>
                      <w:rFonts w:hint="eastAsia"/>
                      <w:color w:val="000000"/>
                      <w:szCs w:val="21"/>
                    </w:rPr>
                    <w:t>/h）</w:t>
                  </w:r>
                </w:p>
              </w:tc>
              <w:tc>
                <w:tcPr>
                  <w:tcW w:w="1132" w:type="pct"/>
                  <w:tcBorders>
                    <w:top w:val="single" w:color="auto" w:sz="4" w:space="0"/>
                    <w:left w:val="single" w:color="auto" w:sz="4" w:space="0"/>
                    <w:bottom w:val="single" w:color="auto" w:sz="4" w:space="0"/>
                    <w:right w:val="single" w:color="auto" w:sz="4" w:space="0"/>
                  </w:tcBorders>
                  <w:vAlign w:val="center"/>
                </w:tcPr>
                <w:p w14:paraId="52698415">
                  <w:pPr>
                    <w:widowControl/>
                    <w:spacing w:line="300" w:lineRule="exact"/>
                    <w:jc w:val="center"/>
                    <w:rPr>
                      <w:color w:val="000000"/>
                      <w:szCs w:val="21"/>
                    </w:rPr>
                  </w:pPr>
                  <w:r>
                    <w:rPr>
                      <w:color w:val="000000"/>
                      <w:szCs w:val="21"/>
                    </w:rPr>
                    <w:t>/</w:t>
                  </w:r>
                </w:p>
              </w:tc>
              <w:tc>
                <w:tcPr>
                  <w:tcW w:w="968" w:type="pct"/>
                  <w:tcBorders>
                    <w:top w:val="single" w:color="auto" w:sz="4" w:space="0"/>
                    <w:left w:val="single" w:color="auto" w:sz="4" w:space="0"/>
                    <w:bottom w:val="single" w:color="auto" w:sz="4" w:space="0"/>
                    <w:right w:val="single" w:color="auto" w:sz="4" w:space="0"/>
                  </w:tcBorders>
                  <w:vAlign w:val="center"/>
                </w:tcPr>
                <w:p w14:paraId="34FCEA07">
                  <w:pPr>
                    <w:widowControl/>
                    <w:spacing w:line="300" w:lineRule="exact"/>
                    <w:jc w:val="center"/>
                    <w:rPr>
                      <w:color w:val="000000"/>
                      <w:szCs w:val="21"/>
                    </w:rPr>
                  </w:pPr>
                  <w:r>
                    <w:rPr>
                      <w:color w:val="000000"/>
                      <w:szCs w:val="21"/>
                    </w:rPr>
                    <w:t>/</w:t>
                  </w:r>
                </w:p>
              </w:tc>
              <w:tc>
                <w:tcPr>
                  <w:tcW w:w="1572" w:type="pct"/>
                  <w:tcBorders>
                    <w:top w:val="single" w:color="auto" w:sz="4" w:space="0"/>
                    <w:left w:val="single" w:color="auto" w:sz="4" w:space="0"/>
                    <w:bottom w:val="single" w:color="auto" w:sz="4" w:space="0"/>
                    <w:right w:val="single" w:color="auto" w:sz="4" w:space="0"/>
                  </w:tcBorders>
                  <w:vAlign w:val="center"/>
                </w:tcPr>
                <w:p w14:paraId="65AAE48F">
                  <w:pPr>
                    <w:widowControl/>
                    <w:spacing w:line="300" w:lineRule="exact"/>
                    <w:jc w:val="center"/>
                    <w:rPr>
                      <w:color w:val="000000"/>
                      <w:szCs w:val="21"/>
                    </w:rPr>
                  </w:pPr>
                  <w:r>
                    <w:rPr>
                      <w:rFonts w:hint="eastAsia"/>
                      <w:color w:val="000000"/>
                      <w:szCs w:val="21"/>
                    </w:rPr>
                    <w:t>/</w:t>
                  </w:r>
                </w:p>
              </w:tc>
            </w:tr>
            <w:tr w14:paraId="5D8E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95" w:type="pct"/>
                  <w:vMerge w:val="continue"/>
                  <w:tcBorders>
                    <w:top w:val="nil"/>
                    <w:left w:val="single" w:color="auto" w:sz="4" w:space="0"/>
                    <w:bottom w:val="single" w:color="auto" w:sz="4" w:space="0"/>
                    <w:right w:val="single" w:color="auto" w:sz="4" w:space="0"/>
                  </w:tcBorders>
                  <w:vAlign w:val="center"/>
                </w:tcPr>
                <w:p w14:paraId="29AC4366">
                  <w:pPr>
                    <w:widowControl/>
                    <w:jc w:val="left"/>
                    <w:rPr>
                      <w:color w:val="000000"/>
                      <w:szCs w:val="21"/>
                    </w:rPr>
                  </w:pPr>
                </w:p>
              </w:tc>
              <w:tc>
                <w:tcPr>
                  <w:tcW w:w="931" w:type="pct"/>
                  <w:tcBorders>
                    <w:top w:val="single" w:color="auto" w:sz="4" w:space="0"/>
                    <w:left w:val="single" w:color="auto" w:sz="4" w:space="0"/>
                    <w:bottom w:val="single" w:color="auto" w:sz="4" w:space="0"/>
                    <w:right w:val="single" w:color="auto" w:sz="4" w:space="0"/>
                  </w:tcBorders>
                  <w:vAlign w:val="center"/>
                </w:tcPr>
                <w:p w14:paraId="50A25B2C">
                  <w:pPr>
                    <w:widowControl/>
                    <w:spacing w:line="300" w:lineRule="exact"/>
                    <w:jc w:val="center"/>
                    <w:rPr>
                      <w:color w:val="000000"/>
                      <w:szCs w:val="21"/>
                    </w:rPr>
                  </w:pPr>
                  <w:r>
                    <w:rPr>
                      <w:rFonts w:hint="eastAsia" w:ascii="宋体" w:hAnsi="宋体"/>
                      <w:color w:val="000000"/>
                      <w:szCs w:val="21"/>
                    </w:rPr>
                    <w:t>核算方法</w:t>
                  </w:r>
                </w:p>
              </w:tc>
              <w:tc>
                <w:tcPr>
                  <w:tcW w:w="1132" w:type="pct"/>
                  <w:tcBorders>
                    <w:top w:val="single" w:color="auto" w:sz="4" w:space="0"/>
                    <w:left w:val="single" w:color="auto" w:sz="4" w:space="0"/>
                    <w:bottom w:val="single" w:color="auto" w:sz="4" w:space="0"/>
                    <w:right w:val="single" w:color="auto" w:sz="4" w:space="0"/>
                  </w:tcBorders>
                  <w:vAlign w:val="center"/>
                </w:tcPr>
                <w:p w14:paraId="7F908CE2">
                  <w:pPr>
                    <w:widowControl/>
                    <w:spacing w:line="300" w:lineRule="exact"/>
                    <w:jc w:val="center"/>
                    <w:rPr>
                      <w:color w:val="000000"/>
                      <w:szCs w:val="21"/>
                    </w:rPr>
                  </w:pPr>
                  <w:r>
                    <w:rPr>
                      <w:rFonts w:hint="eastAsia" w:ascii="宋体" w:hAnsi="宋体"/>
                      <w:color w:val="000000"/>
                      <w:szCs w:val="21"/>
                    </w:rPr>
                    <w:t>产污系数法</w:t>
                  </w:r>
                </w:p>
              </w:tc>
              <w:tc>
                <w:tcPr>
                  <w:tcW w:w="968" w:type="pct"/>
                  <w:tcBorders>
                    <w:top w:val="single" w:color="auto" w:sz="4" w:space="0"/>
                    <w:left w:val="single" w:color="auto" w:sz="4" w:space="0"/>
                    <w:bottom w:val="single" w:color="auto" w:sz="4" w:space="0"/>
                    <w:right w:val="single" w:color="auto" w:sz="4" w:space="0"/>
                  </w:tcBorders>
                  <w:vAlign w:val="center"/>
                </w:tcPr>
                <w:p w14:paraId="6779BB80">
                  <w:pPr>
                    <w:widowControl/>
                    <w:spacing w:line="300" w:lineRule="exact"/>
                    <w:jc w:val="center"/>
                    <w:rPr>
                      <w:color w:val="000000"/>
                      <w:szCs w:val="21"/>
                    </w:rPr>
                  </w:pPr>
                  <w:r>
                    <w:rPr>
                      <w:rFonts w:hint="eastAsia" w:ascii="宋体" w:hAnsi="宋体"/>
                      <w:color w:val="000000"/>
                      <w:szCs w:val="21"/>
                    </w:rPr>
                    <w:t>产污系数法</w:t>
                  </w:r>
                </w:p>
              </w:tc>
              <w:tc>
                <w:tcPr>
                  <w:tcW w:w="1572" w:type="pct"/>
                  <w:tcBorders>
                    <w:top w:val="single" w:color="auto" w:sz="4" w:space="0"/>
                    <w:left w:val="single" w:color="auto" w:sz="4" w:space="0"/>
                    <w:bottom w:val="single" w:color="auto" w:sz="4" w:space="0"/>
                    <w:right w:val="single" w:color="auto" w:sz="4" w:space="0"/>
                  </w:tcBorders>
                  <w:vAlign w:val="center"/>
                </w:tcPr>
                <w:p w14:paraId="441B1203">
                  <w:pPr>
                    <w:widowControl/>
                    <w:spacing w:line="300" w:lineRule="exact"/>
                    <w:jc w:val="center"/>
                    <w:rPr>
                      <w:color w:val="000000"/>
                      <w:szCs w:val="21"/>
                    </w:rPr>
                  </w:pPr>
                  <w:r>
                    <w:rPr>
                      <w:rFonts w:hint="eastAsia" w:ascii="宋体" w:hAnsi="宋体"/>
                      <w:color w:val="000000"/>
                      <w:szCs w:val="21"/>
                    </w:rPr>
                    <w:t>产污系数法</w:t>
                  </w:r>
                </w:p>
              </w:tc>
            </w:tr>
            <w:tr w14:paraId="3EC6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95" w:type="pct"/>
                  <w:vMerge w:val="continue"/>
                  <w:tcBorders>
                    <w:top w:val="nil"/>
                    <w:left w:val="single" w:color="auto" w:sz="4" w:space="0"/>
                    <w:bottom w:val="single" w:color="auto" w:sz="4" w:space="0"/>
                    <w:right w:val="single" w:color="auto" w:sz="4" w:space="0"/>
                  </w:tcBorders>
                  <w:vAlign w:val="center"/>
                </w:tcPr>
                <w:p w14:paraId="4E703C42">
                  <w:pPr>
                    <w:widowControl/>
                    <w:jc w:val="left"/>
                    <w:rPr>
                      <w:color w:val="000000"/>
                      <w:szCs w:val="21"/>
                    </w:rPr>
                  </w:pPr>
                </w:p>
              </w:tc>
              <w:tc>
                <w:tcPr>
                  <w:tcW w:w="931" w:type="pct"/>
                  <w:tcBorders>
                    <w:top w:val="single" w:color="auto" w:sz="4" w:space="0"/>
                    <w:left w:val="single" w:color="auto" w:sz="4" w:space="0"/>
                    <w:bottom w:val="single" w:color="auto" w:sz="4" w:space="0"/>
                    <w:right w:val="single" w:color="auto" w:sz="4" w:space="0"/>
                  </w:tcBorders>
                  <w:vAlign w:val="center"/>
                </w:tcPr>
                <w:p w14:paraId="42C4907C">
                  <w:pPr>
                    <w:widowControl/>
                    <w:spacing w:line="300" w:lineRule="exact"/>
                    <w:jc w:val="center"/>
                    <w:rPr>
                      <w:color w:val="000000"/>
                      <w:szCs w:val="21"/>
                    </w:rPr>
                  </w:pPr>
                  <w:r>
                    <w:rPr>
                      <w:rFonts w:hint="eastAsia" w:ascii="宋体" w:hAnsi="宋体"/>
                      <w:color w:val="000000"/>
                      <w:szCs w:val="21"/>
                    </w:rPr>
                    <w:t>年产生量（</w:t>
                  </w:r>
                  <w:r>
                    <w:rPr>
                      <w:rFonts w:hint="eastAsia"/>
                      <w:color w:val="000000"/>
                      <w:szCs w:val="21"/>
                    </w:rPr>
                    <w:t>t/</w:t>
                  </w:r>
                  <w:r>
                    <w:rPr>
                      <w:color w:val="000000"/>
                      <w:szCs w:val="21"/>
                    </w:rPr>
                    <w:t>a</w:t>
                  </w:r>
                  <w:r>
                    <w:rPr>
                      <w:rFonts w:hint="eastAsia"/>
                      <w:color w:val="000000"/>
                      <w:szCs w:val="21"/>
                    </w:rPr>
                    <w:t>）</w:t>
                  </w:r>
                </w:p>
              </w:tc>
              <w:tc>
                <w:tcPr>
                  <w:tcW w:w="1132" w:type="pct"/>
                  <w:tcBorders>
                    <w:top w:val="single" w:color="auto" w:sz="4" w:space="0"/>
                    <w:left w:val="single" w:color="auto" w:sz="4" w:space="0"/>
                    <w:bottom w:val="single" w:color="auto" w:sz="4" w:space="0"/>
                    <w:right w:val="single" w:color="auto" w:sz="4" w:space="0"/>
                  </w:tcBorders>
                  <w:vAlign w:val="center"/>
                </w:tcPr>
                <w:p w14:paraId="09E7BD17">
                  <w:pPr>
                    <w:widowControl/>
                    <w:spacing w:line="300" w:lineRule="exact"/>
                    <w:jc w:val="center"/>
                    <w:rPr>
                      <w:color w:val="000000"/>
                      <w:szCs w:val="21"/>
                    </w:rPr>
                  </w:pPr>
                  <w:r>
                    <w:rPr>
                      <w:rFonts w:hint="eastAsia"/>
                      <w:color w:val="000000"/>
                      <w:szCs w:val="21"/>
                    </w:rPr>
                    <w:t>5.6</w:t>
                  </w:r>
                </w:p>
              </w:tc>
              <w:tc>
                <w:tcPr>
                  <w:tcW w:w="968" w:type="pct"/>
                  <w:tcBorders>
                    <w:top w:val="single" w:color="auto" w:sz="4" w:space="0"/>
                    <w:left w:val="single" w:color="auto" w:sz="4" w:space="0"/>
                    <w:bottom w:val="single" w:color="auto" w:sz="4" w:space="0"/>
                    <w:right w:val="single" w:color="auto" w:sz="4" w:space="0"/>
                  </w:tcBorders>
                  <w:vAlign w:val="center"/>
                </w:tcPr>
                <w:p w14:paraId="1A4DDF3E">
                  <w:pPr>
                    <w:widowControl/>
                    <w:spacing w:line="300" w:lineRule="exact"/>
                    <w:jc w:val="center"/>
                    <w:rPr>
                      <w:color w:val="000000"/>
                      <w:szCs w:val="21"/>
                    </w:rPr>
                  </w:pPr>
                  <w:r>
                    <w:rPr>
                      <w:rFonts w:hint="eastAsia"/>
                      <w:color w:val="000000"/>
                      <w:szCs w:val="21"/>
                    </w:rPr>
                    <w:t>33.8</w:t>
                  </w:r>
                </w:p>
              </w:tc>
              <w:tc>
                <w:tcPr>
                  <w:tcW w:w="1572" w:type="pct"/>
                  <w:tcBorders>
                    <w:top w:val="single" w:color="auto" w:sz="4" w:space="0"/>
                    <w:left w:val="single" w:color="auto" w:sz="4" w:space="0"/>
                    <w:bottom w:val="single" w:color="auto" w:sz="4" w:space="0"/>
                    <w:right w:val="single" w:color="auto" w:sz="4" w:space="0"/>
                  </w:tcBorders>
                  <w:vAlign w:val="center"/>
                </w:tcPr>
                <w:p w14:paraId="387A16BB">
                  <w:pPr>
                    <w:widowControl/>
                    <w:spacing w:line="300" w:lineRule="exact"/>
                    <w:jc w:val="center"/>
                    <w:rPr>
                      <w:color w:val="000000"/>
                      <w:szCs w:val="21"/>
                    </w:rPr>
                  </w:pPr>
                  <w:r>
                    <w:rPr>
                      <w:rFonts w:hint="eastAsia"/>
                      <w:color w:val="000000"/>
                      <w:szCs w:val="21"/>
                    </w:rPr>
                    <w:t>0.175</w:t>
                  </w:r>
                </w:p>
              </w:tc>
            </w:tr>
            <w:tr w14:paraId="30A1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95" w:type="pct"/>
                  <w:tcBorders>
                    <w:top w:val="single" w:color="auto" w:sz="4" w:space="0"/>
                    <w:left w:val="single" w:color="auto" w:sz="4" w:space="0"/>
                    <w:bottom w:val="single" w:color="auto" w:sz="4" w:space="0"/>
                    <w:right w:val="single" w:color="auto" w:sz="4" w:space="0"/>
                  </w:tcBorders>
                  <w:vAlign w:val="center"/>
                </w:tcPr>
                <w:p w14:paraId="6B204A2A">
                  <w:pPr>
                    <w:widowControl/>
                    <w:spacing w:line="300" w:lineRule="exact"/>
                    <w:jc w:val="center"/>
                    <w:rPr>
                      <w:color w:val="000000"/>
                      <w:szCs w:val="21"/>
                    </w:rPr>
                  </w:pPr>
                  <w:r>
                    <w:rPr>
                      <w:rFonts w:hint="eastAsia" w:ascii="宋体" w:hAnsi="宋体"/>
                      <w:color w:val="000000"/>
                      <w:szCs w:val="21"/>
                    </w:rPr>
                    <w:t>污染防治措施</w:t>
                  </w:r>
                </w:p>
              </w:tc>
              <w:tc>
                <w:tcPr>
                  <w:tcW w:w="931" w:type="pct"/>
                  <w:tcBorders>
                    <w:top w:val="single" w:color="auto" w:sz="4" w:space="0"/>
                    <w:left w:val="single" w:color="auto" w:sz="4" w:space="0"/>
                    <w:bottom w:val="single" w:color="auto" w:sz="4" w:space="0"/>
                    <w:right w:val="single" w:color="auto" w:sz="4" w:space="0"/>
                  </w:tcBorders>
                  <w:vAlign w:val="center"/>
                </w:tcPr>
                <w:p w14:paraId="50CA1B67">
                  <w:pPr>
                    <w:widowControl/>
                    <w:spacing w:line="300" w:lineRule="exact"/>
                    <w:jc w:val="center"/>
                    <w:rPr>
                      <w:color w:val="000000"/>
                      <w:szCs w:val="21"/>
                    </w:rPr>
                  </w:pPr>
                  <w:r>
                    <w:rPr>
                      <w:rFonts w:hint="eastAsia" w:ascii="宋体" w:hAnsi="宋体"/>
                      <w:color w:val="000000"/>
                      <w:szCs w:val="21"/>
                    </w:rPr>
                    <w:t>治理设施</w:t>
                  </w:r>
                </w:p>
              </w:tc>
              <w:tc>
                <w:tcPr>
                  <w:tcW w:w="1132" w:type="pct"/>
                  <w:tcBorders>
                    <w:top w:val="single" w:color="auto" w:sz="4" w:space="0"/>
                    <w:left w:val="single" w:color="auto" w:sz="4" w:space="0"/>
                    <w:bottom w:val="single" w:color="auto" w:sz="4" w:space="0"/>
                    <w:right w:val="single" w:color="auto" w:sz="4" w:space="0"/>
                  </w:tcBorders>
                  <w:vAlign w:val="center"/>
                </w:tcPr>
                <w:p w14:paraId="748A18DB">
                  <w:pPr>
                    <w:widowControl/>
                    <w:spacing w:line="300" w:lineRule="exact"/>
                    <w:jc w:val="center"/>
                    <w:rPr>
                      <w:color w:val="000000"/>
                      <w:szCs w:val="21"/>
                    </w:rPr>
                  </w:pPr>
                  <w:r>
                    <w:rPr>
                      <w:rFonts w:hint="eastAsia" w:ascii="宋体" w:hAnsi="宋体"/>
                      <w:color w:val="000000"/>
                      <w:szCs w:val="21"/>
                    </w:rPr>
                    <w:t>全封闭储库，设置覆盖全场的喷雾抑尘设施，卸料时设移动雾炮降尘</w:t>
                  </w:r>
                </w:p>
              </w:tc>
              <w:tc>
                <w:tcPr>
                  <w:tcW w:w="968" w:type="pct"/>
                  <w:tcBorders>
                    <w:top w:val="single" w:color="auto" w:sz="4" w:space="0"/>
                    <w:left w:val="single" w:color="auto" w:sz="4" w:space="0"/>
                    <w:bottom w:val="single" w:color="auto" w:sz="4" w:space="0"/>
                    <w:right w:val="single" w:color="auto" w:sz="4" w:space="0"/>
                  </w:tcBorders>
                  <w:vAlign w:val="center"/>
                </w:tcPr>
                <w:p w14:paraId="70E86C9C">
                  <w:pPr>
                    <w:widowControl/>
                    <w:spacing w:line="300" w:lineRule="exact"/>
                    <w:jc w:val="center"/>
                    <w:rPr>
                      <w:color w:val="000000"/>
                      <w:szCs w:val="21"/>
                    </w:rPr>
                  </w:pPr>
                  <w:r>
                    <w:rPr>
                      <w:rFonts w:hint="eastAsia" w:ascii="宋体" w:hAnsi="宋体"/>
                      <w:color w:val="000000"/>
                      <w:szCs w:val="21"/>
                    </w:rPr>
                    <w:t>皮带输送机及提升机全封闭</w:t>
                  </w:r>
                </w:p>
              </w:tc>
              <w:tc>
                <w:tcPr>
                  <w:tcW w:w="1572" w:type="pct"/>
                  <w:tcBorders>
                    <w:top w:val="single" w:color="auto" w:sz="4" w:space="0"/>
                    <w:left w:val="single" w:color="auto" w:sz="4" w:space="0"/>
                    <w:bottom w:val="single" w:color="auto" w:sz="4" w:space="0"/>
                    <w:right w:val="single" w:color="auto" w:sz="4" w:space="0"/>
                  </w:tcBorders>
                  <w:vAlign w:val="center"/>
                </w:tcPr>
                <w:p w14:paraId="1F9BA1F9">
                  <w:pPr>
                    <w:widowControl/>
                    <w:spacing w:line="300" w:lineRule="exact"/>
                    <w:jc w:val="center"/>
                    <w:rPr>
                      <w:color w:val="000000"/>
                      <w:szCs w:val="21"/>
                    </w:rPr>
                  </w:pPr>
                  <w:r>
                    <w:rPr>
                      <w:rFonts w:ascii="宋体" w:hAnsi="宋体"/>
                      <w:color w:val="000000"/>
                      <w:szCs w:val="21"/>
                    </w:rPr>
                    <w:t>车辆出厂</w:t>
                  </w:r>
                  <w:r>
                    <w:rPr>
                      <w:rFonts w:hint="eastAsia" w:ascii="宋体" w:hAnsi="宋体"/>
                      <w:color w:val="000000"/>
                      <w:szCs w:val="21"/>
                    </w:rPr>
                    <w:t>前</w:t>
                  </w:r>
                  <w:r>
                    <w:rPr>
                      <w:rFonts w:ascii="宋体" w:hAnsi="宋体"/>
                      <w:color w:val="000000"/>
                      <w:szCs w:val="21"/>
                    </w:rPr>
                    <w:t>对车身、轮胎进行冲洗；运输车辆封闭</w:t>
                  </w:r>
                  <w:r>
                    <w:rPr>
                      <w:rFonts w:hint="eastAsia" w:ascii="宋体" w:hAnsi="宋体"/>
                      <w:color w:val="000000"/>
                      <w:szCs w:val="21"/>
                    </w:rPr>
                    <w:t>，</w:t>
                  </w:r>
                  <w:r>
                    <w:rPr>
                      <w:rFonts w:ascii="宋体" w:hAnsi="宋体"/>
                      <w:color w:val="000000"/>
                      <w:szCs w:val="21"/>
                    </w:rPr>
                    <w:t>限制车速、限制超载；运输道路</w:t>
                  </w:r>
                  <w:r>
                    <w:rPr>
                      <w:rFonts w:hint="eastAsia" w:ascii="宋体" w:hAnsi="宋体"/>
                      <w:color w:val="000000"/>
                      <w:szCs w:val="21"/>
                    </w:rPr>
                    <w:t>硬化，</w:t>
                  </w:r>
                  <w:r>
                    <w:rPr>
                      <w:rFonts w:ascii="宋体" w:hAnsi="宋体"/>
                      <w:color w:val="000000"/>
                      <w:szCs w:val="21"/>
                    </w:rPr>
                    <w:t>及时清扫，并设洒水车定期洒水</w:t>
                  </w:r>
                  <w:r>
                    <w:rPr>
                      <w:rFonts w:hint="eastAsia" w:ascii="宋体" w:hAnsi="宋体"/>
                      <w:color w:val="000000"/>
                      <w:szCs w:val="21"/>
                    </w:rPr>
                    <w:t>抑尘</w:t>
                  </w:r>
                  <w:r>
                    <w:rPr>
                      <w:rFonts w:ascii="宋体" w:hAnsi="宋体"/>
                      <w:color w:val="000000"/>
                      <w:szCs w:val="21"/>
                    </w:rPr>
                    <w:t>。</w:t>
                  </w:r>
                </w:p>
              </w:tc>
            </w:tr>
            <w:tr w14:paraId="325B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95" w:type="pct"/>
                  <w:vMerge w:val="restart"/>
                  <w:tcBorders>
                    <w:top w:val="nil"/>
                    <w:left w:val="single" w:color="auto" w:sz="4" w:space="0"/>
                    <w:bottom w:val="single" w:color="auto" w:sz="4" w:space="0"/>
                    <w:right w:val="single" w:color="auto" w:sz="4" w:space="0"/>
                  </w:tcBorders>
                  <w:vAlign w:val="center"/>
                </w:tcPr>
                <w:p w14:paraId="3FAB192F">
                  <w:pPr>
                    <w:widowControl/>
                    <w:spacing w:line="300" w:lineRule="exact"/>
                    <w:jc w:val="center"/>
                    <w:rPr>
                      <w:color w:val="000000"/>
                      <w:szCs w:val="21"/>
                    </w:rPr>
                  </w:pPr>
                  <w:r>
                    <w:rPr>
                      <w:rFonts w:hint="eastAsia" w:ascii="宋体" w:hAnsi="宋体"/>
                      <w:color w:val="000000"/>
                      <w:szCs w:val="21"/>
                    </w:rPr>
                    <w:t>污染物排放情况</w:t>
                  </w:r>
                </w:p>
              </w:tc>
              <w:tc>
                <w:tcPr>
                  <w:tcW w:w="931" w:type="pct"/>
                  <w:tcBorders>
                    <w:top w:val="single" w:color="auto" w:sz="4" w:space="0"/>
                    <w:left w:val="single" w:color="auto" w:sz="4" w:space="0"/>
                    <w:bottom w:val="single" w:color="auto" w:sz="4" w:space="0"/>
                    <w:right w:val="single" w:color="auto" w:sz="4" w:space="0"/>
                  </w:tcBorders>
                  <w:vAlign w:val="center"/>
                </w:tcPr>
                <w:p w14:paraId="21F203A8">
                  <w:pPr>
                    <w:widowControl/>
                    <w:spacing w:line="300" w:lineRule="exact"/>
                    <w:jc w:val="center"/>
                    <w:rPr>
                      <w:color w:val="000000"/>
                      <w:szCs w:val="21"/>
                    </w:rPr>
                  </w:pPr>
                  <w:r>
                    <w:rPr>
                      <w:rFonts w:hint="eastAsia" w:ascii="宋体" w:hAnsi="宋体"/>
                      <w:color w:val="000000"/>
                      <w:szCs w:val="21"/>
                    </w:rPr>
                    <w:t>排放量（</w:t>
                  </w:r>
                  <w:r>
                    <w:rPr>
                      <w:rFonts w:hint="eastAsia"/>
                      <w:color w:val="000000"/>
                      <w:szCs w:val="21"/>
                    </w:rPr>
                    <w:t>kg/h）</w:t>
                  </w:r>
                </w:p>
              </w:tc>
              <w:tc>
                <w:tcPr>
                  <w:tcW w:w="1132" w:type="pct"/>
                  <w:tcBorders>
                    <w:top w:val="single" w:color="auto" w:sz="4" w:space="0"/>
                    <w:left w:val="single" w:color="auto" w:sz="4" w:space="0"/>
                    <w:bottom w:val="single" w:color="auto" w:sz="4" w:space="0"/>
                    <w:right w:val="single" w:color="auto" w:sz="4" w:space="0"/>
                  </w:tcBorders>
                  <w:vAlign w:val="center"/>
                </w:tcPr>
                <w:p w14:paraId="5C8306DE">
                  <w:pPr>
                    <w:widowControl/>
                    <w:spacing w:line="300" w:lineRule="exact"/>
                    <w:jc w:val="center"/>
                    <w:rPr>
                      <w:color w:val="000000"/>
                      <w:szCs w:val="21"/>
                    </w:rPr>
                  </w:pPr>
                  <w:r>
                    <w:rPr>
                      <w:rFonts w:hint="eastAsia"/>
                      <w:color w:val="000000"/>
                      <w:szCs w:val="21"/>
                    </w:rPr>
                    <w:t>/</w:t>
                  </w:r>
                </w:p>
              </w:tc>
              <w:tc>
                <w:tcPr>
                  <w:tcW w:w="968" w:type="pct"/>
                  <w:tcBorders>
                    <w:top w:val="single" w:color="auto" w:sz="4" w:space="0"/>
                    <w:left w:val="single" w:color="auto" w:sz="4" w:space="0"/>
                    <w:bottom w:val="single" w:color="auto" w:sz="4" w:space="0"/>
                    <w:right w:val="single" w:color="auto" w:sz="4" w:space="0"/>
                  </w:tcBorders>
                  <w:vAlign w:val="center"/>
                </w:tcPr>
                <w:p w14:paraId="29AB4D63">
                  <w:pPr>
                    <w:widowControl/>
                    <w:spacing w:line="300" w:lineRule="exact"/>
                    <w:jc w:val="center"/>
                    <w:rPr>
                      <w:color w:val="000000"/>
                      <w:szCs w:val="21"/>
                    </w:rPr>
                  </w:pPr>
                  <w:r>
                    <w:rPr>
                      <w:rFonts w:hint="eastAsia"/>
                      <w:color w:val="000000"/>
                      <w:szCs w:val="21"/>
                    </w:rPr>
                    <w:t>/</w:t>
                  </w:r>
                </w:p>
              </w:tc>
              <w:tc>
                <w:tcPr>
                  <w:tcW w:w="1572" w:type="pct"/>
                  <w:tcBorders>
                    <w:top w:val="single" w:color="auto" w:sz="4" w:space="0"/>
                    <w:left w:val="single" w:color="auto" w:sz="4" w:space="0"/>
                    <w:bottom w:val="single" w:color="auto" w:sz="4" w:space="0"/>
                    <w:right w:val="single" w:color="auto" w:sz="4" w:space="0"/>
                  </w:tcBorders>
                  <w:vAlign w:val="center"/>
                </w:tcPr>
                <w:p w14:paraId="2BC4A788">
                  <w:pPr>
                    <w:widowControl/>
                    <w:spacing w:line="300" w:lineRule="exact"/>
                    <w:jc w:val="center"/>
                    <w:rPr>
                      <w:color w:val="000000"/>
                      <w:szCs w:val="21"/>
                    </w:rPr>
                  </w:pPr>
                  <w:r>
                    <w:rPr>
                      <w:rFonts w:hint="eastAsia"/>
                      <w:color w:val="000000"/>
                      <w:szCs w:val="21"/>
                    </w:rPr>
                    <w:t>/</w:t>
                  </w:r>
                </w:p>
              </w:tc>
            </w:tr>
            <w:tr w14:paraId="0A1F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95" w:type="pct"/>
                  <w:vMerge w:val="continue"/>
                  <w:tcBorders>
                    <w:top w:val="nil"/>
                    <w:left w:val="single" w:color="auto" w:sz="4" w:space="0"/>
                    <w:bottom w:val="single" w:color="auto" w:sz="4" w:space="0"/>
                    <w:right w:val="single" w:color="auto" w:sz="4" w:space="0"/>
                  </w:tcBorders>
                  <w:vAlign w:val="center"/>
                </w:tcPr>
                <w:p w14:paraId="08E2247A">
                  <w:pPr>
                    <w:widowControl/>
                    <w:jc w:val="left"/>
                    <w:rPr>
                      <w:color w:val="000000"/>
                      <w:szCs w:val="21"/>
                    </w:rPr>
                  </w:pPr>
                </w:p>
              </w:tc>
              <w:tc>
                <w:tcPr>
                  <w:tcW w:w="931" w:type="pct"/>
                  <w:tcBorders>
                    <w:top w:val="single" w:color="auto" w:sz="4" w:space="0"/>
                    <w:left w:val="single" w:color="auto" w:sz="4" w:space="0"/>
                    <w:bottom w:val="single" w:color="auto" w:sz="4" w:space="0"/>
                    <w:right w:val="single" w:color="auto" w:sz="4" w:space="0"/>
                  </w:tcBorders>
                  <w:vAlign w:val="center"/>
                </w:tcPr>
                <w:p w14:paraId="669E242D">
                  <w:pPr>
                    <w:widowControl/>
                    <w:spacing w:line="300" w:lineRule="exact"/>
                    <w:jc w:val="center"/>
                    <w:rPr>
                      <w:color w:val="000000"/>
                      <w:szCs w:val="21"/>
                    </w:rPr>
                  </w:pPr>
                  <w:r>
                    <w:rPr>
                      <w:rFonts w:hint="eastAsia" w:ascii="宋体" w:hAnsi="宋体"/>
                      <w:color w:val="000000"/>
                      <w:szCs w:val="21"/>
                    </w:rPr>
                    <w:t>核算方法</w:t>
                  </w:r>
                </w:p>
              </w:tc>
              <w:tc>
                <w:tcPr>
                  <w:tcW w:w="1132" w:type="pct"/>
                  <w:tcBorders>
                    <w:top w:val="single" w:color="auto" w:sz="4" w:space="0"/>
                    <w:left w:val="single" w:color="auto" w:sz="4" w:space="0"/>
                    <w:bottom w:val="single" w:color="auto" w:sz="4" w:space="0"/>
                    <w:right w:val="single" w:color="auto" w:sz="4" w:space="0"/>
                  </w:tcBorders>
                  <w:vAlign w:val="center"/>
                </w:tcPr>
                <w:p w14:paraId="5BDEB39A">
                  <w:pPr>
                    <w:widowControl/>
                    <w:spacing w:line="300" w:lineRule="exact"/>
                    <w:jc w:val="center"/>
                    <w:rPr>
                      <w:color w:val="000000"/>
                      <w:szCs w:val="21"/>
                    </w:rPr>
                  </w:pPr>
                  <w:r>
                    <w:rPr>
                      <w:rFonts w:hint="eastAsia" w:ascii="宋体" w:hAnsi="宋体"/>
                      <w:color w:val="000000"/>
                      <w:szCs w:val="21"/>
                    </w:rPr>
                    <w:t>产污系数法</w:t>
                  </w:r>
                </w:p>
              </w:tc>
              <w:tc>
                <w:tcPr>
                  <w:tcW w:w="968" w:type="pct"/>
                  <w:tcBorders>
                    <w:top w:val="single" w:color="auto" w:sz="4" w:space="0"/>
                    <w:left w:val="single" w:color="auto" w:sz="4" w:space="0"/>
                    <w:bottom w:val="single" w:color="auto" w:sz="4" w:space="0"/>
                    <w:right w:val="single" w:color="auto" w:sz="4" w:space="0"/>
                  </w:tcBorders>
                  <w:vAlign w:val="center"/>
                </w:tcPr>
                <w:p w14:paraId="099D124F">
                  <w:pPr>
                    <w:widowControl/>
                    <w:spacing w:line="300" w:lineRule="exact"/>
                    <w:jc w:val="center"/>
                    <w:rPr>
                      <w:color w:val="000000"/>
                      <w:szCs w:val="21"/>
                    </w:rPr>
                  </w:pPr>
                  <w:r>
                    <w:rPr>
                      <w:rFonts w:hint="eastAsia" w:ascii="宋体" w:hAnsi="宋体"/>
                      <w:color w:val="000000"/>
                      <w:szCs w:val="21"/>
                    </w:rPr>
                    <w:t>产污系数法</w:t>
                  </w:r>
                </w:p>
              </w:tc>
              <w:tc>
                <w:tcPr>
                  <w:tcW w:w="1572" w:type="pct"/>
                  <w:tcBorders>
                    <w:top w:val="single" w:color="auto" w:sz="4" w:space="0"/>
                    <w:left w:val="single" w:color="auto" w:sz="4" w:space="0"/>
                    <w:bottom w:val="single" w:color="auto" w:sz="4" w:space="0"/>
                    <w:right w:val="single" w:color="auto" w:sz="4" w:space="0"/>
                  </w:tcBorders>
                  <w:vAlign w:val="center"/>
                </w:tcPr>
                <w:p w14:paraId="69D421BC">
                  <w:pPr>
                    <w:widowControl/>
                    <w:spacing w:line="300" w:lineRule="exact"/>
                    <w:jc w:val="center"/>
                    <w:rPr>
                      <w:color w:val="000000"/>
                      <w:szCs w:val="21"/>
                    </w:rPr>
                  </w:pPr>
                  <w:r>
                    <w:rPr>
                      <w:rFonts w:hint="eastAsia" w:ascii="宋体" w:hAnsi="宋体"/>
                      <w:color w:val="000000"/>
                      <w:szCs w:val="21"/>
                    </w:rPr>
                    <w:t>产污系数法</w:t>
                  </w:r>
                </w:p>
              </w:tc>
            </w:tr>
            <w:tr w14:paraId="5824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95" w:type="pct"/>
                  <w:vMerge w:val="continue"/>
                  <w:tcBorders>
                    <w:top w:val="nil"/>
                    <w:left w:val="single" w:color="auto" w:sz="4" w:space="0"/>
                    <w:bottom w:val="single" w:color="auto" w:sz="4" w:space="0"/>
                    <w:right w:val="single" w:color="auto" w:sz="4" w:space="0"/>
                  </w:tcBorders>
                  <w:vAlign w:val="center"/>
                </w:tcPr>
                <w:p w14:paraId="66997B6A">
                  <w:pPr>
                    <w:widowControl/>
                    <w:jc w:val="left"/>
                    <w:rPr>
                      <w:color w:val="000000"/>
                      <w:szCs w:val="21"/>
                    </w:rPr>
                  </w:pPr>
                </w:p>
              </w:tc>
              <w:tc>
                <w:tcPr>
                  <w:tcW w:w="931" w:type="pct"/>
                  <w:tcBorders>
                    <w:top w:val="single" w:color="auto" w:sz="4" w:space="0"/>
                    <w:left w:val="single" w:color="auto" w:sz="4" w:space="0"/>
                    <w:bottom w:val="single" w:color="auto" w:sz="4" w:space="0"/>
                    <w:right w:val="single" w:color="auto" w:sz="4" w:space="0"/>
                  </w:tcBorders>
                  <w:vAlign w:val="center"/>
                </w:tcPr>
                <w:p w14:paraId="29207D2E">
                  <w:pPr>
                    <w:widowControl/>
                    <w:spacing w:line="300" w:lineRule="exact"/>
                    <w:jc w:val="center"/>
                    <w:rPr>
                      <w:color w:val="000000"/>
                      <w:szCs w:val="21"/>
                    </w:rPr>
                  </w:pPr>
                  <w:r>
                    <w:rPr>
                      <w:rFonts w:hint="eastAsia" w:ascii="宋体" w:hAnsi="宋体"/>
                      <w:color w:val="000000"/>
                      <w:szCs w:val="21"/>
                    </w:rPr>
                    <w:t>年排放量（</w:t>
                  </w:r>
                  <w:r>
                    <w:rPr>
                      <w:rFonts w:hint="eastAsia"/>
                      <w:color w:val="000000"/>
                      <w:szCs w:val="21"/>
                    </w:rPr>
                    <w:t>t/</w:t>
                  </w:r>
                  <w:r>
                    <w:rPr>
                      <w:color w:val="000000"/>
                      <w:szCs w:val="21"/>
                    </w:rPr>
                    <w:t>a</w:t>
                  </w:r>
                  <w:r>
                    <w:rPr>
                      <w:rFonts w:hint="eastAsia"/>
                      <w:color w:val="000000"/>
                      <w:szCs w:val="21"/>
                    </w:rPr>
                    <w:t>）</w:t>
                  </w:r>
                </w:p>
              </w:tc>
              <w:tc>
                <w:tcPr>
                  <w:tcW w:w="1132" w:type="pct"/>
                  <w:tcBorders>
                    <w:top w:val="single" w:color="auto" w:sz="4" w:space="0"/>
                    <w:left w:val="single" w:color="auto" w:sz="4" w:space="0"/>
                    <w:bottom w:val="single" w:color="auto" w:sz="4" w:space="0"/>
                    <w:right w:val="single" w:color="auto" w:sz="4" w:space="0"/>
                  </w:tcBorders>
                  <w:vAlign w:val="center"/>
                </w:tcPr>
                <w:p w14:paraId="5E6F2839">
                  <w:pPr>
                    <w:widowControl/>
                    <w:spacing w:line="300" w:lineRule="exact"/>
                    <w:jc w:val="center"/>
                    <w:rPr>
                      <w:color w:val="000000"/>
                      <w:szCs w:val="21"/>
                    </w:rPr>
                  </w:pPr>
                  <w:r>
                    <w:rPr>
                      <w:rFonts w:hint="eastAsia"/>
                      <w:color w:val="000000"/>
                      <w:szCs w:val="21"/>
                    </w:rPr>
                    <w:t>0.056</w:t>
                  </w:r>
                </w:p>
              </w:tc>
              <w:tc>
                <w:tcPr>
                  <w:tcW w:w="968" w:type="pct"/>
                  <w:tcBorders>
                    <w:top w:val="single" w:color="auto" w:sz="4" w:space="0"/>
                    <w:left w:val="single" w:color="auto" w:sz="4" w:space="0"/>
                    <w:bottom w:val="single" w:color="auto" w:sz="4" w:space="0"/>
                    <w:right w:val="single" w:color="auto" w:sz="4" w:space="0"/>
                  </w:tcBorders>
                  <w:vAlign w:val="center"/>
                </w:tcPr>
                <w:p w14:paraId="6966FCBA">
                  <w:pPr>
                    <w:widowControl/>
                    <w:spacing w:line="300" w:lineRule="exact"/>
                    <w:jc w:val="center"/>
                    <w:rPr>
                      <w:color w:val="000000"/>
                      <w:szCs w:val="21"/>
                    </w:rPr>
                  </w:pPr>
                  <w:r>
                    <w:rPr>
                      <w:rFonts w:hint="eastAsia"/>
                      <w:color w:val="000000"/>
                      <w:szCs w:val="21"/>
                    </w:rPr>
                    <w:t>/</w:t>
                  </w:r>
                </w:p>
              </w:tc>
              <w:tc>
                <w:tcPr>
                  <w:tcW w:w="1572" w:type="pct"/>
                  <w:tcBorders>
                    <w:top w:val="single" w:color="auto" w:sz="4" w:space="0"/>
                    <w:left w:val="single" w:color="auto" w:sz="4" w:space="0"/>
                    <w:bottom w:val="single" w:color="auto" w:sz="4" w:space="0"/>
                    <w:right w:val="single" w:color="auto" w:sz="4" w:space="0"/>
                  </w:tcBorders>
                  <w:vAlign w:val="center"/>
                </w:tcPr>
                <w:p w14:paraId="2EFA6C99">
                  <w:pPr>
                    <w:widowControl/>
                    <w:spacing w:line="300" w:lineRule="exact"/>
                    <w:jc w:val="center"/>
                    <w:rPr>
                      <w:color w:val="000000"/>
                      <w:szCs w:val="21"/>
                    </w:rPr>
                  </w:pPr>
                  <w:r>
                    <w:rPr>
                      <w:rFonts w:hint="eastAsia"/>
                      <w:color w:val="000000"/>
                      <w:szCs w:val="21"/>
                    </w:rPr>
                    <w:t>0.06</w:t>
                  </w:r>
                </w:p>
              </w:tc>
            </w:tr>
          </w:tbl>
          <w:p w14:paraId="1DC4E622">
            <w:pPr>
              <w:pStyle w:val="72"/>
              <w:spacing w:line="440" w:lineRule="exact"/>
              <w:ind w:firstLine="480"/>
              <w:rPr>
                <w:sz w:val="24"/>
                <w:szCs w:val="22"/>
                <w:lang w:val="en-US"/>
              </w:rPr>
            </w:pPr>
            <w:r>
              <w:rPr>
                <w:rFonts w:hint="eastAsia"/>
                <w:sz w:val="24"/>
                <w:szCs w:val="22"/>
                <w:lang w:val="en-US"/>
              </w:rPr>
              <w:t>C  非正常工况下污染物排放情况</w:t>
            </w:r>
          </w:p>
          <w:p w14:paraId="25BD78B3">
            <w:pPr>
              <w:pStyle w:val="15"/>
              <w:widowControl w:val="0"/>
              <w:adjustRightInd w:val="0"/>
              <w:snapToGrid w:val="0"/>
              <w:spacing w:before="0" w:beforeAutospacing="0" w:after="0" w:afterAutospacing="0" w:line="440" w:lineRule="exact"/>
              <w:ind w:firstLine="480" w:firstLineChars="200"/>
              <w:jc w:val="both"/>
              <w:rPr>
                <w:rFonts w:hint="eastAsia"/>
              </w:rPr>
            </w:pPr>
            <w:r>
              <w:rPr>
                <w:rFonts w:hint="eastAsia" w:ascii="Times New Roman" w:hAnsi="Times New Roman" w:cs="宋体"/>
                <w:szCs w:val="21"/>
                <w:lang w:bidi="ar"/>
              </w:rPr>
              <w:t>本项目在开停机时由于生产设备和环保设备同时开关，会有少量的污染物未及时处理及排放，本次环评提出管理要求环保设备提前及延迟</w:t>
            </w:r>
            <w:r>
              <w:rPr>
                <w:rFonts w:ascii="Times New Roman" w:hAnsi="Times New Roman"/>
                <w:szCs w:val="21"/>
                <w:lang w:bidi="ar"/>
              </w:rPr>
              <w:t>40min</w:t>
            </w:r>
            <w:r>
              <w:rPr>
                <w:rFonts w:hint="eastAsia" w:ascii="Times New Roman" w:hAnsi="Times New Roman" w:cs="宋体"/>
                <w:szCs w:val="21"/>
                <w:lang w:bidi="ar"/>
              </w:rPr>
              <w:t>，使污染物处理更加合理。当废气处理设施或工艺设备出现故障时，要求企业立即停产检修。</w:t>
            </w:r>
          </w:p>
          <w:p w14:paraId="70CC3667">
            <w:pPr>
              <w:adjustRightInd w:val="0"/>
              <w:snapToGrid w:val="0"/>
              <w:spacing w:line="440" w:lineRule="exact"/>
              <w:jc w:val="center"/>
              <w:rPr>
                <w:rFonts w:cs="宋体"/>
                <w:bCs/>
                <w:spacing w:val="-10"/>
                <w:sz w:val="24"/>
              </w:rPr>
            </w:pPr>
            <w:r>
              <w:rPr>
                <w:rFonts w:hint="eastAsia" w:cs="宋体"/>
                <w:bCs/>
                <w:spacing w:val="-10"/>
                <w:sz w:val="24"/>
                <w:lang w:bidi="ar"/>
              </w:rPr>
              <w:t>表</w:t>
            </w:r>
            <w:r>
              <w:rPr>
                <w:rFonts w:cs="宋体"/>
                <w:bCs/>
                <w:spacing w:val="-10"/>
                <w:sz w:val="24"/>
                <w:lang w:bidi="ar"/>
              </w:rPr>
              <w:t>4-</w:t>
            </w:r>
            <w:r>
              <w:rPr>
                <w:rFonts w:hint="eastAsia" w:cs="宋体"/>
                <w:bCs/>
                <w:spacing w:val="-10"/>
                <w:sz w:val="24"/>
                <w:lang w:bidi="ar"/>
              </w:rPr>
              <w:t>4</w:t>
            </w:r>
            <w:r>
              <w:rPr>
                <w:rFonts w:cs="宋体"/>
                <w:bCs/>
                <w:spacing w:val="-10"/>
                <w:sz w:val="24"/>
                <w:lang w:bidi="ar"/>
              </w:rPr>
              <w:t xml:space="preserve">  </w:t>
            </w:r>
            <w:r>
              <w:rPr>
                <w:rFonts w:hint="eastAsia" w:cs="宋体"/>
                <w:bCs/>
                <w:spacing w:val="-10"/>
                <w:sz w:val="24"/>
                <w:lang w:bidi="ar"/>
              </w:rPr>
              <w:t>非正常工况排放量核算表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3"/>
              <w:gridCol w:w="1137"/>
              <w:gridCol w:w="965"/>
              <w:gridCol w:w="1197"/>
              <w:gridCol w:w="985"/>
              <w:gridCol w:w="840"/>
              <w:gridCol w:w="698"/>
              <w:gridCol w:w="769"/>
            </w:tblGrid>
            <w:tr w14:paraId="5724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046" w:type="pct"/>
                  <w:tcBorders>
                    <w:top w:val="single" w:color="auto" w:sz="4" w:space="0"/>
                    <w:left w:val="single" w:color="auto" w:sz="4" w:space="0"/>
                    <w:bottom w:val="single" w:color="auto" w:sz="4" w:space="0"/>
                    <w:right w:val="single" w:color="auto" w:sz="4" w:space="0"/>
                  </w:tcBorders>
                  <w:vAlign w:val="center"/>
                </w:tcPr>
                <w:p w14:paraId="65500347">
                  <w:pPr>
                    <w:pStyle w:val="111"/>
                    <w:widowControl/>
                    <w:spacing w:line="300" w:lineRule="exact"/>
                    <w:ind w:firstLine="0" w:firstLineChars="0"/>
                    <w:jc w:val="center"/>
                    <w:rPr>
                      <w:bCs/>
                    </w:rPr>
                  </w:pPr>
                  <w:r>
                    <w:rPr>
                      <w:rFonts w:hint="eastAsia" w:cs="宋体"/>
                      <w:bCs/>
                    </w:rPr>
                    <w:t>污染源</w:t>
                  </w:r>
                </w:p>
              </w:tc>
              <w:tc>
                <w:tcPr>
                  <w:tcW w:w="682" w:type="pct"/>
                  <w:tcBorders>
                    <w:top w:val="single" w:color="auto" w:sz="4" w:space="0"/>
                    <w:left w:val="single" w:color="auto" w:sz="4" w:space="0"/>
                    <w:bottom w:val="single" w:color="auto" w:sz="4" w:space="0"/>
                    <w:right w:val="single" w:color="auto" w:sz="4" w:space="0"/>
                  </w:tcBorders>
                  <w:vAlign w:val="center"/>
                </w:tcPr>
                <w:p w14:paraId="499AB05B">
                  <w:pPr>
                    <w:pStyle w:val="111"/>
                    <w:widowControl/>
                    <w:spacing w:line="300" w:lineRule="exact"/>
                    <w:ind w:firstLine="0" w:firstLineChars="0"/>
                    <w:jc w:val="center"/>
                    <w:rPr>
                      <w:bCs/>
                    </w:rPr>
                  </w:pPr>
                  <w:r>
                    <w:rPr>
                      <w:rFonts w:hint="eastAsia" w:cs="宋体"/>
                      <w:bCs/>
                    </w:rPr>
                    <w:t>非正常排放原因</w:t>
                  </w:r>
                </w:p>
              </w:tc>
              <w:tc>
                <w:tcPr>
                  <w:tcW w:w="579" w:type="pct"/>
                  <w:tcBorders>
                    <w:top w:val="single" w:color="auto" w:sz="4" w:space="0"/>
                    <w:left w:val="single" w:color="auto" w:sz="4" w:space="0"/>
                    <w:bottom w:val="single" w:color="auto" w:sz="4" w:space="0"/>
                    <w:right w:val="single" w:color="auto" w:sz="4" w:space="0"/>
                  </w:tcBorders>
                  <w:vAlign w:val="center"/>
                </w:tcPr>
                <w:p w14:paraId="4E6C6CAC">
                  <w:pPr>
                    <w:pStyle w:val="111"/>
                    <w:widowControl/>
                    <w:spacing w:line="300" w:lineRule="exact"/>
                    <w:ind w:firstLine="0" w:firstLineChars="0"/>
                    <w:jc w:val="center"/>
                    <w:rPr>
                      <w:bCs/>
                    </w:rPr>
                  </w:pPr>
                  <w:r>
                    <w:rPr>
                      <w:rFonts w:hint="eastAsia" w:cs="宋体"/>
                      <w:bCs/>
                    </w:rPr>
                    <w:t>污染物</w:t>
                  </w:r>
                </w:p>
              </w:tc>
              <w:tc>
                <w:tcPr>
                  <w:tcW w:w="718" w:type="pct"/>
                  <w:tcBorders>
                    <w:top w:val="single" w:color="auto" w:sz="4" w:space="0"/>
                    <w:left w:val="single" w:color="auto" w:sz="4" w:space="0"/>
                    <w:bottom w:val="single" w:color="auto" w:sz="4" w:space="0"/>
                    <w:right w:val="single" w:color="auto" w:sz="4" w:space="0"/>
                  </w:tcBorders>
                  <w:vAlign w:val="center"/>
                </w:tcPr>
                <w:p w14:paraId="3091E59E">
                  <w:pPr>
                    <w:pStyle w:val="111"/>
                    <w:widowControl/>
                    <w:spacing w:line="300" w:lineRule="exact"/>
                    <w:ind w:firstLine="0" w:firstLineChars="0"/>
                    <w:jc w:val="center"/>
                    <w:rPr>
                      <w:bCs/>
                    </w:rPr>
                  </w:pPr>
                  <w:r>
                    <w:rPr>
                      <w:rFonts w:hint="eastAsia" w:cs="宋体"/>
                      <w:bCs/>
                    </w:rPr>
                    <w:t>非正常排放浓度（</w:t>
                  </w:r>
                  <w:r>
                    <w:rPr>
                      <w:bCs/>
                    </w:rPr>
                    <w:t>mg/m</w:t>
                  </w:r>
                  <w:r>
                    <w:rPr>
                      <w:bCs/>
                      <w:vertAlign w:val="superscript"/>
                    </w:rPr>
                    <w:t>3</w:t>
                  </w:r>
                  <w:r>
                    <w:rPr>
                      <w:rFonts w:hint="eastAsia" w:cs="宋体"/>
                      <w:bCs/>
                    </w:rPr>
                    <w:t>）</w:t>
                  </w:r>
                </w:p>
              </w:tc>
              <w:tc>
                <w:tcPr>
                  <w:tcW w:w="591" w:type="pct"/>
                  <w:tcBorders>
                    <w:top w:val="single" w:color="auto" w:sz="4" w:space="0"/>
                    <w:left w:val="single" w:color="auto" w:sz="4" w:space="0"/>
                    <w:bottom w:val="single" w:color="auto" w:sz="4" w:space="0"/>
                    <w:right w:val="single" w:color="auto" w:sz="4" w:space="0"/>
                  </w:tcBorders>
                  <w:vAlign w:val="center"/>
                </w:tcPr>
                <w:p w14:paraId="68229DC9">
                  <w:pPr>
                    <w:pStyle w:val="111"/>
                    <w:widowControl/>
                    <w:spacing w:line="300" w:lineRule="exact"/>
                    <w:ind w:firstLine="0" w:firstLineChars="0"/>
                    <w:jc w:val="center"/>
                    <w:rPr>
                      <w:bCs/>
                    </w:rPr>
                  </w:pPr>
                  <w:r>
                    <w:rPr>
                      <w:rFonts w:hint="eastAsia" w:cs="宋体"/>
                      <w:bCs/>
                    </w:rPr>
                    <w:t>非正常排放速率</w:t>
                  </w:r>
                  <w:r>
                    <w:rPr>
                      <w:bCs/>
                    </w:rPr>
                    <w:t>kg/h</w:t>
                  </w:r>
                </w:p>
              </w:tc>
              <w:tc>
                <w:tcPr>
                  <w:tcW w:w="504" w:type="pct"/>
                  <w:tcBorders>
                    <w:top w:val="single" w:color="auto" w:sz="4" w:space="0"/>
                    <w:left w:val="single" w:color="auto" w:sz="4" w:space="0"/>
                    <w:bottom w:val="single" w:color="auto" w:sz="4" w:space="0"/>
                    <w:right w:val="single" w:color="auto" w:sz="4" w:space="0"/>
                  </w:tcBorders>
                  <w:vAlign w:val="center"/>
                </w:tcPr>
                <w:p w14:paraId="130C1B7D">
                  <w:pPr>
                    <w:pStyle w:val="111"/>
                    <w:widowControl/>
                    <w:spacing w:line="300" w:lineRule="exact"/>
                    <w:ind w:firstLine="0" w:firstLineChars="0"/>
                    <w:jc w:val="center"/>
                    <w:rPr>
                      <w:bCs/>
                    </w:rPr>
                  </w:pPr>
                  <w:r>
                    <w:rPr>
                      <w:rFonts w:hint="eastAsia" w:cs="宋体"/>
                      <w:bCs/>
                    </w:rPr>
                    <w:t>单次持续时间</w:t>
                  </w:r>
                </w:p>
              </w:tc>
              <w:tc>
                <w:tcPr>
                  <w:tcW w:w="419" w:type="pct"/>
                  <w:tcBorders>
                    <w:top w:val="single" w:color="auto" w:sz="4" w:space="0"/>
                    <w:left w:val="single" w:color="auto" w:sz="4" w:space="0"/>
                    <w:bottom w:val="single" w:color="auto" w:sz="4" w:space="0"/>
                    <w:right w:val="single" w:color="auto" w:sz="4" w:space="0"/>
                  </w:tcBorders>
                  <w:vAlign w:val="center"/>
                </w:tcPr>
                <w:p w14:paraId="52873A5D">
                  <w:pPr>
                    <w:pStyle w:val="111"/>
                    <w:widowControl/>
                    <w:spacing w:line="300" w:lineRule="exact"/>
                    <w:ind w:firstLine="0" w:firstLineChars="0"/>
                    <w:jc w:val="center"/>
                    <w:rPr>
                      <w:bCs/>
                    </w:rPr>
                  </w:pPr>
                  <w:r>
                    <w:rPr>
                      <w:rFonts w:hint="eastAsia" w:cs="宋体"/>
                      <w:bCs/>
                    </w:rPr>
                    <w:t>发生频次</w:t>
                  </w:r>
                </w:p>
              </w:tc>
              <w:tc>
                <w:tcPr>
                  <w:tcW w:w="462" w:type="pct"/>
                  <w:tcBorders>
                    <w:top w:val="single" w:color="auto" w:sz="4" w:space="0"/>
                    <w:left w:val="single" w:color="auto" w:sz="4" w:space="0"/>
                    <w:bottom w:val="single" w:color="auto" w:sz="4" w:space="0"/>
                    <w:right w:val="single" w:color="auto" w:sz="4" w:space="0"/>
                  </w:tcBorders>
                  <w:vAlign w:val="center"/>
                </w:tcPr>
                <w:p w14:paraId="28D6E537">
                  <w:pPr>
                    <w:pStyle w:val="111"/>
                    <w:widowControl/>
                    <w:spacing w:line="300" w:lineRule="exact"/>
                    <w:ind w:firstLine="0" w:firstLineChars="0"/>
                    <w:jc w:val="center"/>
                    <w:rPr>
                      <w:bCs/>
                    </w:rPr>
                  </w:pPr>
                  <w:r>
                    <w:rPr>
                      <w:rFonts w:hint="eastAsia" w:cs="宋体"/>
                      <w:bCs/>
                    </w:rPr>
                    <w:t>应对措施</w:t>
                  </w:r>
                </w:p>
              </w:tc>
            </w:tr>
            <w:tr w14:paraId="7D2D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046" w:type="pct"/>
                  <w:tcBorders>
                    <w:top w:val="single" w:color="auto" w:sz="4" w:space="0"/>
                    <w:left w:val="single" w:color="auto" w:sz="4" w:space="0"/>
                    <w:bottom w:val="single" w:color="auto" w:sz="4" w:space="0"/>
                    <w:right w:val="single" w:color="auto" w:sz="4" w:space="0"/>
                  </w:tcBorders>
                  <w:vAlign w:val="center"/>
                </w:tcPr>
                <w:p w14:paraId="26410F81">
                  <w:pPr>
                    <w:pStyle w:val="111"/>
                    <w:widowControl/>
                    <w:spacing w:line="300" w:lineRule="exact"/>
                    <w:ind w:firstLine="0" w:firstLineChars="0"/>
                    <w:jc w:val="center"/>
                    <w:rPr>
                      <w:bCs/>
                    </w:rPr>
                  </w:pPr>
                  <w:r>
                    <w:rPr>
                      <w:rFonts w:hint="eastAsia"/>
                    </w:rPr>
                    <w:t>骨料上料、转载、搅拌及包装</w:t>
                  </w:r>
                </w:p>
              </w:tc>
              <w:tc>
                <w:tcPr>
                  <w:tcW w:w="682" w:type="pct"/>
                  <w:vMerge w:val="restart"/>
                  <w:tcBorders>
                    <w:top w:val="single" w:color="auto" w:sz="4" w:space="0"/>
                    <w:left w:val="single" w:color="auto" w:sz="4" w:space="0"/>
                    <w:bottom w:val="single" w:color="auto" w:sz="4" w:space="0"/>
                    <w:right w:val="single" w:color="auto" w:sz="4" w:space="0"/>
                  </w:tcBorders>
                  <w:vAlign w:val="center"/>
                </w:tcPr>
                <w:p w14:paraId="28FC9FAE">
                  <w:pPr>
                    <w:pStyle w:val="111"/>
                    <w:spacing w:line="300" w:lineRule="exact"/>
                    <w:ind w:firstLine="0" w:firstLineChars="0"/>
                    <w:jc w:val="center"/>
                    <w:rPr>
                      <w:sz w:val="20"/>
                    </w:rPr>
                  </w:pPr>
                  <w:r>
                    <w:rPr>
                      <w:rFonts w:hint="eastAsia" w:cs="宋体"/>
                      <w:bCs/>
                    </w:rPr>
                    <w:t>风机正常运行，治理设施故障</w:t>
                  </w:r>
                </w:p>
              </w:tc>
              <w:tc>
                <w:tcPr>
                  <w:tcW w:w="579" w:type="pct"/>
                  <w:tcBorders>
                    <w:top w:val="single" w:color="auto" w:sz="4" w:space="0"/>
                    <w:left w:val="single" w:color="auto" w:sz="4" w:space="0"/>
                    <w:bottom w:val="single" w:color="auto" w:sz="4" w:space="0"/>
                    <w:right w:val="single" w:color="auto" w:sz="4" w:space="0"/>
                  </w:tcBorders>
                  <w:vAlign w:val="center"/>
                </w:tcPr>
                <w:p w14:paraId="7E86AB8D">
                  <w:pPr>
                    <w:pStyle w:val="111"/>
                    <w:widowControl/>
                    <w:spacing w:line="300" w:lineRule="exact"/>
                    <w:ind w:firstLine="0" w:firstLineChars="0"/>
                    <w:jc w:val="center"/>
                    <w:rPr>
                      <w:bCs/>
                    </w:rPr>
                  </w:pPr>
                  <w:r>
                    <w:rPr>
                      <w:rFonts w:hint="eastAsia"/>
                      <w:bCs/>
                    </w:rPr>
                    <w:t>颗粒物</w:t>
                  </w:r>
                </w:p>
              </w:tc>
              <w:tc>
                <w:tcPr>
                  <w:tcW w:w="718" w:type="pct"/>
                  <w:tcBorders>
                    <w:top w:val="single" w:color="auto" w:sz="4" w:space="0"/>
                    <w:left w:val="single" w:color="auto" w:sz="4" w:space="0"/>
                    <w:bottom w:val="single" w:color="auto" w:sz="4" w:space="0"/>
                    <w:right w:val="single" w:color="auto" w:sz="4" w:space="0"/>
                  </w:tcBorders>
                  <w:vAlign w:val="center"/>
                </w:tcPr>
                <w:p w14:paraId="0F703C28">
                  <w:pPr>
                    <w:pStyle w:val="111"/>
                    <w:widowControl/>
                    <w:spacing w:line="300" w:lineRule="exact"/>
                    <w:ind w:firstLine="0" w:firstLineChars="0"/>
                    <w:jc w:val="center"/>
                    <w:rPr>
                      <w:bCs/>
                    </w:rPr>
                  </w:pPr>
                  <w:r>
                    <w:rPr>
                      <w:rFonts w:hint="eastAsia"/>
                      <w:bCs/>
                    </w:rPr>
                    <w:t>311.3</w:t>
                  </w:r>
                </w:p>
              </w:tc>
              <w:tc>
                <w:tcPr>
                  <w:tcW w:w="591" w:type="pct"/>
                  <w:tcBorders>
                    <w:top w:val="single" w:color="auto" w:sz="4" w:space="0"/>
                    <w:left w:val="single" w:color="auto" w:sz="4" w:space="0"/>
                    <w:bottom w:val="single" w:color="auto" w:sz="4" w:space="0"/>
                    <w:right w:val="single" w:color="auto" w:sz="4" w:space="0"/>
                  </w:tcBorders>
                  <w:vAlign w:val="center"/>
                </w:tcPr>
                <w:p w14:paraId="5FC08ECA">
                  <w:pPr>
                    <w:pStyle w:val="111"/>
                    <w:widowControl/>
                    <w:spacing w:line="300" w:lineRule="exact"/>
                    <w:ind w:firstLine="0" w:firstLineChars="0"/>
                    <w:jc w:val="center"/>
                    <w:rPr>
                      <w:bCs/>
                    </w:rPr>
                  </w:pPr>
                  <w:r>
                    <w:rPr>
                      <w:rFonts w:hint="eastAsia"/>
                      <w:bCs/>
                    </w:rPr>
                    <w:t>10.89</w:t>
                  </w:r>
                </w:p>
              </w:tc>
              <w:tc>
                <w:tcPr>
                  <w:tcW w:w="504" w:type="pct"/>
                  <w:tcBorders>
                    <w:top w:val="single" w:color="auto" w:sz="4" w:space="0"/>
                    <w:left w:val="single" w:color="auto" w:sz="4" w:space="0"/>
                    <w:bottom w:val="single" w:color="auto" w:sz="4" w:space="0"/>
                    <w:right w:val="single" w:color="auto" w:sz="4" w:space="0"/>
                  </w:tcBorders>
                  <w:vAlign w:val="center"/>
                </w:tcPr>
                <w:p w14:paraId="7932C76D">
                  <w:pPr>
                    <w:pStyle w:val="111"/>
                    <w:widowControl/>
                    <w:spacing w:line="300" w:lineRule="exact"/>
                    <w:ind w:firstLine="0" w:firstLineChars="0"/>
                    <w:jc w:val="center"/>
                    <w:rPr>
                      <w:bCs/>
                    </w:rPr>
                  </w:pPr>
                  <w:r>
                    <w:rPr>
                      <w:bCs/>
                    </w:rPr>
                    <w:t>0.5h</w:t>
                  </w:r>
                </w:p>
              </w:tc>
              <w:tc>
                <w:tcPr>
                  <w:tcW w:w="419" w:type="pct"/>
                  <w:tcBorders>
                    <w:top w:val="single" w:color="auto" w:sz="4" w:space="0"/>
                    <w:left w:val="single" w:color="auto" w:sz="4" w:space="0"/>
                    <w:bottom w:val="single" w:color="auto" w:sz="4" w:space="0"/>
                    <w:right w:val="single" w:color="auto" w:sz="4" w:space="0"/>
                  </w:tcBorders>
                  <w:vAlign w:val="center"/>
                </w:tcPr>
                <w:p w14:paraId="2C199DF4">
                  <w:pPr>
                    <w:pStyle w:val="111"/>
                    <w:widowControl/>
                    <w:spacing w:line="300" w:lineRule="exact"/>
                    <w:ind w:firstLine="0" w:firstLineChars="0"/>
                    <w:jc w:val="center"/>
                    <w:rPr>
                      <w:bCs/>
                    </w:rPr>
                  </w:pPr>
                  <w:r>
                    <w:rPr>
                      <w:bCs/>
                    </w:rPr>
                    <w:t>1/</w:t>
                  </w:r>
                  <w:r>
                    <w:rPr>
                      <w:rFonts w:hint="eastAsia" w:cs="宋体"/>
                      <w:bCs/>
                    </w:rPr>
                    <w:t>年</w:t>
                  </w:r>
                </w:p>
              </w:tc>
              <w:tc>
                <w:tcPr>
                  <w:tcW w:w="462" w:type="pct"/>
                  <w:vMerge w:val="restart"/>
                  <w:tcBorders>
                    <w:top w:val="single" w:color="auto" w:sz="4" w:space="0"/>
                    <w:left w:val="single" w:color="auto" w:sz="4" w:space="0"/>
                    <w:bottom w:val="single" w:color="auto" w:sz="4" w:space="0"/>
                    <w:right w:val="single" w:color="auto" w:sz="4" w:space="0"/>
                  </w:tcBorders>
                  <w:vAlign w:val="center"/>
                </w:tcPr>
                <w:p w14:paraId="6DCD6F22">
                  <w:pPr>
                    <w:pStyle w:val="111"/>
                    <w:spacing w:line="300" w:lineRule="exact"/>
                    <w:ind w:firstLine="0" w:firstLineChars="0"/>
                    <w:jc w:val="center"/>
                    <w:rPr>
                      <w:sz w:val="20"/>
                    </w:rPr>
                  </w:pPr>
                  <w:r>
                    <w:rPr>
                      <w:rFonts w:hint="eastAsia" w:cs="宋体"/>
                      <w:bCs/>
                    </w:rPr>
                    <w:t>停止生产、进行检修</w:t>
                  </w:r>
                </w:p>
              </w:tc>
            </w:tr>
            <w:tr w14:paraId="4041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046" w:type="pct"/>
                  <w:tcBorders>
                    <w:top w:val="single" w:color="auto" w:sz="4" w:space="0"/>
                    <w:left w:val="single" w:color="auto" w:sz="4" w:space="0"/>
                    <w:bottom w:val="single" w:color="auto" w:sz="4" w:space="0"/>
                    <w:right w:val="single" w:color="auto" w:sz="4" w:space="0"/>
                  </w:tcBorders>
                  <w:vAlign w:val="center"/>
                </w:tcPr>
                <w:p w14:paraId="4E3709CA">
                  <w:pPr>
                    <w:pStyle w:val="111"/>
                    <w:widowControl/>
                    <w:spacing w:line="300" w:lineRule="exact"/>
                    <w:ind w:firstLine="0" w:firstLineChars="0"/>
                    <w:jc w:val="center"/>
                    <w:rPr>
                      <w:rFonts w:cs="宋体"/>
                      <w:bCs/>
                    </w:rPr>
                  </w:pPr>
                  <w:r>
                    <w:rPr>
                      <w:rFonts w:hint="eastAsia" w:cs="宋体"/>
                      <w:bCs/>
                    </w:rPr>
                    <w:t>水泥筒仓</w:t>
                  </w:r>
                </w:p>
              </w:tc>
              <w:tc>
                <w:tcPr>
                  <w:tcW w:w="682" w:type="pct"/>
                  <w:vMerge w:val="continue"/>
                  <w:tcBorders>
                    <w:top w:val="single" w:color="auto" w:sz="4" w:space="0"/>
                    <w:left w:val="single" w:color="auto" w:sz="4" w:space="0"/>
                    <w:bottom w:val="single" w:color="auto" w:sz="4" w:space="0"/>
                    <w:right w:val="single" w:color="auto" w:sz="4" w:space="0"/>
                  </w:tcBorders>
                  <w:vAlign w:val="center"/>
                </w:tcPr>
                <w:p w14:paraId="307F6951">
                  <w:pPr>
                    <w:spacing w:line="300" w:lineRule="exact"/>
                    <w:rPr>
                      <w:sz w:val="20"/>
                      <w:szCs w:val="20"/>
                    </w:rPr>
                  </w:pPr>
                </w:p>
              </w:tc>
              <w:tc>
                <w:tcPr>
                  <w:tcW w:w="579" w:type="pct"/>
                  <w:tcBorders>
                    <w:top w:val="single" w:color="auto" w:sz="4" w:space="0"/>
                    <w:left w:val="single" w:color="auto" w:sz="4" w:space="0"/>
                    <w:bottom w:val="single" w:color="auto" w:sz="4" w:space="0"/>
                    <w:right w:val="single" w:color="auto" w:sz="4" w:space="0"/>
                  </w:tcBorders>
                  <w:vAlign w:val="center"/>
                </w:tcPr>
                <w:p w14:paraId="22F82796">
                  <w:pPr>
                    <w:pStyle w:val="111"/>
                    <w:widowControl/>
                    <w:spacing w:line="300" w:lineRule="exact"/>
                    <w:ind w:firstLine="0" w:firstLineChars="0"/>
                    <w:jc w:val="center"/>
                    <w:rPr>
                      <w:bCs/>
                    </w:rPr>
                  </w:pPr>
                  <w:r>
                    <w:rPr>
                      <w:rFonts w:hint="eastAsia"/>
                      <w:bCs/>
                    </w:rPr>
                    <w:t>颗粒物</w:t>
                  </w:r>
                </w:p>
              </w:tc>
              <w:tc>
                <w:tcPr>
                  <w:tcW w:w="718" w:type="pct"/>
                  <w:tcBorders>
                    <w:top w:val="single" w:color="auto" w:sz="4" w:space="0"/>
                    <w:left w:val="single" w:color="auto" w:sz="4" w:space="0"/>
                    <w:bottom w:val="single" w:color="auto" w:sz="4" w:space="0"/>
                    <w:right w:val="single" w:color="auto" w:sz="4" w:space="0"/>
                  </w:tcBorders>
                  <w:vAlign w:val="center"/>
                </w:tcPr>
                <w:p w14:paraId="25137332">
                  <w:pPr>
                    <w:pStyle w:val="111"/>
                    <w:widowControl/>
                    <w:spacing w:line="300" w:lineRule="exact"/>
                    <w:ind w:firstLine="0" w:firstLineChars="0"/>
                    <w:jc w:val="center"/>
                    <w:rPr>
                      <w:bCs/>
                    </w:rPr>
                  </w:pPr>
                  <w:r>
                    <w:rPr>
                      <w:rFonts w:hint="eastAsia"/>
                      <w:bCs/>
                    </w:rPr>
                    <w:t>2532</w:t>
                  </w:r>
                </w:p>
              </w:tc>
              <w:tc>
                <w:tcPr>
                  <w:tcW w:w="591" w:type="pct"/>
                  <w:tcBorders>
                    <w:top w:val="single" w:color="auto" w:sz="4" w:space="0"/>
                    <w:left w:val="single" w:color="auto" w:sz="4" w:space="0"/>
                    <w:bottom w:val="single" w:color="auto" w:sz="4" w:space="0"/>
                    <w:right w:val="single" w:color="auto" w:sz="4" w:space="0"/>
                  </w:tcBorders>
                  <w:vAlign w:val="center"/>
                </w:tcPr>
                <w:p w14:paraId="76370680">
                  <w:pPr>
                    <w:pStyle w:val="111"/>
                    <w:widowControl/>
                    <w:spacing w:line="300" w:lineRule="exact"/>
                    <w:ind w:firstLine="0" w:firstLineChars="0"/>
                    <w:jc w:val="center"/>
                    <w:rPr>
                      <w:bCs/>
                    </w:rPr>
                  </w:pPr>
                  <w:r>
                    <w:rPr>
                      <w:rFonts w:hint="eastAsia"/>
                      <w:bCs/>
                    </w:rPr>
                    <w:t>7.59</w:t>
                  </w:r>
                </w:p>
              </w:tc>
              <w:tc>
                <w:tcPr>
                  <w:tcW w:w="504" w:type="pct"/>
                  <w:tcBorders>
                    <w:top w:val="single" w:color="auto" w:sz="4" w:space="0"/>
                    <w:left w:val="single" w:color="auto" w:sz="4" w:space="0"/>
                    <w:bottom w:val="single" w:color="auto" w:sz="4" w:space="0"/>
                    <w:right w:val="single" w:color="auto" w:sz="4" w:space="0"/>
                  </w:tcBorders>
                  <w:vAlign w:val="center"/>
                </w:tcPr>
                <w:p w14:paraId="38014553">
                  <w:pPr>
                    <w:pStyle w:val="111"/>
                    <w:widowControl/>
                    <w:spacing w:line="300" w:lineRule="exact"/>
                    <w:ind w:firstLine="0" w:firstLineChars="0"/>
                    <w:jc w:val="center"/>
                    <w:rPr>
                      <w:bCs/>
                    </w:rPr>
                  </w:pPr>
                  <w:r>
                    <w:rPr>
                      <w:bCs/>
                    </w:rPr>
                    <w:t>0.5h</w:t>
                  </w:r>
                </w:p>
              </w:tc>
              <w:tc>
                <w:tcPr>
                  <w:tcW w:w="419" w:type="pct"/>
                  <w:tcBorders>
                    <w:top w:val="single" w:color="auto" w:sz="4" w:space="0"/>
                    <w:left w:val="single" w:color="auto" w:sz="4" w:space="0"/>
                    <w:bottom w:val="single" w:color="auto" w:sz="4" w:space="0"/>
                    <w:right w:val="single" w:color="auto" w:sz="4" w:space="0"/>
                  </w:tcBorders>
                  <w:vAlign w:val="center"/>
                </w:tcPr>
                <w:p w14:paraId="23CD5F7D">
                  <w:pPr>
                    <w:pStyle w:val="111"/>
                    <w:widowControl/>
                    <w:spacing w:line="300" w:lineRule="exact"/>
                    <w:ind w:firstLine="0" w:firstLineChars="0"/>
                    <w:jc w:val="center"/>
                    <w:rPr>
                      <w:bCs/>
                    </w:rPr>
                  </w:pPr>
                  <w:r>
                    <w:rPr>
                      <w:bCs/>
                    </w:rPr>
                    <w:t>1/</w:t>
                  </w:r>
                  <w:r>
                    <w:rPr>
                      <w:rFonts w:hint="eastAsia" w:cs="宋体"/>
                      <w:bCs/>
                    </w:rPr>
                    <w:t>年</w:t>
                  </w:r>
                </w:p>
              </w:tc>
              <w:tc>
                <w:tcPr>
                  <w:tcW w:w="462" w:type="pct"/>
                  <w:vMerge w:val="continue"/>
                  <w:tcBorders>
                    <w:top w:val="single" w:color="auto" w:sz="4" w:space="0"/>
                    <w:left w:val="single" w:color="auto" w:sz="4" w:space="0"/>
                    <w:bottom w:val="single" w:color="auto" w:sz="4" w:space="0"/>
                    <w:right w:val="single" w:color="auto" w:sz="4" w:space="0"/>
                  </w:tcBorders>
                  <w:vAlign w:val="center"/>
                </w:tcPr>
                <w:p w14:paraId="18D50C30">
                  <w:pPr>
                    <w:spacing w:line="300" w:lineRule="exact"/>
                    <w:rPr>
                      <w:sz w:val="20"/>
                      <w:szCs w:val="20"/>
                    </w:rPr>
                  </w:pPr>
                </w:p>
              </w:tc>
            </w:tr>
            <w:tr w14:paraId="3F0A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046" w:type="pct"/>
                  <w:tcBorders>
                    <w:top w:val="single" w:color="auto" w:sz="4" w:space="0"/>
                    <w:left w:val="single" w:color="auto" w:sz="4" w:space="0"/>
                    <w:bottom w:val="single" w:color="auto" w:sz="4" w:space="0"/>
                    <w:right w:val="single" w:color="auto" w:sz="4" w:space="0"/>
                  </w:tcBorders>
                  <w:vAlign w:val="center"/>
                </w:tcPr>
                <w:p w14:paraId="25833EBB">
                  <w:pPr>
                    <w:pStyle w:val="111"/>
                    <w:widowControl/>
                    <w:spacing w:line="300" w:lineRule="exact"/>
                    <w:ind w:firstLine="0" w:firstLineChars="0"/>
                    <w:jc w:val="center"/>
                    <w:rPr>
                      <w:rFonts w:cs="宋体"/>
                      <w:bCs/>
                    </w:rPr>
                  </w:pPr>
                  <w:r>
                    <w:rPr>
                      <w:rFonts w:hint="eastAsia"/>
                    </w:rPr>
                    <w:t>粉煤灰（矿渣粉）筒仓</w:t>
                  </w:r>
                </w:p>
              </w:tc>
              <w:tc>
                <w:tcPr>
                  <w:tcW w:w="682" w:type="pct"/>
                  <w:vMerge w:val="continue"/>
                  <w:tcBorders>
                    <w:top w:val="single" w:color="auto" w:sz="4" w:space="0"/>
                    <w:left w:val="single" w:color="auto" w:sz="4" w:space="0"/>
                    <w:bottom w:val="single" w:color="auto" w:sz="4" w:space="0"/>
                    <w:right w:val="single" w:color="auto" w:sz="4" w:space="0"/>
                  </w:tcBorders>
                  <w:vAlign w:val="center"/>
                </w:tcPr>
                <w:p w14:paraId="370A4435">
                  <w:pPr>
                    <w:spacing w:line="300" w:lineRule="exact"/>
                    <w:rPr>
                      <w:sz w:val="20"/>
                      <w:szCs w:val="20"/>
                    </w:rPr>
                  </w:pPr>
                </w:p>
              </w:tc>
              <w:tc>
                <w:tcPr>
                  <w:tcW w:w="579" w:type="pct"/>
                  <w:tcBorders>
                    <w:top w:val="single" w:color="auto" w:sz="4" w:space="0"/>
                    <w:left w:val="single" w:color="auto" w:sz="4" w:space="0"/>
                    <w:bottom w:val="single" w:color="auto" w:sz="4" w:space="0"/>
                    <w:right w:val="single" w:color="auto" w:sz="4" w:space="0"/>
                  </w:tcBorders>
                  <w:vAlign w:val="center"/>
                </w:tcPr>
                <w:p w14:paraId="1FE7688B">
                  <w:pPr>
                    <w:pStyle w:val="111"/>
                    <w:widowControl/>
                    <w:spacing w:line="300" w:lineRule="exact"/>
                    <w:ind w:firstLine="0" w:firstLineChars="0"/>
                    <w:jc w:val="center"/>
                    <w:rPr>
                      <w:bCs/>
                    </w:rPr>
                  </w:pPr>
                  <w:r>
                    <w:rPr>
                      <w:rFonts w:hint="eastAsia"/>
                      <w:bCs/>
                    </w:rPr>
                    <w:t>颗粒物</w:t>
                  </w:r>
                </w:p>
              </w:tc>
              <w:tc>
                <w:tcPr>
                  <w:tcW w:w="718" w:type="pct"/>
                  <w:tcBorders>
                    <w:top w:val="single" w:color="auto" w:sz="4" w:space="0"/>
                    <w:left w:val="single" w:color="auto" w:sz="4" w:space="0"/>
                    <w:bottom w:val="single" w:color="auto" w:sz="4" w:space="0"/>
                    <w:right w:val="single" w:color="auto" w:sz="4" w:space="0"/>
                  </w:tcBorders>
                  <w:vAlign w:val="center"/>
                </w:tcPr>
                <w:p w14:paraId="0BA25452">
                  <w:pPr>
                    <w:pStyle w:val="111"/>
                    <w:widowControl/>
                    <w:spacing w:line="300" w:lineRule="exact"/>
                    <w:ind w:firstLine="0" w:firstLineChars="0"/>
                    <w:jc w:val="center"/>
                    <w:rPr>
                      <w:bCs/>
                    </w:rPr>
                  </w:pPr>
                  <w:r>
                    <w:rPr>
                      <w:rFonts w:hint="eastAsia"/>
                      <w:bCs/>
                    </w:rPr>
                    <w:t>2500</w:t>
                  </w:r>
                </w:p>
              </w:tc>
              <w:tc>
                <w:tcPr>
                  <w:tcW w:w="591" w:type="pct"/>
                  <w:tcBorders>
                    <w:top w:val="single" w:color="auto" w:sz="4" w:space="0"/>
                    <w:left w:val="single" w:color="auto" w:sz="4" w:space="0"/>
                    <w:bottom w:val="single" w:color="auto" w:sz="4" w:space="0"/>
                    <w:right w:val="single" w:color="auto" w:sz="4" w:space="0"/>
                  </w:tcBorders>
                  <w:vAlign w:val="center"/>
                </w:tcPr>
                <w:p w14:paraId="6D898DA0">
                  <w:pPr>
                    <w:pStyle w:val="111"/>
                    <w:widowControl/>
                    <w:spacing w:line="300" w:lineRule="exact"/>
                    <w:ind w:firstLine="0" w:firstLineChars="0"/>
                    <w:jc w:val="center"/>
                    <w:rPr>
                      <w:bCs/>
                    </w:rPr>
                  </w:pPr>
                  <w:r>
                    <w:rPr>
                      <w:rFonts w:hint="eastAsia"/>
                      <w:bCs/>
                    </w:rPr>
                    <w:t>7.5</w:t>
                  </w:r>
                </w:p>
              </w:tc>
              <w:tc>
                <w:tcPr>
                  <w:tcW w:w="504" w:type="pct"/>
                  <w:tcBorders>
                    <w:top w:val="single" w:color="auto" w:sz="4" w:space="0"/>
                    <w:left w:val="single" w:color="auto" w:sz="4" w:space="0"/>
                    <w:bottom w:val="single" w:color="auto" w:sz="4" w:space="0"/>
                    <w:right w:val="single" w:color="auto" w:sz="4" w:space="0"/>
                  </w:tcBorders>
                  <w:vAlign w:val="center"/>
                </w:tcPr>
                <w:p w14:paraId="510B2A09">
                  <w:pPr>
                    <w:pStyle w:val="111"/>
                    <w:widowControl/>
                    <w:spacing w:line="300" w:lineRule="exact"/>
                    <w:ind w:firstLine="0" w:firstLineChars="0"/>
                    <w:jc w:val="center"/>
                    <w:rPr>
                      <w:bCs/>
                    </w:rPr>
                  </w:pPr>
                  <w:r>
                    <w:rPr>
                      <w:bCs/>
                    </w:rPr>
                    <w:t>0.5h</w:t>
                  </w:r>
                </w:p>
              </w:tc>
              <w:tc>
                <w:tcPr>
                  <w:tcW w:w="419" w:type="pct"/>
                  <w:tcBorders>
                    <w:top w:val="single" w:color="auto" w:sz="4" w:space="0"/>
                    <w:left w:val="single" w:color="auto" w:sz="4" w:space="0"/>
                    <w:bottom w:val="single" w:color="auto" w:sz="4" w:space="0"/>
                    <w:right w:val="single" w:color="auto" w:sz="4" w:space="0"/>
                  </w:tcBorders>
                  <w:vAlign w:val="center"/>
                </w:tcPr>
                <w:p w14:paraId="34587F4D">
                  <w:pPr>
                    <w:pStyle w:val="111"/>
                    <w:widowControl/>
                    <w:spacing w:line="300" w:lineRule="exact"/>
                    <w:ind w:firstLine="0" w:firstLineChars="0"/>
                    <w:jc w:val="center"/>
                    <w:rPr>
                      <w:bCs/>
                    </w:rPr>
                  </w:pPr>
                  <w:r>
                    <w:rPr>
                      <w:bCs/>
                    </w:rPr>
                    <w:t>1/</w:t>
                  </w:r>
                  <w:r>
                    <w:rPr>
                      <w:rFonts w:hint="eastAsia" w:cs="宋体"/>
                      <w:bCs/>
                    </w:rPr>
                    <w:t>年</w:t>
                  </w:r>
                </w:p>
              </w:tc>
              <w:tc>
                <w:tcPr>
                  <w:tcW w:w="462" w:type="pct"/>
                  <w:vMerge w:val="continue"/>
                  <w:tcBorders>
                    <w:top w:val="single" w:color="auto" w:sz="4" w:space="0"/>
                    <w:left w:val="single" w:color="auto" w:sz="4" w:space="0"/>
                    <w:bottom w:val="single" w:color="auto" w:sz="4" w:space="0"/>
                    <w:right w:val="single" w:color="auto" w:sz="4" w:space="0"/>
                  </w:tcBorders>
                  <w:vAlign w:val="center"/>
                </w:tcPr>
                <w:p w14:paraId="42187341">
                  <w:pPr>
                    <w:spacing w:line="300" w:lineRule="exact"/>
                    <w:rPr>
                      <w:sz w:val="20"/>
                      <w:szCs w:val="20"/>
                    </w:rPr>
                  </w:pPr>
                </w:p>
              </w:tc>
            </w:tr>
            <w:bookmarkEnd w:id="75"/>
          </w:tbl>
          <w:p w14:paraId="0E0400BA">
            <w:pPr>
              <w:pStyle w:val="77"/>
              <w:spacing w:line="440" w:lineRule="exact"/>
              <w:rPr>
                <w:rFonts w:hint="eastAsia"/>
                <w:sz w:val="24"/>
                <w:szCs w:val="24"/>
              </w:rPr>
            </w:pPr>
            <w:r>
              <w:rPr>
                <w:rFonts w:hint="eastAsia"/>
                <w:sz w:val="24"/>
                <w:szCs w:val="24"/>
              </w:rPr>
              <w:t>2.环境影响分析</w:t>
            </w:r>
          </w:p>
          <w:p w14:paraId="4A9C98BE">
            <w:pPr>
              <w:pStyle w:val="68"/>
              <w:spacing w:line="440" w:lineRule="exact"/>
              <w:ind w:firstLine="480"/>
              <w:rPr>
                <w:sz w:val="24"/>
                <w:szCs w:val="24"/>
              </w:rPr>
            </w:pPr>
            <w:r>
              <w:rPr>
                <w:rFonts w:hint="eastAsia"/>
                <w:sz w:val="24"/>
                <w:szCs w:val="24"/>
              </w:rPr>
              <w:t>综合</w:t>
            </w:r>
            <w:r>
              <w:rPr>
                <w:sz w:val="24"/>
                <w:szCs w:val="24"/>
              </w:rPr>
              <w:t>以上</w:t>
            </w:r>
            <w:r>
              <w:rPr>
                <w:rFonts w:hint="eastAsia"/>
                <w:sz w:val="24"/>
                <w:szCs w:val="24"/>
              </w:rPr>
              <w:t>分析可知</w:t>
            </w:r>
            <w:r>
              <w:rPr>
                <w:sz w:val="24"/>
                <w:szCs w:val="24"/>
              </w:rPr>
              <w:t>，</w:t>
            </w:r>
            <w:r>
              <w:rPr>
                <w:rFonts w:hint="eastAsia"/>
                <w:sz w:val="24"/>
                <w:szCs w:val="24"/>
              </w:rPr>
              <w:t>在</w:t>
            </w:r>
            <w:r>
              <w:rPr>
                <w:sz w:val="24"/>
                <w:szCs w:val="24"/>
              </w:rPr>
              <w:t>采取</w:t>
            </w:r>
            <w:r>
              <w:rPr>
                <w:rFonts w:hint="eastAsia"/>
                <w:sz w:val="24"/>
                <w:szCs w:val="24"/>
              </w:rPr>
              <w:t>评价</w:t>
            </w:r>
            <w:r>
              <w:rPr>
                <w:sz w:val="24"/>
                <w:szCs w:val="24"/>
              </w:rPr>
              <w:t>要求的</w:t>
            </w:r>
            <w:r>
              <w:rPr>
                <w:rFonts w:hint="eastAsia"/>
                <w:sz w:val="24"/>
                <w:szCs w:val="24"/>
              </w:rPr>
              <w:t>大气</w:t>
            </w:r>
            <w:r>
              <w:rPr>
                <w:sz w:val="24"/>
                <w:szCs w:val="24"/>
              </w:rPr>
              <w:t>污染防治措施后，</w:t>
            </w:r>
            <w:r>
              <w:rPr>
                <w:rFonts w:hint="eastAsia"/>
                <w:sz w:val="24"/>
                <w:szCs w:val="24"/>
              </w:rPr>
              <w:t>本项目</w:t>
            </w:r>
            <w:r>
              <w:rPr>
                <w:sz w:val="24"/>
                <w:szCs w:val="24"/>
              </w:rPr>
              <w:t>各</w:t>
            </w:r>
            <w:r>
              <w:rPr>
                <w:rFonts w:hint="eastAsia"/>
                <w:sz w:val="24"/>
                <w:szCs w:val="24"/>
              </w:rPr>
              <w:t>工序大气污染源</w:t>
            </w:r>
            <w:r>
              <w:rPr>
                <w:sz w:val="24"/>
                <w:szCs w:val="24"/>
              </w:rPr>
              <w:t>污染物</w:t>
            </w:r>
            <w:r>
              <w:rPr>
                <w:rFonts w:hint="eastAsia"/>
                <w:sz w:val="24"/>
                <w:szCs w:val="24"/>
              </w:rPr>
              <w:t>均</w:t>
            </w:r>
            <w:r>
              <w:rPr>
                <w:sz w:val="24"/>
                <w:szCs w:val="24"/>
              </w:rPr>
              <w:t>可以</w:t>
            </w:r>
            <w:r>
              <w:rPr>
                <w:rFonts w:hint="eastAsia"/>
                <w:sz w:val="24"/>
                <w:szCs w:val="24"/>
              </w:rPr>
              <w:t>做到</w:t>
            </w:r>
            <w:r>
              <w:rPr>
                <w:sz w:val="24"/>
                <w:szCs w:val="24"/>
              </w:rPr>
              <w:t>达标排放</w:t>
            </w:r>
            <w:r>
              <w:rPr>
                <w:rFonts w:hint="eastAsia"/>
                <w:sz w:val="24"/>
                <w:szCs w:val="24"/>
              </w:rPr>
              <w:t>；</w:t>
            </w:r>
            <w:r>
              <w:rPr>
                <w:sz w:val="24"/>
                <w:szCs w:val="24"/>
              </w:rPr>
              <w:t>项目</w:t>
            </w:r>
            <w:r>
              <w:rPr>
                <w:rFonts w:hint="eastAsia"/>
                <w:sz w:val="24"/>
                <w:szCs w:val="24"/>
              </w:rPr>
              <w:t>选择</w:t>
            </w:r>
            <w:r>
              <w:rPr>
                <w:sz w:val="24"/>
                <w:szCs w:val="24"/>
              </w:rPr>
              <w:t>的大气污染治理措施可行，可以保证</w:t>
            </w:r>
            <w:r>
              <w:rPr>
                <w:rFonts w:hint="eastAsia"/>
                <w:sz w:val="24"/>
                <w:szCs w:val="24"/>
              </w:rPr>
              <w:t>大气</w:t>
            </w:r>
            <w:r>
              <w:rPr>
                <w:sz w:val="24"/>
                <w:szCs w:val="24"/>
              </w:rPr>
              <w:t>污染物</w:t>
            </w:r>
            <w:r>
              <w:rPr>
                <w:rFonts w:hint="eastAsia"/>
                <w:sz w:val="24"/>
                <w:szCs w:val="24"/>
              </w:rPr>
              <w:t>达标</w:t>
            </w:r>
            <w:r>
              <w:rPr>
                <w:sz w:val="24"/>
                <w:szCs w:val="24"/>
              </w:rPr>
              <w:t>排放，</w:t>
            </w:r>
            <w:r>
              <w:rPr>
                <w:rFonts w:hint="eastAsia"/>
                <w:sz w:val="24"/>
                <w:szCs w:val="24"/>
              </w:rPr>
              <w:t>并</w:t>
            </w:r>
            <w:r>
              <w:rPr>
                <w:sz w:val="24"/>
                <w:szCs w:val="24"/>
              </w:rPr>
              <w:t>使环境影响</w:t>
            </w:r>
            <w:r>
              <w:rPr>
                <w:rFonts w:hint="eastAsia"/>
                <w:sz w:val="24"/>
                <w:szCs w:val="24"/>
              </w:rPr>
              <w:t>可以</w:t>
            </w:r>
            <w:r>
              <w:rPr>
                <w:sz w:val="24"/>
                <w:szCs w:val="24"/>
              </w:rPr>
              <w:t>接受。</w:t>
            </w:r>
          </w:p>
          <w:p w14:paraId="749C7B33">
            <w:pPr>
              <w:pStyle w:val="77"/>
              <w:spacing w:line="440" w:lineRule="exact"/>
              <w:rPr>
                <w:rFonts w:hint="eastAsia"/>
                <w:sz w:val="24"/>
                <w:szCs w:val="24"/>
              </w:rPr>
            </w:pPr>
            <w:r>
              <w:rPr>
                <w:rFonts w:hint="eastAsia"/>
                <w:sz w:val="24"/>
                <w:szCs w:val="24"/>
              </w:rPr>
              <w:t>3.环境监测计划</w:t>
            </w:r>
          </w:p>
          <w:p w14:paraId="322F4CFD">
            <w:pPr>
              <w:pStyle w:val="68"/>
              <w:spacing w:line="400" w:lineRule="exact"/>
              <w:ind w:firstLine="480"/>
              <w:rPr>
                <w:sz w:val="24"/>
                <w:szCs w:val="24"/>
              </w:rPr>
            </w:pPr>
            <w:r>
              <w:rPr>
                <w:rFonts w:hint="eastAsia"/>
                <w:sz w:val="24"/>
                <w:szCs w:val="24"/>
              </w:rPr>
              <w:t>依据《排污单位自行监测技术指南 总则》（HJ819-2017）《排污许可证申请与核发技术规范  石墨及其他非金属矿物制品制造》（HJ1119-2020）本项目废气监测计划见下表。</w:t>
            </w:r>
          </w:p>
          <w:p w14:paraId="5BA94A51">
            <w:pPr>
              <w:pStyle w:val="45"/>
              <w:rPr>
                <w:rFonts w:ascii="Times New Roman" w:hAnsi="Times New Roman"/>
                <w:sz w:val="24"/>
                <w:szCs w:val="24"/>
              </w:rPr>
            </w:pPr>
            <w:r>
              <w:rPr>
                <w:rFonts w:hint="eastAsia" w:ascii="Times New Roman" w:hAnsi="Times New Roman"/>
                <w:sz w:val="24"/>
                <w:szCs w:val="24"/>
              </w:rPr>
              <w:t>表4-5   废气监测计划</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13"/>
              <w:gridCol w:w="373"/>
              <w:gridCol w:w="2162"/>
              <w:gridCol w:w="1252"/>
              <w:gridCol w:w="3224"/>
              <w:gridCol w:w="1010"/>
            </w:tblGrid>
            <w:tr w14:paraId="7ABA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12" w:type="pct"/>
                  <w:gridSpan w:val="2"/>
                  <w:vAlign w:val="center"/>
                </w:tcPr>
                <w:p w14:paraId="0894FF6A">
                  <w:pPr>
                    <w:pStyle w:val="52"/>
                  </w:pPr>
                  <w:r>
                    <w:rPr>
                      <w:rFonts w:hint="eastAsia"/>
                    </w:rPr>
                    <w:t>项目</w:t>
                  </w:r>
                </w:p>
              </w:tc>
              <w:tc>
                <w:tcPr>
                  <w:tcW w:w="1297" w:type="pct"/>
                  <w:vAlign w:val="center"/>
                </w:tcPr>
                <w:p w14:paraId="57172DE5">
                  <w:pPr>
                    <w:pStyle w:val="52"/>
                  </w:pPr>
                  <w:r>
                    <w:rPr>
                      <w:rFonts w:hint="eastAsia"/>
                    </w:rPr>
                    <w:t>监测项目</w:t>
                  </w:r>
                </w:p>
              </w:tc>
              <w:tc>
                <w:tcPr>
                  <w:tcW w:w="751" w:type="pct"/>
                  <w:vAlign w:val="center"/>
                </w:tcPr>
                <w:p w14:paraId="2F48805C">
                  <w:pPr>
                    <w:pStyle w:val="52"/>
                  </w:pPr>
                  <w:r>
                    <w:rPr>
                      <w:rFonts w:hint="eastAsia"/>
                    </w:rPr>
                    <w:t>监测因子</w:t>
                  </w:r>
                </w:p>
              </w:tc>
              <w:tc>
                <w:tcPr>
                  <w:tcW w:w="1934" w:type="pct"/>
                  <w:vAlign w:val="center"/>
                </w:tcPr>
                <w:p w14:paraId="0B711EEB">
                  <w:pPr>
                    <w:pStyle w:val="52"/>
                  </w:pPr>
                  <w:r>
                    <w:rPr>
                      <w:rFonts w:hint="eastAsia"/>
                    </w:rPr>
                    <w:t>取样位置</w:t>
                  </w:r>
                </w:p>
              </w:tc>
              <w:tc>
                <w:tcPr>
                  <w:tcW w:w="606" w:type="pct"/>
                  <w:vAlign w:val="center"/>
                </w:tcPr>
                <w:p w14:paraId="0DBBDA84">
                  <w:pPr>
                    <w:pStyle w:val="52"/>
                  </w:pPr>
                  <w:r>
                    <w:rPr>
                      <w:rFonts w:hint="eastAsia"/>
                    </w:rPr>
                    <w:t>监测频率</w:t>
                  </w:r>
                </w:p>
              </w:tc>
            </w:tr>
            <w:tr w14:paraId="436D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8" w:type="pct"/>
                  <w:vMerge w:val="restart"/>
                  <w:vAlign w:val="center"/>
                </w:tcPr>
                <w:p w14:paraId="67DE1825">
                  <w:pPr>
                    <w:pStyle w:val="52"/>
                  </w:pPr>
                  <w:r>
                    <w:rPr>
                      <w:rFonts w:hint="eastAsia"/>
                    </w:rPr>
                    <w:t>废气</w:t>
                  </w:r>
                </w:p>
              </w:tc>
              <w:tc>
                <w:tcPr>
                  <w:tcW w:w="224" w:type="pct"/>
                  <w:vMerge w:val="restart"/>
                  <w:vAlign w:val="center"/>
                </w:tcPr>
                <w:p w14:paraId="4E514225">
                  <w:pPr>
                    <w:pStyle w:val="52"/>
                  </w:pPr>
                  <w:r>
                    <w:rPr>
                      <w:rFonts w:hint="eastAsia"/>
                    </w:rPr>
                    <w:t>有组织</w:t>
                  </w:r>
                </w:p>
              </w:tc>
              <w:tc>
                <w:tcPr>
                  <w:tcW w:w="1297" w:type="pct"/>
                  <w:vAlign w:val="center"/>
                </w:tcPr>
                <w:p w14:paraId="1E636534">
                  <w:pPr>
                    <w:pStyle w:val="52"/>
                  </w:pPr>
                  <w:r>
                    <w:rPr>
                      <w:rFonts w:hint="eastAsia"/>
                    </w:rPr>
                    <w:t>排气筒</w:t>
                  </w:r>
                  <w:bookmarkStart w:id="78" w:name="OLE_LINK5"/>
                  <w:r>
                    <w:rPr>
                      <w:rFonts w:hint="eastAsia"/>
                    </w:rPr>
                    <w:t>DA001</w:t>
                  </w:r>
                  <w:bookmarkEnd w:id="78"/>
                </w:p>
              </w:tc>
              <w:tc>
                <w:tcPr>
                  <w:tcW w:w="751" w:type="pct"/>
                  <w:vAlign w:val="center"/>
                </w:tcPr>
                <w:p w14:paraId="662E349C">
                  <w:pPr>
                    <w:pStyle w:val="52"/>
                  </w:pPr>
                  <w:r>
                    <w:rPr>
                      <w:rFonts w:hint="eastAsia"/>
                    </w:rPr>
                    <w:t>颗粒物</w:t>
                  </w:r>
                </w:p>
              </w:tc>
              <w:tc>
                <w:tcPr>
                  <w:tcW w:w="1934" w:type="pct"/>
                  <w:vAlign w:val="center"/>
                </w:tcPr>
                <w:p w14:paraId="15A531C5">
                  <w:pPr>
                    <w:pStyle w:val="52"/>
                  </w:pPr>
                  <w:r>
                    <w:rPr>
                      <w:rFonts w:hint="eastAsia"/>
                    </w:rPr>
                    <w:t>布袋除尘器出口</w:t>
                  </w:r>
                </w:p>
              </w:tc>
              <w:tc>
                <w:tcPr>
                  <w:tcW w:w="606" w:type="pct"/>
                  <w:vAlign w:val="center"/>
                </w:tcPr>
                <w:p w14:paraId="7D731806">
                  <w:pPr>
                    <w:pStyle w:val="52"/>
                  </w:pPr>
                  <w:r>
                    <w:rPr>
                      <w:rFonts w:hint="eastAsia"/>
                    </w:rPr>
                    <w:t>1次/年</w:t>
                  </w:r>
                </w:p>
              </w:tc>
            </w:tr>
            <w:tr w14:paraId="1C8E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8" w:type="pct"/>
                  <w:vMerge w:val="continue"/>
                  <w:vAlign w:val="center"/>
                </w:tcPr>
                <w:p w14:paraId="5BD2B06B">
                  <w:pPr>
                    <w:pStyle w:val="52"/>
                  </w:pPr>
                </w:p>
              </w:tc>
              <w:tc>
                <w:tcPr>
                  <w:tcW w:w="224" w:type="pct"/>
                  <w:vMerge w:val="continue"/>
                  <w:vAlign w:val="center"/>
                </w:tcPr>
                <w:p w14:paraId="3CC6E239">
                  <w:pPr>
                    <w:pStyle w:val="52"/>
                  </w:pPr>
                </w:p>
              </w:tc>
              <w:tc>
                <w:tcPr>
                  <w:tcW w:w="1297" w:type="pct"/>
                  <w:vAlign w:val="center"/>
                </w:tcPr>
                <w:p w14:paraId="34E16705">
                  <w:pPr>
                    <w:pStyle w:val="52"/>
                  </w:pPr>
                  <w:r>
                    <w:rPr>
                      <w:rFonts w:hint="eastAsia"/>
                    </w:rPr>
                    <w:t>排气筒DA002</w:t>
                  </w:r>
                </w:p>
              </w:tc>
              <w:tc>
                <w:tcPr>
                  <w:tcW w:w="751" w:type="pct"/>
                  <w:vAlign w:val="center"/>
                </w:tcPr>
                <w:p w14:paraId="4639FB24">
                  <w:pPr>
                    <w:pStyle w:val="52"/>
                  </w:pPr>
                  <w:r>
                    <w:rPr>
                      <w:rFonts w:hint="eastAsia"/>
                    </w:rPr>
                    <w:t>颗粒物</w:t>
                  </w:r>
                </w:p>
              </w:tc>
              <w:tc>
                <w:tcPr>
                  <w:tcW w:w="1934" w:type="pct"/>
                  <w:vAlign w:val="center"/>
                </w:tcPr>
                <w:p w14:paraId="39646321">
                  <w:pPr>
                    <w:pStyle w:val="52"/>
                  </w:pPr>
                  <w:r>
                    <w:rPr>
                      <w:rFonts w:hint="eastAsia"/>
                    </w:rPr>
                    <w:t>布袋除尘器出口</w:t>
                  </w:r>
                </w:p>
              </w:tc>
              <w:tc>
                <w:tcPr>
                  <w:tcW w:w="606" w:type="pct"/>
                  <w:vAlign w:val="center"/>
                </w:tcPr>
                <w:p w14:paraId="5B3BB4AA">
                  <w:pPr>
                    <w:pStyle w:val="52"/>
                  </w:pPr>
                  <w:r>
                    <w:rPr>
                      <w:rFonts w:hint="eastAsia"/>
                    </w:rPr>
                    <w:t>1次/年</w:t>
                  </w:r>
                </w:p>
              </w:tc>
            </w:tr>
            <w:tr w14:paraId="2621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8" w:type="pct"/>
                  <w:vMerge w:val="continue"/>
                  <w:vAlign w:val="center"/>
                </w:tcPr>
                <w:p w14:paraId="2CC6DBFE">
                  <w:pPr>
                    <w:pStyle w:val="52"/>
                  </w:pPr>
                </w:p>
              </w:tc>
              <w:tc>
                <w:tcPr>
                  <w:tcW w:w="224" w:type="pct"/>
                  <w:vMerge w:val="continue"/>
                  <w:vAlign w:val="center"/>
                </w:tcPr>
                <w:p w14:paraId="63F2736B">
                  <w:pPr>
                    <w:pStyle w:val="52"/>
                  </w:pPr>
                </w:p>
              </w:tc>
              <w:tc>
                <w:tcPr>
                  <w:tcW w:w="1297" w:type="pct"/>
                  <w:vAlign w:val="center"/>
                </w:tcPr>
                <w:p w14:paraId="6742A909">
                  <w:pPr>
                    <w:pStyle w:val="52"/>
                  </w:pPr>
                  <w:r>
                    <w:rPr>
                      <w:rFonts w:hint="eastAsia"/>
                    </w:rPr>
                    <w:t>排气筒DA003</w:t>
                  </w:r>
                </w:p>
              </w:tc>
              <w:tc>
                <w:tcPr>
                  <w:tcW w:w="751" w:type="pct"/>
                  <w:vAlign w:val="center"/>
                </w:tcPr>
                <w:p w14:paraId="035B9DF5">
                  <w:pPr>
                    <w:pStyle w:val="52"/>
                  </w:pPr>
                  <w:r>
                    <w:rPr>
                      <w:rFonts w:hint="eastAsia"/>
                    </w:rPr>
                    <w:t>颗粒物</w:t>
                  </w:r>
                </w:p>
              </w:tc>
              <w:tc>
                <w:tcPr>
                  <w:tcW w:w="1934" w:type="pct"/>
                  <w:vAlign w:val="center"/>
                </w:tcPr>
                <w:p w14:paraId="6CC771C1">
                  <w:pPr>
                    <w:pStyle w:val="52"/>
                  </w:pPr>
                  <w:r>
                    <w:rPr>
                      <w:rFonts w:hint="eastAsia"/>
                    </w:rPr>
                    <w:t>布袋除尘器出口</w:t>
                  </w:r>
                </w:p>
              </w:tc>
              <w:tc>
                <w:tcPr>
                  <w:tcW w:w="606" w:type="pct"/>
                  <w:vAlign w:val="center"/>
                </w:tcPr>
                <w:p w14:paraId="3A63EA55">
                  <w:pPr>
                    <w:pStyle w:val="52"/>
                  </w:pPr>
                  <w:r>
                    <w:rPr>
                      <w:rFonts w:hint="eastAsia"/>
                    </w:rPr>
                    <w:t>1次/年</w:t>
                  </w:r>
                </w:p>
              </w:tc>
            </w:tr>
            <w:tr w14:paraId="468C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8" w:type="pct"/>
                  <w:vMerge w:val="continue"/>
                  <w:vAlign w:val="center"/>
                </w:tcPr>
                <w:p w14:paraId="6ED34035">
                  <w:pPr>
                    <w:pStyle w:val="52"/>
                  </w:pPr>
                </w:p>
              </w:tc>
              <w:tc>
                <w:tcPr>
                  <w:tcW w:w="224" w:type="pct"/>
                  <w:vMerge w:val="restart"/>
                  <w:vAlign w:val="center"/>
                </w:tcPr>
                <w:p w14:paraId="39532385">
                  <w:pPr>
                    <w:pStyle w:val="52"/>
                  </w:pPr>
                  <w:r>
                    <w:rPr>
                      <w:rFonts w:hint="eastAsia"/>
                    </w:rPr>
                    <w:t>无组织</w:t>
                  </w:r>
                </w:p>
              </w:tc>
              <w:tc>
                <w:tcPr>
                  <w:tcW w:w="1297" w:type="pct"/>
                  <w:vAlign w:val="center"/>
                </w:tcPr>
                <w:p w14:paraId="45867F4E">
                  <w:pPr>
                    <w:pStyle w:val="52"/>
                  </w:pPr>
                  <w:r>
                    <w:rPr>
                      <w:rFonts w:hint="eastAsia"/>
                    </w:rPr>
                    <w:t>厂界</w:t>
                  </w:r>
                </w:p>
              </w:tc>
              <w:tc>
                <w:tcPr>
                  <w:tcW w:w="751" w:type="pct"/>
                  <w:vAlign w:val="center"/>
                </w:tcPr>
                <w:p w14:paraId="53CEB2F2">
                  <w:pPr>
                    <w:pStyle w:val="52"/>
                  </w:pPr>
                  <w:r>
                    <w:rPr>
                      <w:rFonts w:hint="eastAsia"/>
                    </w:rPr>
                    <w:t>颗粒物</w:t>
                  </w:r>
                </w:p>
              </w:tc>
              <w:tc>
                <w:tcPr>
                  <w:tcW w:w="1934" w:type="pct"/>
                  <w:vAlign w:val="center"/>
                </w:tcPr>
                <w:p w14:paraId="3BB3BF10">
                  <w:pPr>
                    <w:pStyle w:val="52"/>
                  </w:pPr>
                  <w:r>
                    <w:rPr>
                      <w:rFonts w:hint="eastAsia"/>
                    </w:rPr>
                    <w:t>厂界外20m处上风向设参照点，下风向设监控点</w:t>
                  </w:r>
                </w:p>
              </w:tc>
              <w:tc>
                <w:tcPr>
                  <w:tcW w:w="606" w:type="pct"/>
                  <w:vAlign w:val="center"/>
                </w:tcPr>
                <w:p w14:paraId="79B597C9">
                  <w:pPr>
                    <w:pStyle w:val="52"/>
                  </w:pPr>
                  <w:r>
                    <w:rPr>
                      <w:rFonts w:hint="eastAsia"/>
                    </w:rPr>
                    <w:t>1次/年</w:t>
                  </w:r>
                </w:p>
              </w:tc>
            </w:tr>
            <w:tr w14:paraId="2E08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8" w:type="pct"/>
                  <w:vMerge w:val="continue"/>
                  <w:vAlign w:val="center"/>
                </w:tcPr>
                <w:p w14:paraId="263D92ED">
                  <w:pPr>
                    <w:pStyle w:val="52"/>
                  </w:pPr>
                </w:p>
              </w:tc>
              <w:tc>
                <w:tcPr>
                  <w:tcW w:w="224" w:type="pct"/>
                  <w:vMerge w:val="continue"/>
                  <w:vAlign w:val="center"/>
                </w:tcPr>
                <w:p w14:paraId="233A5355">
                  <w:pPr>
                    <w:pStyle w:val="52"/>
                  </w:pPr>
                </w:p>
              </w:tc>
              <w:tc>
                <w:tcPr>
                  <w:tcW w:w="1297" w:type="pct"/>
                  <w:vAlign w:val="center"/>
                </w:tcPr>
                <w:p w14:paraId="0F9BB76D">
                  <w:pPr>
                    <w:pStyle w:val="52"/>
                  </w:pPr>
                  <w:r>
                    <w:rPr>
                      <w:rFonts w:hint="eastAsia"/>
                    </w:rPr>
                    <w:t>厂区内</w:t>
                  </w:r>
                </w:p>
              </w:tc>
              <w:tc>
                <w:tcPr>
                  <w:tcW w:w="751" w:type="pct"/>
                  <w:vAlign w:val="center"/>
                </w:tcPr>
                <w:p w14:paraId="63D89861">
                  <w:pPr>
                    <w:pStyle w:val="52"/>
                  </w:pPr>
                  <w:r>
                    <w:rPr>
                      <w:rFonts w:hint="eastAsia"/>
                    </w:rPr>
                    <w:t>颗粒物</w:t>
                  </w:r>
                </w:p>
              </w:tc>
              <w:tc>
                <w:tcPr>
                  <w:tcW w:w="1934" w:type="pct"/>
                  <w:vAlign w:val="center"/>
                </w:tcPr>
                <w:p w14:paraId="075A9B88">
                  <w:pPr>
                    <w:pStyle w:val="52"/>
                  </w:pPr>
                  <w:r>
                    <w:rPr>
                      <w:rFonts w:hint="eastAsia"/>
                    </w:rPr>
                    <w:t>生产车间门窗或通风口、其他开口（孔）等排放口外1m，距离地面1.5m以上位置处</w:t>
                  </w:r>
                </w:p>
              </w:tc>
              <w:tc>
                <w:tcPr>
                  <w:tcW w:w="606" w:type="pct"/>
                  <w:vAlign w:val="center"/>
                </w:tcPr>
                <w:p w14:paraId="3A0D5F2A">
                  <w:pPr>
                    <w:pStyle w:val="52"/>
                  </w:pPr>
                  <w:r>
                    <w:rPr>
                      <w:rFonts w:hint="eastAsia"/>
                    </w:rPr>
                    <w:t>1次/年</w:t>
                  </w:r>
                </w:p>
              </w:tc>
            </w:tr>
          </w:tbl>
          <w:p w14:paraId="195FC436">
            <w:pPr>
              <w:pStyle w:val="91"/>
            </w:pPr>
            <w:r>
              <w:rPr>
                <w:rFonts w:hint="eastAsia"/>
              </w:rPr>
              <w:t>二、运营期水环境影响和保护措施</w:t>
            </w:r>
          </w:p>
          <w:p w14:paraId="09F7023E">
            <w:pPr>
              <w:pStyle w:val="77"/>
              <w:rPr>
                <w:rFonts w:hint="eastAsia"/>
                <w:sz w:val="24"/>
                <w:szCs w:val="24"/>
              </w:rPr>
            </w:pPr>
            <w:r>
              <w:rPr>
                <w:rFonts w:hint="eastAsia"/>
                <w:sz w:val="24"/>
                <w:szCs w:val="24"/>
              </w:rPr>
              <w:t>1.污染源源强分析</w:t>
            </w:r>
          </w:p>
          <w:p w14:paraId="641DC7F5">
            <w:pPr>
              <w:pStyle w:val="72"/>
              <w:spacing w:line="400" w:lineRule="exact"/>
              <w:ind w:firstLine="480"/>
              <w:rPr>
                <w:sz w:val="24"/>
                <w:szCs w:val="22"/>
              </w:rPr>
            </w:pPr>
            <w:bookmarkStart w:id="79" w:name="_Hlk238646271"/>
            <w:r>
              <w:rPr>
                <w:rFonts w:hint="eastAsia"/>
                <w:sz w:val="24"/>
                <w:szCs w:val="22"/>
              </w:rPr>
              <w:t>本项目产生的废水主要为厂区员工生活污水和车辆冲洗废水。</w:t>
            </w:r>
          </w:p>
          <w:p w14:paraId="658CEE20">
            <w:pPr>
              <w:pStyle w:val="72"/>
              <w:spacing w:line="400" w:lineRule="exact"/>
              <w:ind w:firstLine="480"/>
              <w:rPr>
                <w:sz w:val="24"/>
                <w:szCs w:val="22"/>
              </w:rPr>
            </w:pPr>
            <w:r>
              <w:rPr>
                <w:rFonts w:hint="eastAsia"/>
                <w:sz w:val="24"/>
                <w:szCs w:val="22"/>
              </w:rPr>
              <w:t>（1）生活污水W</w:t>
            </w:r>
            <w:r>
              <w:rPr>
                <w:sz w:val="24"/>
                <w:szCs w:val="22"/>
                <w:vertAlign w:val="subscript"/>
              </w:rPr>
              <w:t>1</w:t>
            </w:r>
          </w:p>
          <w:p w14:paraId="6A981F95">
            <w:pPr>
              <w:pStyle w:val="95"/>
              <w:spacing w:line="440" w:lineRule="exact"/>
              <w:ind w:firstLine="480"/>
              <w:rPr>
                <w:sz w:val="24"/>
                <w:szCs w:val="32"/>
                <w:lang w:val="zh-CN"/>
              </w:rPr>
            </w:pPr>
            <w:r>
              <w:rPr>
                <w:rFonts w:hint="eastAsia"/>
                <w:sz w:val="24"/>
                <w:szCs w:val="32"/>
                <w:lang w:val="zh-CN"/>
              </w:rPr>
              <w:t>本项目厂区不设食堂和宿舍，设置旱厕。根据水平衡计算，本项目生活</w:t>
            </w:r>
            <w:r>
              <w:rPr>
                <w:rFonts w:hint="eastAsia"/>
                <w:sz w:val="24"/>
                <w:szCs w:val="32"/>
              </w:rPr>
              <w:t>废水</w:t>
            </w:r>
            <w:r>
              <w:rPr>
                <w:rFonts w:hint="eastAsia"/>
                <w:sz w:val="24"/>
                <w:szCs w:val="32"/>
                <w:lang w:val="zh-CN"/>
              </w:rPr>
              <w:t>排放量约为0.</w:t>
            </w:r>
            <w:r>
              <w:rPr>
                <w:rFonts w:hint="eastAsia"/>
                <w:sz w:val="24"/>
                <w:szCs w:val="32"/>
              </w:rPr>
              <w:t>32</w:t>
            </w:r>
            <w:r>
              <w:rPr>
                <w:rFonts w:hint="eastAsia"/>
                <w:sz w:val="24"/>
                <w:szCs w:val="32"/>
                <w:lang w:val="zh-CN"/>
              </w:rPr>
              <w:t>m</w:t>
            </w:r>
            <w:r>
              <w:rPr>
                <w:rFonts w:hint="eastAsia"/>
                <w:sz w:val="24"/>
                <w:szCs w:val="32"/>
                <w:vertAlign w:val="superscript"/>
                <w:lang w:val="zh-CN"/>
              </w:rPr>
              <w:t>3</w:t>
            </w:r>
            <w:r>
              <w:rPr>
                <w:rFonts w:hint="eastAsia"/>
                <w:sz w:val="24"/>
                <w:szCs w:val="32"/>
                <w:lang w:val="zh-CN"/>
              </w:rPr>
              <w:t>/d，生活废水经化粪池处理后定时清掏，农田施肥，不外排</w:t>
            </w:r>
            <w:r>
              <w:rPr>
                <w:rFonts w:hint="eastAsia"/>
                <w:sz w:val="24"/>
                <w:szCs w:val="32"/>
              </w:rPr>
              <w:t>，对地表水环境影响较小</w:t>
            </w:r>
            <w:r>
              <w:rPr>
                <w:rFonts w:hint="eastAsia"/>
                <w:sz w:val="24"/>
                <w:szCs w:val="32"/>
                <w:lang w:val="zh-CN"/>
              </w:rPr>
              <w:t>。</w:t>
            </w:r>
          </w:p>
          <w:p w14:paraId="69008ECA">
            <w:pPr>
              <w:pStyle w:val="72"/>
              <w:spacing w:line="400" w:lineRule="exact"/>
              <w:ind w:firstLine="480"/>
              <w:rPr>
                <w:sz w:val="24"/>
                <w:szCs w:val="22"/>
              </w:rPr>
            </w:pPr>
            <w:r>
              <w:rPr>
                <w:rFonts w:hint="eastAsia"/>
                <w:sz w:val="24"/>
                <w:szCs w:val="22"/>
              </w:rPr>
              <w:t>（</w:t>
            </w:r>
            <w:r>
              <w:rPr>
                <w:sz w:val="24"/>
                <w:szCs w:val="22"/>
              </w:rPr>
              <w:t>2</w:t>
            </w:r>
            <w:r>
              <w:rPr>
                <w:rFonts w:hint="eastAsia"/>
                <w:sz w:val="24"/>
                <w:szCs w:val="22"/>
              </w:rPr>
              <w:t>）车辆冲洗废水</w:t>
            </w:r>
            <w:r>
              <w:rPr>
                <w:rFonts w:hint="eastAsia"/>
                <w:bCs/>
                <w:sz w:val="24"/>
                <w:szCs w:val="22"/>
              </w:rPr>
              <w:t>W</w:t>
            </w:r>
            <w:r>
              <w:rPr>
                <w:rFonts w:hint="eastAsia"/>
                <w:bCs/>
                <w:sz w:val="24"/>
                <w:szCs w:val="22"/>
                <w:vertAlign w:val="subscript"/>
              </w:rPr>
              <w:t>2</w:t>
            </w:r>
          </w:p>
          <w:p w14:paraId="5572B84B">
            <w:pPr>
              <w:pStyle w:val="72"/>
              <w:spacing w:line="440" w:lineRule="exact"/>
              <w:ind w:firstLine="480"/>
              <w:rPr>
                <w:sz w:val="24"/>
                <w:szCs w:val="22"/>
              </w:rPr>
            </w:pPr>
            <w:r>
              <w:rPr>
                <w:rFonts w:hint="eastAsia"/>
                <w:sz w:val="24"/>
                <w:szCs w:val="22"/>
              </w:rPr>
              <w:t>本项目根据项目水平衡，洗车废水产生量约0.86m</w:t>
            </w:r>
            <w:r>
              <w:rPr>
                <w:rFonts w:hint="eastAsia"/>
                <w:sz w:val="24"/>
                <w:szCs w:val="22"/>
                <w:vertAlign w:val="superscript"/>
              </w:rPr>
              <w:t>3</w:t>
            </w:r>
            <w:r>
              <w:rPr>
                <w:rFonts w:hint="eastAsia"/>
                <w:sz w:val="24"/>
                <w:szCs w:val="22"/>
              </w:rPr>
              <w:t>/d。洗车废水主要污染物为SS。项目厂区出入口新建一座5m</w:t>
            </w:r>
            <w:r>
              <w:rPr>
                <w:rFonts w:hint="eastAsia"/>
                <w:sz w:val="24"/>
                <w:szCs w:val="22"/>
                <w:vertAlign w:val="superscript"/>
              </w:rPr>
              <w:t>3</w:t>
            </w:r>
            <w:r>
              <w:rPr>
                <w:rFonts w:hint="eastAsia"/>
                <w:sz w:val="24"/>
                <w:szCs w:val="22"/>
              </w:rPr>
              <w:t>洗车平台，洗车废水经沉淀处理后循环使用，不外排，对地表水环境影响较小。</w:t>
            </w:r>
          </w:p>
          <w:p w14:paraId="2D14F814">
            <w:pPr>
              <w:autoSpaceDE w:val="0"/>
              <w:autoSpaceDN w:val="0"/>
              <w:spacing w:line="440" w:lineRule="exact"/>
              <w:ind w:firstLine="480" w:firstLineChars="200"/>
              <w:rPr>
                <w:bCs/>
                <w:sz w:val="24"/>
              </w:rPr>
            </w:pPr>
            <w:r>
              <w:rPr>
                <w:rFonts w:hint="eastAsia"/>
                <w:bCs/>
                <w:sz w:val="24"/>
              </w:rPr>
              <w:t>洗车平台建设指标要求：厂区设置的洗车设施，主要包含洗车平台、</w:t>
            </w:r>
            <w:r>
              <w:rPr>
                <w:sz w:val="24"/>
                <w:szCs w:val="22"/>
              </w:rPr>
              <w:t>抖车台、</w:t>
            </w:r>
            <w:r>
              <w:rPr>
                <w:rFonts w:hint="eastAsia"/>
                <w:bCs/>
                <w:sz w:val="24"/>
              </w:rPr>
              <w:t>四周集水沟、三级沉淀池等。洗车平台宽度不低于4.5m，高度应满足运输车辆清洗轮胎及车身的要求。洗车平台宽中间为20cm厚钢筋砼。由中心位置向四周设置2％的流水坡度。平台板布设单层钢筋网片，采用912钢筋间距200*200。洗车平台四周设置集水沟，沟底向排水口方向设2%的流水坡度。为了防止重型车辆损坏水沟边缘，水沟两侧采用钢筋砼浇筑，三级沉淀池容积为5m</w:t>
            </w:r>
            <w:r>
              <w:rPr>
                <w:rFonts w:hint="eastAsia"/>
                <w:bCs/>
                <w:sz w:val="24"/>
                <w:vertAlign w:val="superscript"/>
              </w:rPr>
              <w:t>3</w:t>
            </w:r>
            <w:r>
              <w:rPr>
                <w:rFonts w:hint="eastAsia"/>
                <w:bCs/>
                <w:sz w:val="24"/>
              </w:rPr>
              <w:t>，设置在平台的一侧，洗车平台废水收集沉淀后循环使用。洗车喷嘴静水压不得低于0.5Mpa。洗车平台应配套保温设施，保障冬季稳定运行。冬季运行时，洗车平台及配套管道、水泵、阀门、沉淀池等均采用电伴热+保温层防冻，管道及设备设置温控伴热系统，池体及沟渠加装保温盖板，停机后排空余水，确保低温条件下不冻结、不冻堵。同时在洗车平台出口设置封闭式烘干通道，采用高压风刀风干+热风烘干组合系统，车辆冲洗后快速烘干，车身、轮胎及底盘无残留积水，避免结冰上路，保障冬季洗车系统连续稳定运行。</w:t>
            </w:r>
          </w:p>
          <w:p w14:paraId="187DE126">
            <w:pPr>
              <w:adjustRightInd w:val="0"/>
              <w:snapToGrid w:val="0"/>
              <w:spacing w:line="440" w:lineRule="exact"/>
              <w:ind w:firstLine="480" w:firstLineChars="200"/>
              <w:rPr>
                <w:color w:val="000000"/>
                <w:kern w:val="0"/>
                <w:sz w:val="24"/>
                <w:szCs w:val="21"/>
              </w:rPr>
            </w:pPr>
            <w:r>
              <w:rPr>
                <w:rFonts w:hint="eastAsia"/>
                <w:color w:val="000000"/>
                <w:kern w:val="0"/>
                <w:sz w:val="24"/>
                <w:szCs w:val="21"/>
              </w:rPr>
              <w:t>（3）初期雨水W</w:t>
            </w:r>
            <w:r>
              <w:rPr>
                <w:rFonts w:hint="eastAsia"/>
                <w:color w:val="000000"/>
                <w:kern w:val="0"/>
                <w:sz w:val="24"/>
                <w:szCs w:val="21"/>
                <w:vertAlign w:val="subscript"/>
              </w:rPr>
              <w:t>3</w:t>
            </w:r>
          </w:p>
          <w:p w14:paraId="30332607">
            <w:pPr>
              <w:spacing w:line="440" w:lineRule="exact"/>
              <w:ind w:firstLine="480" w:firstLineChars="200"/>
              <w:rPr>
                <w:sz w:val="24"/>
              </w:rPr>
            </w:pPr>
            <w:r>
              <w:rPr>
                <w:sz w:val="24"/>
              </w:rPr>
              <w:t>本项目按照地下水污染防控要求实施分区地面硬化、雨污分流。</w:t>
            </w:r>
            <w:r>
              <w:rPr>
                <w:rFonts w:hint="eastAsia"/>
                <w:sz w:val="24"/>
              </w:rPr>
              <w:t>厂区配套初期雨水收集系统，收集厂区降雨前15min受污染初期雨水，雨水经截排水沟汇入初期雨水收集沉淀池，经沉淀去除悬浮物后，上清液回用于场内道路抑尘、地面洒水降尘；降雨后期洁净雨水经溢流口外排。</w:t>
            </w:r>
          </w:p>
          <w:p w14:paraId="3546AF5D">
            <w:pPr>
              <w:spacing w:line="440" w:lineRule="exact"/>
              <w:ind w:firstLine="480" w:firstLineChars="200"/>
              <w:rPr>
                <w:sz w:val="24"/>
              </w:rPr>
            </w:pPr>
            <w:r>
              <w:rPr>
                <w:rFonts w:hint="eastAsia"/>
                <w:sz w:val="24"/>
              </w:rPr>
              <w:t>根据</w:t>
            </w:r>
            <w:bookmarkStart w:id="80" w:name="OLE_LINK18"/>
            <w:r>
              <w:rPr>
                <w:rFonts w:hint="eastAsia"/>
                <w:sz w:val="24"/>
              </w:rPr>
              <w:t>《海绵城市建设技术标准》</w:t>
            </w:r>
            <w:r>
              <w:rPr>
                <w:rFonts w:hint="eastAsia"/>
                <w:bCs/>
                <w:sz w:val="24"/>
                <w:szCs w:val="21"/>
              </w:rPr>
              <w:t>（DBJ04/T344-2025）</w:t>
            </w:r>
            <w:bookmarkEnd w:id="80"/>
            <w:r>
              <w:rPr>
                <w:rFonts w:hint="eastAsia"/>
                <w:bCs/>
                <w:sz w:val="24"/>
                <w:szCs w:val="21"/>
              </w:rPr>
              <w:t>中阳泉市</w:t>
            </w:r>
            <w:r>
              <w:rPr>
                <w:sz w:val="24"/>
              </w:rPr>
              <w:t>暴雨强度q公式：</w:t>
            </w:r>
          </w:p>
          <w:p w14:paraId="73C24DEF">
            <w:pPr>
              <w:ind w:firstLine="420" w:firstLineChars="200"/>
              <w:rPr>
                <w:snapToGrid w:val="0"/>
                <w:sz w:val="24"/>
              </w:rPr>
            </w:pPr>
            <w:r>
              <w:drawing>
                <wp:inline distT="0" distB="0" distL="0" distR="0">
                  <wp:extent cx="1826895" cy="533400"/>
                  <wp:effectExtent l="0" t="0" r="1905" b="0"/>
                  <wp:docPr id="489333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33153" name="图片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849958" cy="540371"/>
                          </a:xfrm>
                          <a:prstGeom prst="rect">
                            <a:avLst/>
                          </a:prstGeom>
                          <a:noFill/>
                          <a:ln>
                            <a:noFill/>
                          </a:ln>
                        </pic:spPr>
                      </pic:pic>
                    </a:graphicData>
                  </a:graphic>
                </wp:inline>
              </w:drawing>
            </w:r>
          </w:p>
          <w:p w14:paraId="0034D126">
            <w:pPr>
              <w:spacing w:line="440" w:lineRule="exact"/>
              <w:ind w:firstLine="480" w:firstLineChars="200"/>
              <w:rPr>
                <w:snapToGrid w:val="0"/>
                <w:sz w:val="24"/>
              </w:rPr>
            </w:pPr>
            <w:r>
              <w:rPr>
                <w:snapToGrid w:val="0"/>
                <w:sz w:val="24"/>
              </w:rPr>
              <w:t>q——暴雨强度</w:t>
            </w:r>
            <w:r>
              <w:rPr>
                <w:rFonts w:hint="eastAsia"/>
                <w:snapToGrid w:val="0"/>
                <w:sz w:val="24"/>
              </w:rPr>
              <w:t>（</w:t>
            </w:r>
            <w:r>
              <w:rPr>
                <w:snapToGrid w:val="0"/>
                <w:sz w:val="24"/>
              </w:rPr>
              <w:t>升/秒•公顷</w:t>
            </w:r>
            <w:r>
              <w:rPr>
                <w:rFonts w:hint="eastAsia"/>
                <w:snapToGrid w:val="0"/>
                <w:sz w:val="24"/>
              </w:rPr>
              <w:t>）</w:t>
            </w:r>
            <w:r>
              <w:rPr>
                <w:snapToGrid w:val="0"/>
                <w:sz w:val="24"/>
              </w:rPr>
              <w:t>；</w:t>
            </w:r>
          </w:p>
          <w:p w14:paraId="05485415">
            <w:pPr>
              <w:spacing w:line="440" w:lineRule="exact"/>
              <w:ind w:firstLine="480" w:firstLineChars="200"/>
              <w:rPr>
                <w:snapToGrid w:val="0"/>
                <w:sz w:val="24"/>
              </w:rPr>
            </w:pPr>
            <w:r>
              <w:rPr>
                <w:rFonts w:hint="eastAsia"/>
                <w:snapToGrid w:val="0"/>
                <w:sz w:val="24"/>
              </w:rPr>
              <w:t>T</w:t>
            </w:r>
            <w:r>
              <w:rPr>
                <w:snapToGrid w:val="0"/>
                <w:sz w:val="24"/>
              </w:rPr>
              <w:t>——重现期（取</w:t>
            </w:r>
            <w:r>
              <w:rPr>
                <w:rFonts w:hint="eastAsia"/>
                <w:snapToGrid w:val="0"/>
                <w:sz w:val="24"/>
              </w:rPr>
              <w:t>2</w:t>
            </w:r>
            <w:r>
              <w:rPr>
                <w:snapToGrid w:val="0"/>
                <w:sz w:val="24"/>
              </w:rPr>
              <w:t>年）；</w:t>
            </w:r>
          </w:p>
          <w:p w14:paraId="42CE62BA">
            <w:pPr>
              <w:spacing w:line="440" w:lineRule="exact"/>
              <w:ind w:firstLine="480" w:firstLineChars="200"/>
              <w:rPr>
                <w:snapToGrid w:val="0"/>
                <w:sz w:val="24"/>
              </w:rPr>
            </w:pPr>
            <w:r>
              <w:rPr>
                <w:snapToGrid w:val="0"/>
                <w:sz w:val="24"/>
              </w:rPr>
              <w:t>t——降雨历时（取15min）。</w:t>
            </w:r>
          </w:p>
          <w:p w14:paraId="02AE4B28">
            <w:pPr>
              <w:spacing w:line="440" w:lineRule="exact"/>
              <w:ind w:firstLine="480" w:firstLineChars="200"/>
              <w:rPr>
                <w:snapToGrid w:val="0"/>
                <w:sz w:val="24"/>
              </w:rPr>
            </w:pPr>
            <w:r>
              <w:rPr>
                <w:snapToGrid w:val="0"/>
                <w:sz w:val="24"/>
              </w:rPr>
              <w:t>计算结果q=</w:t>
            </w:r>
            <w:r>
              <w:rPr>
                <w:rFonts w:hint="eastAsia"/>
                <w:snapToGrid w:val="0"/>
                <w:sz w:val="24"/>
              </w:rPr>
              <w:t>168.4</w:t>
            </w:r>
            <w:r>
              <w:rPr>
                <w:snapToGrid w:val="0"/>
                <w:sz w:val="24"/>
              </w:rPr>
              <w:t>升/秒•公顷</w:t>
            </w:r>
          </w:p>
          <w:p w14:paraId="7385F919">
            <w:pPr>
              <w:spacing w:line="440" w:lineRule="exact"/>
              <w:ind w:firstLine="480" w:firstLineChars="200"/>
              <w:rPr>
                <w:snapToGrid w:val="0"/>
                <w:sz w:val="24"/>
              </w:rPr>
            </w:pPr>
            <w:r>
              <w:rPr>
                <w:snapToGrid w:val="0"/>
                <w:sz w:val="24"/>
              </w:rPr>
              <w:t>Q= qFψT</w:t>
            </w:r>
          </w:p>
          <w:p w14:paraId="75B21D6E">
            <w:pPr>
              <w:spacing w:line="440" w:lineRule="exact"/>
              <w:ind w:firstLine="480" w:firstLineChars="200"/>
              <w:rPr>
                <w:snapToGrid w:val="0"/>
                <w:sz w:val="24"/>
              </w:rPr>
            </w:pPr>
            <w:r>
              <w:rPr>
                <w:snapToGrid w:val="0"/>
                <w:sz w:val="24"/>
              </w:rPr>
              <w:t>Q——初期雨水量；</w:t>
            </w:r>
          </w:p>
          <w:p w14:paraId="4D2004B7">
            <w:pPr>
              <w:spacing w:line="440" w:lineRule="exact"/>
              <w:ind w:firstLine="480" w:firstLineChars="200"/>
              <w:rPr>
                <w:snapToGrid w:val="0"/>
                <w:sz w:val="24"/>
              </w:rPr>
            </w:pPr>
            <w:r>
              <w:rPr>
                <w:snapToGrid w:val="0"/>
                <w:sz w:val="24"/>
              </w:rPr>
              <w:t>F——汇水面积</w:t>
            </w:r>
            <w:r>
              <w:rPr>
                <w:rFonts w:hint="eastAsia"/>
                <w:snapToGrid w:val="0"/>
                <w:sz w:val="24"/>
              </w:rPr>
              <w:t>（</w:t>
            </w:r>
            <w:r>
              <w:rPr>
                <w:snapToGrid w:val="0"/>
                <w:sz w:val="24"/>
              </w:rPr>
              <w:t>取</w:t>
            </w:r>
            <w:r>
              <w:rPr>
                <w:rFonts w:hint="eastAsia"/>
                <w:snapToGrid w:val="0"/>
                <w:sz w:val="24"/>
              </w:rPr>
              <w:t>本项目，0.7</w:t>
            </w:r>
            <w:r>
              <w:rPr>
                <w:snapToGrid w:val="0"/>
                <w:sz w:val="24"/>
              </w:rPr>
              <w:t>公顷</w:t>
            </w:r>
            <w:r>
              <w:rPr>
                <w:rFonts w:hint="eastAsia"/>
                <w:snapToGrid w:val="0"/>
                <w:sz w:val="24"/>
              </w:rPr>
              <w:t>）</w:t>
            </w:r>
            <w:r>
              <w:rPr>
                <w:snapToGrid w:val="0"/>
                <w:sz w:val="24"/>
              </w:rPr>
              <w:t>；</w:t>
            </w:r>
          </w:p>
          <w:p w14:paraId="6061AEC7">
            <w:pPr>
              <w:spacing w:line="440" w:lineRule="exact"/>
              <w:ind w:firstLine="480" w:firstLineChars="200"/>
              <w:rPr>
                <w:snapToGrid w:val="0"/>
                <w:sz w:val="24"/>
              </w:rPr>
            </w:pPr>
            <w:r>
              <w:rPr>
                <w:snapToGrid w:val="0"/>
                <w:sz w:val="24"/>
              </w:rPr>
              <w:t>Ψ——为径流系数（取0.9）</w:t>
            </w:r>
            <w:r>
              <w:rPr>
                <w:rFonts w:hint="eastAsia"/>
                <w:snapToGrid w:val="0"/>
                <w:sz w:val="24"/>
              </w:rPr>
              <w:t>；</w:t>
            </w:r>
          </w:p>
          <w:p w14:paraId="1E7B0161">
            <w:pPr>
              <w:spacing w:line="440" w:lineRule="exact"/>
              <w:ind w:firstLine="480" w:firstLineChars="200"/>
              <w:rPr>
                <w:snapToGrid w:val="0"/>
                <w:sz w:val="24"/>
              </w:rPr>
            </w:pPr>
            <w:r>
              <w:rPr>
                <w:snapToGrid w:val="0"/>
                <w:sz w:val="24"/>
              </w:rPr>
              <w:t>T——为收水时间（取15分钟）</w:t>
            </w:r>
            <w:r>
              <w:rPr>
                <w:rFonts w:hint="eastAsia"/>
                <w:snapToGrid w:val="0"/>
                <w:sz w:val="24"/>
              </w:rPr>
              <w:t>；</w:t>
            </w:r>
          </w:p>
          <w:p w14:paraId="6FF0AE18">
            <w:pPr>
              <w:spacing w:line="440" w:lineRule="exact"/>
              <w:ind w:firstLine="480" w:firstLineChars="200"/>
              <w:rPr>
                <w:snapToGrid w:val="0"/>
                <w:sz w:val="24"/>
              </w:rPr>
            </w:pPr>
            <w:r>
              <w:rPr>
                <w:snapToGrid w:val="0"/>
                <w:sz w:val="24"/>
              </w:rPr>
              <w:t>由此计算出初期雨水量为</w:t>
            </w:r>
            <w:r>
              <w:rPr>
                <w:rFonts w:hint="eastAsia"/>
                <w:snapToGrid w:val="0"/>
                <w:sz w:val="24"/>
              </w:rPr>
              <w:t>95.48</w:t>
            </w:r>
            <w:r>
              <w:rPr>
                <w:snapToGrid w:val="0"/>
                <w:sz w:val="24"/>
              </w:rPr>
              <w:t>m</w:t>
            </w:r>
            <w:r>
              <w:rPr>
                <w:snapToGrid w:val="0"/>
                <w:sz w:val="24"/>
                <w:vertAlign w:val="superscript"/>
              </w:rPr>
              <w:t>3</w:t>
            </w:r>
            <w:r>
              <w:rPr>
                <w:rFonts w:hint="eastAsia"/>
                <w:snapToGrid w:val="0"/>
                <w:sz w:val="24"/>
              </w:rPr>
              <w:t>，</w:t>
            </w:r>
            <w:r>
              <w:rPr>
                <w:snapToGrid w:val="0"/>
                <w:sz w:val="24"/>
              </w:rPr>
              <w:t>配套建设一座有效容积为</w:t>
            </w:r>
            <w:r>
              <w:rPr>
                <w:rFonts w:hint="eastAsia"/>
                <w:snapToGrid w:val="0"/>
                <w:sz w:val="24"/>
              </w:rPr>
              <w:t>100</w:t>
            </w:r>
            <w:r>
              <w:rPr>
                <w:snapToGrid w:val="0"/>
                <w:sz w:val="24"/>
              </w:rPr>
              <w:t>m³的初期雨水池，用于初期雨水的收集。</w:t>
            </w:r>
            <w:bookmarkEnd w:id="79"/>
          </w:p>
          <w:p w14:paraId="7F53AFF9">
            <w:pPr>
              <w:pStyle w:val="72"/>
              <w:spacing w:line="440" w:lineRule="exact"/>
              <w:ind w:firstLine="480"/>
              <w:rPr>
                <w:sz w:val="24"/>
                <w:szCs w:val="22"/>
              </w:rPr>
            </w:pPr>
            <w:r>
              <w:rPr>
                <w:rFonts w:hint="eastAsia"/>
                <w:sz w:val="24"/>
                <w:szCs w:val="32"/>
              </w:rPr>
              <w:t>本项目运营期废水产生及排放情况见下表。</w:t>
            </w:r>
          </w:p>
          <w:p w14:paraId="4892DAF8">
            <w:pPr>
              <w:pStyle w:val="49"/>
              <w:numPr>
                <w:ilvl w:val="0"/>
                <w:numId w:val="0"/>
              </w:numPr>
              <w:rPr>
                <w:rFonts w:cs="黑体"/>
                <w:sz w:val="24"/>
              </w:rPr>
            </w:pPr>
            <w:r>
              <w:rPr>
                <w:rFonts w:hint="eastAsia" w:cs="黑体"/>
                <w:sz w:val="24"/>
              </w:rPr>
              <w:t xml:space="preserve">表4-6  项目运营期废水产生及排放情况表  </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13"/>
              <w:gridCol w:w="958"/>
              <w:gridCol w:w="1448"/>
              <w:gridCol w:w="1255"/>
              <w:gridCol w:w="3139"/>
              <w:gridCol w:w="918"/>
            </w:tblGrid>
            <w:tr w14:paraId="0677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368" w:type="pct"/>
                  <w:vAlign w:val="center"/>
                </w:tcPr>
                <w:p w14:paraId="44E72B25">
                  <w:pPr>
                    <w:pStyle w:val="18"/>
                    <w:spacing w:after="0" w:line="300" w:lineRule="exact"/>
                    <w:ind w:firstLine="0" w:firstLineChars="0"/>
                    <w:jc w:val="center"/>
                    <w:rPr>
                      <w:lang w:val="en-GB"/>
                    </w:rPr>
                  </w:pPr>
                  <w:r>
                    <w:rPr>
                      <w:lang w:val="en-GB"/>
                    </w:rPr>
                    <w:t>序号</w:t>
                  </w:r>
                </w:p>
              </w:tc>
              <w:tc>
                <w:tcPr>
                  <w:tcW w:w="575" w:type="pct"/>
                  <w:vAlign w:val="center"/>
                </w:tcPr>
                <w:p w14:paraId="736EF61E">
                  <w:pPr>
                    <w:pStyle w:val="18"/>
                    <w:spacing w:after="0" w:line="300" w:lineRule="exact"/>
                    <w:ind w:firstLine="0" w:firstLineChars="0"/>
                    <w:jc w:val="center"/>
                    <w:rPr>
                      <w:lang w:val="en-GB"/>
                    </w:rPr>
                  </w:pPr>
                  <w:r>
                    <w:rPr>
                      <w:lang w:val="en-GB"/>
                    </w:rPr>
                    <w:t>产污环节</w:t>
                  </w:r>
                </w:p>
              </w:tc>
              <w:tc>
                <w:tcPr>
                  <w:tcW w:w="869" w:type="pct"/>
                  <w:vAlign w:val="center"/>
                </w:tcPr>
                <w:p w14:paraId="02E4C846">
                  <w:pPr>
                    <w:pStyle w:val="18"/>
                    <w:spacing w:after="0" w:line="300" w:lineRule="exact"/>
                    <w:ind w:firstLine="0" w:firstLineChars="0"/>
                    <w:jc w:val="center"/>
                    <w:rPr>
                      <w:lang w:val="en-GB"/>
                    </w:rPr>
                  </w:pPr>
                  <w:r>
                    <w:rPr>
                      <w:rFonts w:hint="eastAsia"/>
                    </w:rPr>
                    <w:t>主要</w:t>
                  </w:r>
                  <w:r>
                    <w:rPr>
                      <w:lang w:val="en-GB"/>
                    </w:rPr>
                    <w:t>污染物</w:t>
                  </w:r>
                </w:p>
              </w:tc>
              <w:tc>
                <w:tcPr>
                  <w:tcW w:w="753" w:type="pct"/>
                  <w:vAlign w:val="center"/>
                </w:tcPr>
                <w:p w14:paraId="1DE3E426">
                  <w:pPr>
                    <w:pStyle w:val="18"/>
                    <w:spacing w:after="0" w:line="300" w:lineRule="exact"/>
                    <w:ind w:firstLine="0" w:firstLineChars="0"/>
                    <w:jc w:val="center"/>
                    <w:rPr>
                      <w:lang w:val="en-GB"/>
                    </w:rPr>
                  </w:pPr>
                  <w:r>
                    <w:rPr>
                      <w:lang w:val="en-GB"/>
                    </w:rPr>
                    <w:t>产生量</w:t>
                  </w:r>
                </w:p>
              </w:tc>
              <w:tc>
                <w:tcPr>
                  <w:tcW w:w="1884" w:type="pct"/>
                  <w:vAlign w:val="center"/>
                </w:tcPr>
                <w:p w14:paraId="4AB43A8E">
                  <w:pPr>
                    <w:pStyle w:val="18"/>
                    <w:spacing w:after="0" w:line="300" w:lineRule="exact"/>
                    <w:ind w:firstLine="0" w:firstLineChars="0"/>
                    <w:jc w:val="center"/>
                    <w:rPr>
                      <w:lang w:val="en-GB"/>
                    </w:rPr>
                  </w:pPr>
                  <w:r>
                    <w:rPr>
                      <w:lang w:val="en-GB"/>
                    </w:rPr>
                    <w:t>治理设施</w:t>
                  </w:r>
                </w:p>
              </w:tc>
              <w:tc>
                <w:tcPr>
                  <w:tcW w:w="551" w:type="pct"/>
                  <w:vAlign w:val="center"/>
                </w:tcPr>
                <w:p w14:paraId="7F3745A1">
                  <w:pPr>
                    <w:pStyle w:val="18"/>
                    <w:spacing w:after="0" w:line="300" w:lineRule="exact"/>
                    <w:ind w:firstLine="0" w:firstLineChars="0"/>
                    <w:jc w:val="center"/>
                    <w:rPr>
                      <w:lang w:val="en-GB"/>
                    </w:rPr>
                  </w:pPr>
                  <w:r>
                    <w:rPr>
                      <w:lang w:val="en-GB"/>
                    </w:rPr>
                    <w:t>排放方式</w:t>
                  </w:r>
                </w:p>
              </w:tc>
            </w:tr>
            <w:tr w14:paraId="324D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368" w:type="pct"/>
                  <w:vAlign w:val="center"/>
                </w:tcPr>
                <w:p w14:paraId="254CE9F7">
                  <w:pPr>
                    <w:pStyle w:val="18"/>
                    <w:spacing w:after="0" w:line="300" w:lineRule="exact"/>
                    <w:ind w:firstLine="0" w:firstLineChars="0"/>
                    <w:jc w:val="center"/>
                    <w:rPr>
                      <w:lang w:val="en-GB"/>
                    </w:rPr>
                  </w:pPr>
                  <w:r>
                    <w:rPr>
                      <w:lang w:val="en-GB"/>
                    </w:rPr>
                    <w:t>1</w:t>
                  </w:r>
                </w:p>
              </w:tc>
              <w:tc>
                <w:tcPr>
                  <w:tcW w:w="575" w:type="pct"/>
                  <w:vAlign w:val="center"/>
                </w:tcPr>
                <w:p w14:paraId="12B865E0">
                  <w:pPr>
                    <w:pStyle w:val="18"/>
                    <w:spacing w:after="0" w:line="300" w:lineRule="exact"/>
                    <w:ind w:firstLine="0" w:firstLineChars="0"/>
                    <w:jc w:val="center"/>
                    <w:rPr>
                      <w:lang w:val="en-GB"/>
                    </w:rPr>
                  </w:pPr>
                  <w:r>
                    <w:rPr>
                      <w:lang w:val="en-GB"/>
                    </w:rPr>
                    <w:t>车辆冲洗废水</w:t>
                  </w:r>
                </w:p>
              </w:tc>
              <w:tc>
                <w:tcPr>
                  <w:tcW w:w="869" w:type="pct"/>
                  <w:vAlign w:val="center"/>
                </w:tcPr>
                <w:p w14:paraId="4728FE3E">
                  <w:pPr>
                    <w:pStyle w:val="18"/>
                    <w:spacing w:after="0" w:line="300" w:lineRule="exact"/>
                    <w:ind w:firstLine="0" w:firstLineChars="0"/>
                    <w:jc w:val="center"/>
                  </w:pPr>
                  <w:r>
                    <w:t>SS</w:t>
                  </w:r>
                </w:p>
              </w:tc>
              <w:tc>
                <w:tcPr>
                  <w:tcW w:w="753" w:type="pct"/>
                  <w:vAlign w:val="center"/>
                </w:tcPr>
                <w:p w14:paraId="0AAE6F63">
                  <w:pPr>
                    <w:pStyle w:val="18"/>
                    <w:spacing w:after="0" w:line="300" w:lineRule="exact"/>
                    <w:ind w:firstLine="0" w:firstLineChars="0"/>
                    <w:jc w:val="center"/>
                    <w:rPr>
                      <w:lang w:val="en-GB"/>
                    </w:rPr>
                  </w:pPr>
                  <w:r>
                    <w:rPr>
                      <w:rFonts w:hint="eastAsia"/>
                    </w:rPr>
                    <w:t>0.86</w:t>
                  </w:r>
                  <w:r>
                    <w:rPr>
                      <w:lang w:val="en-GB"/>
                    </w:rPr>
                    <w:t>m</w:t>
                  </w:r>
                  <w:r>
                    <w:rPr>
                      <w:vertAlign w:val="superscript"/>
                      <w:lang w:val="en-GB"/>
                    </w:rPr>
                    <w:t>3</w:t>
                  </w:r>
                  <w:r>
                    <w:rPr>
                      <w:lang w:val="en-GB"/>
                    </w:rPr>
                    <w:t>/d</w:t>
                  </w:r>
                </w:p>
              </w:tc>
              <w:tc>
                <w:tcPr>
                  <w:tcW w:w="1884" w:type="pct"/>
                  <w:vAlign w:val="center"/>
                </w:tcPr>
                <w:p w14:paraId="60F3DACA">
                  <w:pPr>
                    <w:pStyle w:val="18"/>
                    <w:spacing w:after="0" w:line="300" w:lineRule="exact"/>
                    <w:ind w:firstLine="0" w:firstLineChars="0"/>
                    <w:jc w:val="center"/>
                  </w:pPr>
                  <w:r>
                    <w:rPr>
                      <w:rFonts w:hint="eastAsia"/>
                      <w:lang w:val="en-GB"/>
                    </w:rPr>
                    <w:t>建设一座</w:t>
                  </w:r>
                  <w:r>
                    <w:rPr>
                      <w:rFonts w:hint="eastAsia"/>
                    </w:rPr>
                    <w:t>5</w:t>
                  </w:r>
                  <w:r>
                    <w:rPr>
                      <w:rFonts w:hint="eastAsia"/>
                      <w:lang w:val="en-GB"/>
                    </w:rPr>
                    <w:t>m</w:t>
                  </w:r>
                  <w:r>
                    <w:rPr>
                      <w:vertAlign w:val="superscript"/>
                      <w:lang w:val="en-GB"/>
                    </w:rPr>
                    <w:t>3</w:t>
                  </w:r>
                  <w:r>
                    <w:rPr>
                      <w:rFonts w:hint="eastAsia"/>
                      <w:lang w:val="en-GB"/>
                    </w:rPr>
                    <w:t>的沉淀池，</w:t>
                  </w:r>
                  <w:r>
                    <w:rPr>
                      <w:lang w:val="en-GB"/>
                    </w:rPr>
                    <w:t>经沉淀池处理后循环使用，不外排</w:t>
                  </w:r>
                </w:p>
              </w:tc>
              <w:tc>
                <w:tcPr>
                  <w:tcW w:w="551" w:type="pct"/>
                  <w:vAlign w:val="center"/>
                </w:tcPr>
                <w:p w14:paraId="061D6F92">
                  <w:pPr>
                    <w:pStyle w:val="18"/>
                    <w:spacing w:after="0" w:line="300" w:lineRule="exact"/>
                    <w:ind w:firstLine="0" w:firstLineChars="0"/>
                    <w:jc w:val="center"/>
                    <w:rPr>
                      <w:lang w:val="en-GB"/>
                    </w:rPr>
                  </w:pPr>
                  <w:r>
                    <w:rPr>
                      <w:lang w:val="en-GB"/>
                    </w:rPr>
                    <w:t>不外排</w:t>
                  </w:r>
                </w:p>
              </w:tc>
            </w:tr>
            <w:tr w14:paraId="3BDE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368" w:type="pct"/>
                  <w:vAlign w:val="center"/>
                </w:tcPr>
                <w:p w14:paraId="73BCED58">
                  <w:pPr>
                    <w:pStyle w:val="18"/>
                    <w:spacing w:after="0" w:line="300" w:lineRule="exact"/>
                    <w:ind w:firstLine="0" w:firstLineChars="0"/>
                    <w:jc w:val="center"/>
                  </w:pPr>
                  <w:r>
                    <w:t>2</w:t>
                  </w:r>
                </w:p>
              </w:tc>
              <w:tc>
                <w:tcPr>
                  <w:tcW w:w="575" w:type="pct"/>
                  <w:vAlign w:val="center"/>
                </w:tcPr>
                <w:p w14:paraId="31EA3BD6">
                  <w:pPr>
                    <w:pStyle w:val="18"/>
                    <w:spacing w:after="0" w:line="300" w:lineRule="exact"/>
                    <w:ind w:firstLine="0" w:firstLineChars="0"/>
                    <w:jc w:val="center"/>
                  </w:pPr>
                  <w:r>
                    <w:rPr>
                      <w:rFonts w:hint="eastAsia"/>
                    </w:rPr>
                    <w:t>职工生活</w:t>
                  </w:r>
                </w:p>
              </w:tc>
              <w:tc>
                <w:tcPr>
                  <w:tcW w:w="869" w:type="pct"/>
                  <w:vAlign w:val="center"/>
                </w:tcPr>
                <w:p w14:paraId="020645C1">
                  <w:pPr>
                    <w:pStyle w:val="18"/>
                    <w:spacing w:after="0" w:line="300" w:lineRule="exact"/>
                    <w:ind w:firstLine="0" w:firstLineChars="0"/>
                    <w:jc w:val="center"/>
                  </w:pPr>
                  <w:r>
                    <w:rPr>
                      <w:rFonts w:hint="eastAsia"/>
                    </w:rPr>
                    <w:t>COD、BOD、氨氮、</w:t>
                  </w:r>
                  <w:r>
                    <w:t>SS</w:t>
                  </w:r>
                </w:p>
              </w:tc>
              <w:tc>
                <w:tcPr>
                  <w:tcW w:w="753" w:type="pct"/>
                  <w:vAlign w:val="center"/>
                </w:tcPr>
                <w:p w14:paraId="45AEBBC1">
                  <w:pPr>
                    <w:pStyle w:val="18"/>
                    <w:spacing w:after="0" w:line="300" w:lineRule="exact"/>
                    <w:ind w:firstLine="0" w:firstLineChars="0"/>
                    <w:jc w:val="center"/>
                  </w:pPr>
                  <w:r>
                    <w:rPr>
                      <w:rFonts w:hint="eastAsia"/>
                    </w:rPr>
                    <w:t>0.32m</w:t>
                  </w:r>
                  <w:r>
                    <w:rPr>
                      <w:rFonts w:hint="eastAsia"/>
                      <w:vertAlign w:val="superscript"/>
                    </w:rPr>
                    <w:t>3</w:t>
                  </w:r>
                  <w:r>
                    <w:rPr>
                      <w:rFonts w:hint="eastAsia"/>
                    </w:rPr>
                    <w:t>/d</w:t>
                  </w:r>
                </w:p>
              </w:tc>
              <w:tc>
                <w:tcPr>
                  <w:tcW w:w="1884" w:type="pct"/>
                  <w:vAlign w:val="center"/>
                </w:tcPr>
                <w:p w14:paraId="5B65AF42">
                  <w:pPr>
                    <w:pStyle w:val="18"/>
                    <w:spacing w:after="0" w:line="300" w:lineRule="exact"/>
                    <w:ind w:firstLine="0" w:firstLineChars="0"/>
                    <w:jc w:val="center"/>
                  </w:pPr>
                  <w:r>
                    <w:rPr>
                      <w:rFonts w:hint="eastAsia"/>
                    </w:rPr>
                    <w:t>就地泼洒抑尘</w:t>
                  </w:r>
                </w:p>
              </w:tc>
              <w:tc>
                <w:tcPr>
                  <w:tcW w:w="551" w:type="pct"/>
                  <w:vAlign w:val="center"/>
                </w:tcPr>
                <w:p w14:paraId="67016724">
                  <w:pPr>
                    <w:pStyle w:val="18"/>
                    <w:spacing w:after="0" w:line="300" w:lineRule="exact"/>
                    <w:ind w:firstLine="0" w:firstLineChars="0"/>
                    <w:jc w:val="center"/>
                    <w:rPr>
                      <w:lang w:val="en-GB"/>
                    </w:rPr>
                  </w:pPr>
                  <w:r>
                    <w:rPr>
                      <w:lang w:val="en-GB"/>
                    </w:rPr>
                    <w:t>不外排</w:t>
                  </w:r>
                </w:p>
              </w:tc>
            </w:tr>
            <w:tr w14:paraId="1D6B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368" w:type="pct"/>
                  <w:vAlign w:val="center"/>
                </w:tcPr>
                <w:p w14:paraId="6D6D9163">
                  <w:pPr>
                    <w:pStyle w:val="18"/>
                    <w:spacing w:after="0" w:line="300" w:lineRule="exact"/>
                    <w:ind w:firstLine="0" w:firstLineChars="0"/>
                    <w:jc w:val="center"/>
                  </w:pPr>
                  <w:r>
                    <w:rPr>
                      <w:rFonts w:hint="eastAsia"/>
                    </w:rPr>
                    <w:t>3</w:t>
                  </w:r>
                </w:p>
              </w:tc>
              <w:tc>
                <w:tcPr>
                  <w:tcW w:w="575" w:type="pct"/>
                  <w:vAlign w:val="center"/>
                </w:tcPr>
                <w:p w14:paraId="1F6F741C">
                  <w:pPr>
                    <w:jc w:val="center"/>
                    <w:rPr>
                      <w:bCs/>
                      <w:szCs w:val="21"/>
                      <w:lang w:val="en-GB"/>
                    </w:rPr>
                  </w:pPr>
                  <w:r>
                    <w:rPr>
                      <w:bCs/>
                      <w:szCs w:val="21"/>
                      <w:lang w:val="en-GB"/>
                    </w:rPr>
                    <w:t>初期</w:t>
                  </w:r>
                </w:p>
                <w:p w14:paraId="11C61471">
                  <w:pPr>
                    <w:pStyle w:val="18"/>
                    <w:spacing w:after="0" w:line="300" w:lineRule="exact"/>
                    <w:ind w:firstLine="0" w:firstLineChars="0"/>
                    <w:jc w:val="center"/>
                  </w:pPr>
                  <w:r>
                    <w:rPr>
                      <w:bCs/>
                      <w:szCs w:val="21"/>
                      <w:lang w:val="en-GB"/>
                    </w:rPr>
                    <w:t>雨水</w:t>
                  </w:r>
                </w:p>
              </w:tc>
              <w:tc>
                <w:tcPr>
                  <w:tcW w:w="869" w:type="pct"/>
                  <w:vAlign w:val="center"/>
                </w:tcPr>
                <w:p w14:paraId="770AE45A">
                  <w:pPr>
                    <w:pStyle w:val="18"/>
                    <w:spacing w:after="0" w:line="300" w:lineRule="exact"/>
                    <w:ind w:firstLine="0" w:firstLineChars="0"/>
                    <w:jc w:val="center"/>
                  </w:pPr>
                  <w:r>
                    <w:rPr>
                      <w:bCs/>
                      <w:szCs w:val="21"/>
                    </w:rPr>
                    <w:t>SS</w:t>
                  </w:r>
                </w:p>
              </w:tc>
              <w:tc>
                <w:tcPr>
                  <w:tcW w:w="753" w:type="pct"/>
                  <w:vAlign w:val="center"/>
                </w:tcPr>
                <w:p w14:paraId="77E73E76">
                  <w:pPr>
                    <w:pStyle w:val="18"/>
                    <w:spacing w:after="0" w:line="300" w:lineRule="exact"/>
                    <w:ind w:firstLine="0" w:firstLineChars="0"/>
                    <w:jc w:val="center"/>
                  </w:pPr>
                  <w:r>
                    <w:rPr>
                      <w:rFonts w:hint="eastAsia"/>
                      <w:snapToGrid w:val="0"/>
                      <w:szCs w:val="21"/>
                    </w:rPr>
                    <w:t>95.48</w:t>
                  </w:r>
                  <w:r>
                    <w:rPr>
                      <w:bCs/>
                      <w:szCs w:val="21"/>
                    </w:rPr>
                    <w:t>m³</w:t>
                  </w:r>
                </w:p>
              </w:tc>
              <w:tc>
                <w:tcPr>
                  <w:tcW w:w="1884" w:type="pct"/>
                  <w:vAlign w:val="center"/>
                </w:tcPr>
                <w:p w14:paraId="7D54391D">
                  <w:pPr>
                    <w:pStyle w:val="18"/>
                    <w:spacing w:after="0" w:line="300" w:lineRule="exact"/>
                    <w:ind w:firstLine="0" w:firstLineChars="0"/>
                    <w:jc w:val="center"/>
                  </w:pPr>
                  <w:r>
                    <w:rPr>
                      <w:bCs/>
                      <w:szCs w:val="21"/>
                      <w:lang w:val="en-GB"/>
                    </w:rPr>
                    <w:t>在厂区最低点建设一座初期雨水池，用于初期雨水的收集，经沉淀后，用于</w:t>
                  </w:r>
                  <w:r>
                    <w:rPr>
                      <w:rFonts w:hint="eastAsia"/>
                      <w:bCs/>
                      <w:szCs w:val="21"/>
                      <w:lang w:val="en-GB"/>
                    </w:rPr>
                    <w:t>厂区</w:t>
                  </w:r>
                  <w:r>
                    <w:rPr>
                      <w:bCs/>
                      <w:szCs w:val="21"/>
                      <w:lang w:val="en-GB"/>
                    </w:rPr>
                    <w:t>抑尘，不外排</w:t>
                  </w:r>
                </w:p>
              </w:tc>
              <w:tc>
                <w:tcPr>
                  <w:tcW w:w="551" w:type="pct"/>
                  <w:vAlign w:val="center"/>
                </w:tcPr>
                <w:p w14:paraId="231FFE4E">
                  <w:pPr>
                    <w:pStyle w:val="18"/>
                    <w:spacing w:after="0" w:line="300" w:lineRule="exact"/>
                    <w:ind w:firstLine="0" w:firstLineChars="0"/>
                    <w:jc w:val="center"/>
                    <w:rPr>
                      <w:lang w:val="en-GB"/>
                    </w:rPr>
                  </w:pPr>
                  <w:r>
                    <w:rPr>
                      <w:bCs/>
                      <w:szCs w:val="21"/>
                      <w:lang w:val="en-GB"/>
                    </w:rPr>
                    <w:t>不外排</w:t>
                  </w:r>
                </w:p>
              </w:tc>
            </w:tr>
          </w:tbl>
          <w:p w14:paraId="488089AA">
            <w:pPr>
              <w:pStyle w:val="91"/>
            </w:pPr>
            <w:r>
              <w:rPr>
                <w:rFonts w:hint="eastAsia"/>
              </w:rPr>
              <w:t>三、运营期噪声环境影响和保护措施</w:t>
            </w:r>
          </w:p>
          <w:p w14:paraId="062E086B">
            <w:pPr>
              <w:pStyle w:val="77"/>
              <w:rPr>
                <w:rFonts w:hint="eastAsia"/>
                <w:sz w:val="24"/>
                <w:szCs w:val="24"/>
              </w:rPr>
            </w:pPr>
            <w:r>
              <w:rPr>
                <w:rFonts w:hint="eastAsia"/>
                <w:sz w:val="24"/>
                <w:szCs w:val="24"/>
              </w:rPr>
              <w:t>1.污染源源强分析</w:t>
            </w:r>
          </w:p>
          <w:p w14:paraId="2F059331">
            <w:pPr>
              <w:pStyle w:val="72"/>
              <w:spacing w:line="400" w:lineRule="exact"/>
              <w:ind w:firstLine="480"/>
              <w:rPr>
                <w:sz w:val="24"/>
                <w:szCs w:val="22"/>
              </w:rPr>
            </w:pPr>
            <w:r>
              <w:rPr>
                <w:rFonts w:hint="eastAsia"/>
                <w:sz w:val="24"/>
                <w:szCs w:val="22"/>
              </w:rPr>
              <w:t>本项目的噪声源主要来自产品加工过程中给料、输送、搅拌、码垛、包装等工序产生的噪声。此外，还有原料和产品运输过程产生交通运输噪声。本项目噪声污染源源强核算结果见下表。</w:t>
            </w:r>
          </w:p>
          <w:p w14:paraId="03EC79A0">
            <w:pPr>
              <w:pStyle w:val="72"/>
              <w:spacing w:line="400" w:lineRule="exact"/>
              <w:ind w:firstLine="0" w:firstLineChars="0"/>
              <w:jc w:val="center"/>
              <w:rPr>
                <w:sz w:val="24"/>
                <w:szCs w:val="22"/>
              </w:rPr>
            </w:pPr>
            <w:r>
              <w:rPr>
                <w:rFonts w:hint="eastAsia"/>
                <w:sz w:val="24"/>
                <w:szCs w:val="22"/>
              </w:rPr>
              <w:t xml:space="preserve">表4-7    </w:t>
            </w:r>
            <w:r>
              <w:rPr>
                <w:rFonts w:hint="eastAsia"/>
                <w:sz w:val="24"/>
                <w:szCs w:val="24"/>
              </w:rPr>
              <w:t>主要设备噪声源强表（室内声源）</w:t>
            </w:r>
          </w:p>
          <w:tbl>
            <w:tblPr>
              <w:tblStyle w:val="20"/>
              <w:tblW w:w="83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37"/>
              <w:gridCol w:w="850"/>
              <w:gridCol w:w="708"/>
              <w:gridCol w:w="709"/>
              <w:gridCol w:w="709"/>
              <w:gridCol w:w="567"/>
              <w:gridCol w:w="607"/>
              <w:gridCol w:w="368"/>
              <w:gridCol w:w="493"/>
              <w:gridCol w:w="605"/>
              <w:gridCol w:w="483"/>
              <w:gridCol w:w="605"/>
              <w:gridCol w:w="605"/>
              <w:gridCol w:w="709"/>
            </w:tblGrid>
            <w:tr w14:paraId="15DB5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02" w:type="pct"/>
                  <w:vMerge w:val="restart"/>
                  <w:vAlign w:val="center"/>
                </w:tcPr>
                <w:p w14:paraId="220292CB">
                  <w:pPr>
                    <w:tabs>
                      <w:tab w:val="left" w:pos="0"/>
                    </w:tabs>
                    <w:adjustRightInd w:val="0"/>
                    <w:snapToGrid w:val="0"/>
                    <w:jc w:val="center"/>
                    <w:rPr>
                      <w:szCs w:val="21"/>
                    </w:rPr>
                  </w:pPr>
                  <w:r>
                    <w:rPr>
                      <w:szCs w:val="21"/>
                    </w:rPr>
                    <w:t>序号</w:t>
                  </w:r>
                </w:p>
              </w:tc>
              <w:tc>
                <w:tcPr>
                  <w:tcW w:w="509" w:type="pct"/>
                  <w:vMerge w:val="restart"/>
                  <w:vAlign w:val="center"/>
                </w:tcPr>
                <w:p w14:paraId="57C63AE7">
                  <w:pPr>
                    <w:tabs>
                      <w:tab w:val="left" w:pos="0"/>
                    </w:tabs>
                    <w:adjustRightInd w:val="0"/>
                    <w:snapToGrid w:val="0"/>
                    <w:jc w:val="center"/>
                    <w:rPr>
                      <w:szCs w:val="21"/>
                    </w:rPr>
                  </w:pPr>
                  <w:r>
                    <w:rPr>
                      <w:szCs w:val="21"/>
                    </w:rPr>
                    <w:t>声源名称</w:t>
                  </w:r>
                </w:p>
              </w:tc>
              <w:tc>
                <w:tcPr>
                  <w:tcW w:w="424" w:type="pct"/>
                  <w:vMerge w:val="restart"/>
                  <w:vAlign w:val="center"/>
                </w:tcPr>
                <w:p w14:paraId="6ACEA2DB">
                  <w:pPr>
                    <w:tabs>
                      <w:tab w:val="left" w:pos="0"/>
                    </w:tabs>
                    <w:adjustRightInd w:val="0"/>
                    <w:snapToGrid w:val="0"/>
                    <w:jc w:val="center"/>
                    <w:rPr>
                      <w:szCs w:val="21"/>
                    </w:rPr>
                  </w:pPr>
                  <w:r>
                    <w:rPr>
                      <w:szCs w:val="21"/>
                    </w:rPr>
                    <w:t>型号</w:t>
                  </w:r>
                </w:p>
              </w:tc>
              <w:tc>
                <w:tcPr>
                  <w:tcW w:w="424" w:type="pct"/>
                  <w:vAlign w:val="center"/>
                </w:tcPr>
                <w:p w14:paraId="144A9DD4">
                  <w:pPr>
                    <w:tabs>
                      <w:tab w:val="left" w:pos="0"/>
                    </w:tabs>
                    <w:adjustRightInd w:val="0"/>
                    <w:snapToGrid w:val="0"/>
                    <w:jc w:val="center"/>
                    <w:rPr>
                      <w:szCs w:val="21"/>
                    </w:rPr>
                  </w:pPr>
                  <w:r>
                    <w:rPr>
                      <w:szCs w:val="21"/>
                    </w:rPr>
                    <w:t>声源</w:t>
                  </w:r>
                </w:p>
                <w:p w14:paraId="0D9581A5">
                  <w:pPr>
                    <w:tabs>
                      <w:tab w:val="left" w:pos="0"/>
                    </w:tabs>
                    <w:adjustRightInd w:val="0"/>
                    <w:snapToGrid w:val="0"/>
                    <w:jc w:val="center"/>
                    <w:rPr>
                      <w:szCs w:val="21"/>
                    </w:rPr>
                  </w:pPr>
                  <w:r>
                    <w:rPr>
                      <w:szCs w:val="21"/>
                    </w:rPr>
                    <w:t>源强</w:t>
                  </w:r>
                </w:p>
              </w:tc>
              <w:tc>
                <w:tcPr>
                  <w:tcW w:w="424" w:type="pct"/>
                  <w:vMerge w:val="restart"/>
                  <w:vAlign w:val="center"/>
                </w:tcPr>
                <w:p w14:paraId="3B9B5030">
                  <w:pPr>
                    <w:tabs>
                      <w:tab w:val="left" w:pos="0"/>
                    </w:tabs>
                    <w:adjustRightInd w:val="0"/>
                    <w:snapToGrid w:val="0"/>
                    <w:jc w:val="center"/>
                    <w:rPr>
                      <w:szCs w:val="21"/>
                    </w:rPr>
                  </w:pPr>
                  <w:r>
                    <w:rPr>
                      <w:szCs w:val="21"/>
                    </w:rPr>
                    <w:t>声源控制措施</w:t>
                  </w:r>
                </w:p>
              </w:tc>
              <w:tc>
                <w:tcPr>
                  <w:tcW w:w="922" w:type="pct"/>
                  <w:gridSpan w:val="3"/>
                  <w:vAlign w:val="center"/>
                </w:tcPr>
                <w:p w14:paraId="50601296">
                  <w:pPr>
                    <w:tabs>
                      <w:tab w:val="left" w:pos="0"/>
                    </w:tabs>
                    <w:adjustRightInd w:val="0"/>
                    <w:snapToGrid w:val="0"/>
                    <w:jc w:val="center"/>
                    <w:rPr>
                      <w:szCs w:val="21"/>
                    </w:rPr>
                  </w:pPr>
                  <w:r>
                    <w:rPr>
                      <w:szCs w:val="21"/>
                    </w:rPr>
                    <w:t>空间相对位置/m</w:t>
                  </w:r>
                  <w:r>
                    <w:rPr>
                      <w:rFonts w:hint="eastAsia"/>
                      <w:szCs w:val="21"/>
                    </w:rPr>
                    <w:t>厂区西侧边界（0，0，0）</w:t>
                  </w:r>
                </w:p>
              </w:tc>
              <w:tc>
                <w:tcPr>
                  <w:tcW w:w="295" w:type="pct"/>
                  <w:vMerge w:val="restart"/>
                  <w:vAlign w:val="center"/>
                </w:tcPr>
                <w:p w14:paraId="10B5D378">
                  <w:pPr>
                    <w:tabs>
                      <w:tab w:val="left" w:pos="0"/>
                    </w:tabs>
                    <w:adjustRightInd w:val="0"/>
                    <w:snapToGrid w:val="0"/>
                    <w:jc w:val="center"/>
                    <w:rPr>
                      <w:szCs w:val="21"/>
                    </w:rPr>
                  </w:pPr>
                  <w:r>
                    <w:rPr>
                      <w:szCs w:val="21"/>
                    </w:rPr>
                    <w:t>距室内边界距离/m</w:t>
                  </w:r>
                </w:p>
              </w:tc>
              <w:tc>
                <w:tcPr>
                  <w:tcW w:w="362" w:type="pct"/>
                  <w:vMerge w:val="restart"/>
                  <w:vAlign w:val="center"/>
                </w:tcPr>
                <w:p w14:paraId="2A7E674E">
                  <w:pPr>
                    <w:tabs>
                      <w:tab w:val="left" w:pos="0"/>
                    </w:tabs>
                    <w:adjustRightInd w:val="0"/>
                    <w:snapToGrid w:val="0"/>
                    <w:jc w:val="center"/>
                    <w:rPr>
                      <w:szCs w:val="21"/>
                    </w:rPr>
                  </w:pPr>
                  <w:r>
                    <w:rPr>
                      <w:szCs w:val="21"/>
                    </w:rPr>
                    <w:t>室内边界声级/dB(A)</w:t>
                  </w:r>
                </w:p>
              </w:tc>
              <w:tc>
                <w:tcPr>
                  <w:tcW w:w="289" w:type="pct"/>
                  <w:vMerge w:val="restart"/>
                  <w:vAlign w:val="center"/>
                </w:tcPr>
                <w:p w14:paraId="4E4DE477">
                  <w:pPr>
                    <w:tabs>
                      <w:tab w:val="left" w:pos="0"/>
                    </w:tabs>
                    <w:adjustRightInd w:val="0"/>
                    <w:snapToGrid w:val="0"/>
                    <w:jc w:val="center"/>
                    <w:rPr>
                      <w:szCs w:val="21"/>
                    </w:rPr>
                  </w:pPr>
                  <w:r>
                    <w:rPr>
                      <w:szCs w:val="21"/>
                    </w:rPr>
                    <w:t>运行时段</w:t>
                  </w:r>
                </w:p>
              </w:tc>
              <w:tc>
                <w:tcPr>
                  <w:tcW w:w="362" w:type="pct"/>
                  <w:vMerge w:val="restart"/>
                  <w:vAlign w:val="center"/>
                </w:tcPr>
                <w:p w14:paraId="1D428DDD">
                  <w:pPr>
                    <w:tabs>
                      <w:tab w:val="left" w:pos="0"/>
                    </w:tabs>
                    <w:adjustRightInd w:val="0"/>
                    <w:snapToGrid w:val="0"/>
                    <w:jc w:val="center"/>
                    <w:rPr>
                      <w:szCs w:val="21"/>
                    </w:rPr>
                  </w:pPr>
                  <w:r>
                    <w:rPr>
                      <w:szCs w:val="21"/>
                    </w:rPr>
                    <w:t>建筑物插入损失/dB(A)</w:t>
                  </w:r>
                </w:p>
              </w:tc>
              <w:tc>
                <w:tcPr>
                  <w:tcW w:w="786" w:type="pct"/>
                  <w:gridSpan w:val="2"/>
                  <w:vAlign w:val="center"/>
                </w:tcPr>
                <w:p w14:paraId="1D490897">
                  <w:pPr>
                    <w:tabs>
                      <w:tab w:val="left" w:pos="0"/>
                    </w:tabs>
                    <w:adjustRightInd w:val="0"/>
                    <w:snapToGrid w:val="0"/>
                    <w:jc w:val="center"/>
                    <w:rPr>
                      <w:szCs w:val="21"/>
                    </w:rPr>
                  </w:pPr>
                  <w:r>
                    <w:rPr>
                      <w:szCs w:val="21"/>
                    </w:rPr>
                    <w:t>建筑物外噪声</w:t>
                  </w:r>
                </w:p>
              </w:tc>
            </w:tr>
            <w:tr w14:paraId="56EB3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02" w:type="pct"/>
                  <w:vMerge w:val="continue"/>
                  <w:vAlign w:val="center"/>
                </w:tcPr>
                <w:p w14:paraId="19A2F827">
                  <w:pPr>
                    <w:tabs>
                      <w:tab w:val="left" w:pos="0"/>
                    </w:tabs>
                    <w:adjustRightInd w:val="0"/>
                    <w:snapToGrid w:val="0"/>
                    <w:jc w:val="center"/>
                    <w:rPr>
                      <w:szCs w:val="21"/>
                    </w:rPr>
                  </w:pPr>
                </w:p>
              </w:tc>
              <w:tc>
                <w:tcPr>
                  <w:tcW w:w="509" w:type="pct"/>
                  <w:vMerge w:val="continue"/>
                  <w:vAlign w:val="center"/>
                </w:tcPr>
                <w:p w14:paraId="1C16B388">
                  <w:pPr>
                    <w:tabs>
                      <w:tab w:val="left" w:pos="0"/>
                    </w:tabs>
                    <w:adjustRightInd w:val="0"/>
                    <w:snapToGrid w:val="0"/>
                    <w:jc w:val="center"/>
                    <w:rPr>
                      <w:szCs w:val="21"/>
                    </w:rPr>
                  </w:pPr>
                </w:p>
              </w:tc>
              <w:tc>
                <w:tcPr>
                  <w:tcW w:w="424" w:type="pct"/>
                  <w:vMerge w:val="continue"/>
                  <w:vAlign w:val="center"/>
                </w:tcPr>
                <w:p w14:paraId="2DF22733">
                  <w:pPr>
                    <w:tabs>
                      <w:tab w:val="left" w:pos="0"/>
                    </w:tabs>
                    <w:adjustRightInd w:val="0"/>
                    <w:snapToGrid w:val="0"/>
                    <w:jc w:val="center"/>
                    <w:rPr>
                      <w:szCs w:val="21"/>
                    </w:rPr>
                  </w:pPr>
                </w:p>
              </w:tc>
              <w:tc>
                <w:tcPr>
                  <w:tcW w:w="424" w:type="pct"/>
                  <w:vAlign w:val="center"/>
                </w:tcPr>
                <w:p w14:paraId="3DD68B3F">
                  <w:pPr>
                    <w:tabs>
                      <w:tab w:val="left" w:pos="0"/>
                    </w:tabs>
                    <w:adjustRightInd w:val="0"/>
                    <w:snapToGrid w:val="0"/>
                    <w:jc w:val="center"/>
                    <w:rPr>
                      <w:szCs w:val="21"/>
                    </w:rPr>
                  </w:pPr>
                  <w:r>
                    <w:rPr>
                      <w:rFonts w:hint="eastAsia"/>
                      <w:szCs w:val="21"/>
                    </w:rPr>
                    <w:t>声压级</w:t>
                  </w:r>
                  <w:r>
                    <w:rPr>
                      <w:szCs w:val="21"/>
                    </w:rPr>
                    <w:t>/db(A)</w:t>
                  </w:r>
                </w:p>
              </w:tc>
              <w:tc>
                <w:tcPr>
                  <w:tcW w:w="424" w:type="pct"/>
                  <w:vMerge w:val="continue"/>
                  <w:vAlign w:val="center"/>
                </w:tcPr>
                <w:p w14:paraId="6AA8C0CF">
                  <w:pPr>
                    <w:tabs>
                      <w:tab w:val="left" w:pos="0"/>
                    </w:tabs>
                    <w:adjustRightInd w:val="0"/>
                    <w:snapToGrid w:val="0"/>
                    <w:jc w:val="center"/>
                    <w:rPr>
                      <w:szCs w:val="21"/>
                    </w:rPr>
                  </w:pPr>
                </w:p>
              </w:tc>
              <w:tc>
                <w:tcPr>
                  <w:tcW w:w="339" w:type="pct"/>
                  <w:vAlign w:val="center"/>
                </w:tcPr>
                <w:p w14:paraId="66F9A5A1">
                  <w:pPr>
                    <w:tabs>
                      <w:tab w:val="left" w:pos="0"/>
                    </w:tabs>
                    <w:adjustRightInd w:val="0"/>
                    <w:snapToGrid w:val="0"/>
                    <w:jc w:val="center"/>
                    <w:rPr>
                      <w:szCs w:val="21"/>
                    </w:rPr>
                  </w:pPr>
                  <w:r>
                    <w:rPr>
                      <w:szCs w:val="21"/>
                    </w:rPr>
                    <w:t>X</w:t>
                  </w:r>
                </w:p>
              </w:tc>
              <w:tc>
                <w:tcPr>
                  <w:tcW w:w="363" w:type="pct"/>
                  <w:vAlign w:val="center"/>
                </w:tcPr>
                <w:p w14:paraId="125408ED">
                  <w:pPr>
                    <w:tabs>
                      <w:tab w:val="left" w:pos="0"/>
                    </w:tabs>
                    <w:adjustRightInd w:val="0"/>
                    <w:snapToGrid w:val="0"/>
                    <w:jc w:val="center"/>
                    <w:rPr>
                      <w:szCs w:val="21"/>
                    </w:rPr>
                  </w:pPr>
                  <w:r>
                    <w:rPr>
                      <w:szCs w:val="21"/>
                    </w:rPr>
                    <w:t>Y</w:t>
                  </w:r>
                </w:p>
              </w:tc>
              <w:tc>
                <w:tcPr>
                  <w:tcW w:w="220" w:type="pct"/>
                  <w:vAlign w:val="center"/>
                </w:tcPr>
                <w:p w14:paraId="3CE7341B">
                  <w:pPr>
                    <w:tabs>
                      <w:tab w:val="left" w:pos="0"/>
                    </w:tabs>
                    <w:adjustRightInd w:val="0"/>
                    <w:snapToGrid w:val="0"/>
                    <w:jc w:val="center"/>
                    <w:rPr>
                      <w:szCs w:val="21"/>
                    </w:rPr>
                  </w:pPr>
                  <w:r>
                    <w:rPr>
                      <w:szCs w:val="21"/>
                    </w:rPr>
                    <w:t>Z</w:t>
                  </w:r>
                </w:p>
              </w:tc>
              <w:tc>
                <w:tcPr>
                  <w:tcW w:w="295" w:type="pct"/>
                  <w:vMerge w:val="continue"/>
                  <w:vAlign w:val="center"/>
                </w:tcPr>
                <w:p w14:paraId="0CC6B8A4">
                  <w:pPr>
                    <w:tabs>
                      <w:tab w:val="left" w:pos="0"/>
                    </w:tabs>
                    <w:adjustRightInd w:val="0"/>
                    <w:snapToGrid w:val="0"/>
                    <w:jc w:val="center"/>
                    <w:rPr>
                      <w:szCs w:val="21"/>
                    </w:rPr>
                  </w:pPr>
                </w:p>
              </w:tc>
              <w:tc>
                <w:tcPr>
                  <w:tcW w:w="362" w:type="pct"/>
                  <w:vMerge w:val="continue"/>
                  <w:vAlign w:val="center"/>
                </w:tcPr>
                <w:p w14:paraId="3EA63455">
                  <w:pPr>
                    <w:tabs>
                      <w:tab w:val="left" w:pos="0"/>
                    </w:tabs>
                    <w:adjustRightInd w:val="0"/>
                    <w:snapToGrid w:val="0"/>
                    <w:jc w:val="center"/>
                    <w:rPr>
                      <w:szCs w:val="21"/>
                    </w:rPr>
                  </w:pPr>
                </w:p>
              </w:tc>
              <w:tc>
                <w:tcPr>
                  <w:tcW w:w="289" w:type="pct"/>
                  <w:vMerge w:val="continue"/>
                  <w:vAlign w:val="center"/>
                </w:tcPr>
                <w:p w14:paraId="09328908">
                  <w:pPr>
                    <w:tabs>
                      <w:tab w:val="left" w:pos="0"/>
                    </w:tabs>
                    <w:adjustRightInd w:val="0"/>
                    <w:snapToGrid w:val="0"/>
                    <w:jc w:val="center"/>
                    <w:rPr>
                      <w:szCs w:val="21"/>
                    </w:rPr>
                  </w:pPr>
                </w:p>
              </w:tc>
              <w:tc>
                <w:tcPr>
                  <w:tcW w:w="362" w:type="pct"/>
                  <w:vMerge w:val="continue"/>
                  <w:vAlign w:val="center"/>
                </w:tcPr>
                <w:p w14:paraId="72BFBDD0">
                  <w:pPr>
                    <w:tabs>
                      <w:tab w:val="left" w:pos="0"/>
                    </w:tabs>
                    <w:adjustRightInd w:val="0"/>
                    <w:snapToGrid w:val="0"/>
                    <w:jc w:val="center"/>
                    <w:rPr>
                      <w:szCs w:val="21"/>
                    </w:rPr>
                  </w:pPr>
                </w:p>
              </w:tc>
              <w:tc>
                <w:tcPr>
                  <w:tcW w:w="362" w:type="pct"/>
                  <w:vAlign w:val="center"/>
                </w:tcPr>
                <w:p w14:paraId="40E1C076">
                  <w:pPr>
                    <w:tabs>
                      <w:tab w:val="left" w:pos="0"/>
                    </w:tabs>
                    <w:adjustRightInd w:val="0"/>
                    <w:snapToGrid w:val="0"/>
                    <w:jc w:val="center"/>
                    <w:rPr>
                      <w:szCs w:val="21"/>
                    </w:rPr>
                  </w:pPr>
                  <w:r>
                    <w:rPr>
                      <w:szCs w:val="21"/>
                    </w:rPr>
                    <w:t>声压级/dB(A)</w:t>
                  </w:r>
                </w:p>
              </w:tc>
              <w:tc>
                <w:tcPr>
                  <w:tcW w:w="424" w:type="pct"/>
                  <w:vAlign w:val="center"/>
                </w:tcPr>
                <w:p w14:paraId="2FA137EC">
                  <w:pPr>
                    <w:tabs>
                      <w:tab w:val="left" w:pos="0"/>
                    </w:tabs>
                    <w:adjustRightInd w:val="0"/>
                    <w:snapToGrid w:val="0"/>
                    <w:jc w:val="center"/>
                    <w:rPr>
                      <w:szCs w:val="21"/>
                    </w:rPr>
                  </w:pPr>
                  <w:r>
                    <w:rPr>
                      <w:szCs w:val="21"/>
                    </w:rPr>
                    <w:t>建筑物外距离/m</w:t>
                  </w:r>
                </w:p>
              </w:tc>
            </w:tr>
            <w:tr w14:paraId="2EEBD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202" w:type="pct"/>
                  <w:vAlign w:val="center"/>
                </w:tcPr>
                <w:p w14:paraId="18929C7B">
                  <w:pPr>
                    <w:tabs>
                      <w:tab w:val="left" w:pos="0"/>
                    </w:tabs>
                    <w:adjustRightInd w:val="0"/>
                    <w:snapToGrid w:val="0"/>
                    <w:jc w:val="center"/>
                    <w:rPr>
                      <w:szCs w:val="21"/>
                    </w:rPr>
                  </w:pPr>
                  <w:r>
                    <w:rPr>
                      <w:rFonts w:hint="eastAsia"/>
                      <w:szCs w:val="21"/>
                    </w:rPr>
                    <w:t>1</w:t>
                  </w:r>
                </w:p>
              </w:tc>
              <w:tc>
                <w:tcPr>
                  <w:tcW w:w="509" w:type="pct"/>
                  <w:vAlign w:val="center"/>
                </w:tcPr>
                <w:p w14:paraId="4B89E1B7">
                  <w:pPr>
                    <w:tabs>
                      <w:tab w:val="left" w:pos="0"/>
                    </w:tabs>
                    <w:adjustRightInd w:val="0"/>
                    <w:snapToGrid w:val="0"/>
                    <w:jc w:val="center"/>
                    <w:rPr>
                      <w:szCs w:val="21"/>
                    </w:rPr>
                  </w:pPr>
                  <w:r>
                    <w:rPr>
                      <w:rFonts w:hint="eastAsia"/>
                      <w:szCs w:val="21"/>
                    </w:rPr>
                    <w:t>皮带机</w:t>
                  </w:r>
                </w:p>
              </w:tc>
              <w:tc>
                <w:tcPr>
                  <w:tcW w:w="424" w:type="pct"/>
                  <w:vAlign w:val="center"/>
                </w:tcPr>
                <w:p w14:paraId="03A50AD1">
                  <w:pPr>
                    <w:pStyle w:val="52"/>
                  </w:pPr>
                  <w:r>
                    <w:rPr>
                      <w:rFonts w:hint="eastAsia"/>
                    </w:rPr>
                    <w:t>/</w:t>
                  </w:r>
                </w:p>
              </w:tc>
              <w:tc>
                <w:tcPr>
                  <w:tcW w:w="424" w:type="pct"/>
                  <w:vAlign w:val="center"/>
                </w:tcPr>
                <w:p w14:paraId="6D9CA587">
                  <w:pPr>
                    <w:tabs>
                      <w:tab w:val="left" w:pos="0"/>
                    </w:tabs>
                    <w:adjustRightInd w:val="0"/>
                    <w:snapToGrid w:val="0"/>
                    <w:jc w:val="center"/>
                    <w:rPr>
                      <w:szCs w:val="21"/>
                    </w:rPr>
                  </w:pPr>
                  <w:r>
                    <w:rPr>
                      <w:rFonts w:hint="eastAsia"/>
                      <w:szCs w:val="21"/>
                    </w:rPr>
                    <w:t>85</w:t>
                  </w:r>
                </w:p>
              </w:tc>
              <w:tc>
                <w:tcPr>
                  <w:tcW w:w="424" w:type="pct"/>
                  <w:vMerge w:val="restart"/>
                  <w:tcBorders>
                    <w:top w:val="single" w:color="auto" w:sz="4" w:space="0"/>
                  </w:tcBorders>
                  <w:vAlign w:val="center"/>
                </w:tcPr>
                <w:p w14:paraId="2D870F53">
                  <w:pPr>
                    <w:tabs>
                      <w:tab w:val="left" w:pos="0"/>
                    </w:tabs>
                    <w:adjustRightInd w:val="0"/>
                    <w:snapToGrid w:val="0"/>
                    <w:jc w:val="center"/>
                    <w:rPr>
                      <w:szCs w:val="21"/>
                    </w:rPr>
                  </w:pPr>
                  <w:r>
                    <w:rPr>
                      <w:rFonts w:hint="eastAsia"/>
                      <w:szCs w:val="21"/>
                    </w:rPr>
                    <w:t>选用低噪声设备，基础减振，厂房隔声，安装消声器</w:t>
                  </w:r>
                </w:p>
              </w:tc>
              <w:tc>
                <w:tcPr>
                  <w:tcW w:w="339" w:type="pct"/>
                  <w:vAlign w:val="center"/>
                </w:tcPr>
                <w:p w14:paraId="3163B08E">
                  <w:pPr>
                    <w:tabs>
                      <w:tab w:val="left" w:pos="0"/>
                    </w:tabs>
                    <w:adjustRightInd w:val="0"/>
                    <w:snapToGrid w:val="0"/>
                    <w:jc w:val="center"/>
                    <w:rPr>
                      <w:szCs w:val="21"/>
                    </w:rPr>
                  </w:pPr>
                  <w:r>
                    <w:rPr>
                      <w:rFonts w:hint="eastAsia"/>
                      <w:szCs w:val="21"/>
                    </w:rPr>
                    <w:t>39.93</w:t>
                  </w:r>
                </w:p>
              </w:tc>
              <w:tc>
                <w:tcPr>
                  <w:tcW w:w="363" w:type="pct"/>
                  <w:vAlign w:val="center"/>
                </w:tcPr>
                <w:p w14:paraId="5879036A">
                  <w:pPr>
                    <w:tabs>
                      <w:tab w:val="left" w:pos="0"/>
                    </w:tabs>
                    <w:adjustRightInd w:val="0"/>
                    <w:snapToGrid w:val="0"/>
                    <w:jc w:val="center"/>
                    <w:rPr>
                      <w:szCs w:val="21"/>
                    </w:rPr>
                  </w:pPr>
                  <w:r>
                    <w:rPr>
                      <w:rFonts w:hint="eastAsia"/>
                      <w:szCs w:val="21"/>
                    </w:rPr>
                    <w:t>55.02</w:t>
                  </w:r>
                </w:p>
              </w:tc>
              <w:tc>
                <w:tcPr>
                  <w:tcW w:w="220" w:type="pct"/>
                  <w:vAlign w:val="center"/>
                </w:tcPr>
                <w:p w14:paraId="3584CC74">
                  <w:pPr>
                    <w:tabs>
                      <w:tab w:val="left" w:pos="0"/>
                    </w:tabs>
                    <w:adjustRightInd w:val="0"/>
                    <w:snapToGrid w:val="0"/>
                    <w:jc w:val="center"/>
                    <w:rPr>
                      <w:szCs w:val="21"/>
                    </w:rPr>
                  </w:pPr>
                  <w:r>
                    <w:rPr>
                      <w:rFonts w:hint="eastAsia"/>
                      <w:szCs w:val="21"/>
                    </w:rPr>
                    <w:t>1.0</w:t>
                  </w:r>
                </w:p>
              </w:tc>
              <w:tc>
                <w:tcPr>
                  <w:tcW w:w="295" w:type="pct"/>
                  <w:vAlign w:val="center"/>
                </w:tcPr>
                <w:p w14:paraId="42A45AE7">
                  <w:pPr>
                    <w:tabs>
                      <w:tab w:val="left" w:pos="0"/>
                    </w:tabs>
                    <w:adjustRightInd w:val="0"/>
                    <w:snapToGrid w:val="0"/>
                    <w:jc w:val="center"/>
                    <w:rPr>
                      <w:szCs w:val="21"/>
                    </w:rPr>
                  </w:pPr>
                  <w:r>
                    <w:rPr>
                      <w:rFonts w:hint="eastAsia"/>
                      <w:szCs w:val="21"/>
                    </w:rPr>
                    <w:t>4.0</w:t>
                  </w:r>
                </w:p>
              </w:tc>
              <w:tc>
                <w:tcPr>
                  <w:tcW w:w="362" w:type="pct"/>
                  <w:vAlign w:val="center"/>
                </w:tcPr>
                <w:p w14:paraId="364024D0">
                  <w:pPr>
                    <w:tabs>
                      <w:tab w:val="left" w:pos="0"/>
                    </w:tabs>
                    <w:adjustRightInd w:val="0"/>
                    <w:snapToGrid w:val="0"/>
                    <w:jc w:val="center"/>
                    <w:rPr>
                      <w:szCs w:val="21"/>
                    </w:rPr>
                  </w:pPr>
                  <w:r>
                    <w:rPr>
                      <w:rFonts w:hint="eastAsia"/>
                      <w:szCs w:val="21"/>
                    </w:rPr>
                    <w:t>70</w:t>
                  </w:r>
                </w:p>
              </w:tc>
              <w:tc>
                <w:tcPr>
                  <w:tcW w:w="289" w:type="pct"/>
                  <w:vAlign w:val="center"/>
                </w:tcPr>
                <w:p w14:paraId="55D111AF">
                  <w:pPr>
                    <w:tabs>
                      <w:tab w:val="left" w:pos="0"/>
                    </w:tabs>
                    <w:adjustRightInd w:val="0"/>
                    <w:snapToGrid w:val="0"/>
                    <w:jc w:val="center"/>
                    <w:rPr>
                      <w:szCs w:val="21"/>
                    </w:rPr>
                  </w:pPr>
                  <w:r>
                    <w:rPr>
                      <w:szCs w:val="21"/>
                    </w:rPr>
                    <w:t>昼</w:t>
                  </w:r>
                  <w:r>
                    <w:rPr>
                      <w:rFonts w:hint="eastAsia"/>
                      <w:szCs w:val="21"/>
                    </w:rPr>
                    <w:t>间</w:t>
                  </w:r>
                </w:p>
              </w:tc>
              <w:tc>
                <w:tcPr>
                  <w:tcW w:w="362" w:type="pct"/>
                  <w:vAlign w:val="center"/>
                </w:tcPr>
                <w:p w14:paraId="50A04369">
                  <w:pPr>
                    <w:tabs>
                      <w:tab w:val="left" w:pos="0"/>
                    </w:tabs>
                    <w:adjustRightInd w:val="0"/>
                    <w:snapToGrid w:val="0"/>
                    <w:jc w:val="center"/>
                    <w:rPr>
                      <w:szCs w:val="21"/>
                    </w:rPr>
                  </w:pPr>
                  <w:r>
                    <w:rPr>
                      <w:rFonts w:hint="eastAsia"/>
                      <w:szCs w:val="21"/>
                    </w:rPr>
                    <w:t>15</w:t>
                  </w:r>
                </w:p>
              </w:tc>
              <w:tc>
                <w:tcPr>
                  <w:tcW w:w="362" w:type="pct"/>
                  <w:vAlign w:val="center"/>
                </w:tcPr>
                <w:p w14:paraId="2F46EF02">
                  <w:pPr>
                    <w:tabs>
                      <w:tab w:val="left" w:pos="0"/>
                    </w:tabs>
                    <w:adjustRightInd w:val="0"/>
                    <w:snapToGrid w:val="0"/>
                    <w:jc w:val="center"/>
                    <w:rPr>
                      <w:szCs w:val="21"/>
                    </w:rPr>
                  </w:pPr>
                  <w:r>
                    <w:rPr>
                      <w:rFonts w:hint="eastAsia"/>
                      <w:szCs w:val="21"/>
                    </w:rPr>
                    <w:t>55</w:t>
                  </w:r>
                </w:p>
              </w:tc>
              <w:tc>
                <w:tcPr>
                  <w:tcW w:w="424" w:type="pct"/>
                  <w:vAlign w:val="center"/>
                </w:tcPr>
                <w:p w14:paraId="4F4BEDBA">
                  <w:pPr>
                    <w:tabs>
                      <w:tab w:val="left" w:pos="0"/>
                    </w:tabs>
                    <w:adjustRightInd w:val="0"/>
                    <w:snapToGrid w:val="0"/>
                    <w:jc w:val="center"/>
                    <w:rPr>
                      <w:szCs w:val="21"/>
                    </w:rPr>
                  </w:pPr>
                  <w:r>
                    <w:rPr>
                      <w:szCs w:val="21"/>
                    </w:rPr>
                    <w:t>1.0</w:t>
                  </w:r>
                </w:p>
              </w:tc>
            </w:tr>
            <w:tr w14:paraId="247DF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202" w:type="pct"/>
                  <w:vAlign w:val="center"/>
                </w:tcPr>
                <w:p w14:paraId="28753200">
                  <w:pPr>
                    <w:tabs>
                      <w:tab w:val="left" w:pos="0"/>
                    </w:tabs>
                    <w:adjustRightInd w:val="0"/>
                    <w:snapToGrid w:val="0"/>
                    <w:jc w:val="center"/>
                    <w:rPr>
                      <w:szCs w:val="21"/>
                    </w:rPr>
                  </w:pPr>
                  <w:r>
                    <w:rPr>
                      <w:rFonts w:hint="eastAsia"/>
                      <w:szCs w:val="21"/>
                    </w:rPr>
                    <w:t>2</w:t>
                  </w:r>
                </w:p>
              </w:tc>
              <w:tc>
                <w:tcPr>
                  <w:tcW w:w="509" w:type="pct"/>
                  <w:vAlign w:val="center"/>
                </w:tcPr>
                <w:p w14:paraId="330BE365">
                  <w:pPr>
                    <w:tabs>
                      <w:tab w:val="left" w:pos="0"/>
                    </w:tabs>
                    <w:adjustRightInd w:val="0"/>
                    <w:snapToGrid w:val="0"/>
                    <w:jc w:val="center"/>
                    <w:rPr>
                      <w:szCs w:val="21"/>
                    </w:rPr>
                  </w:pPr>
                  <w:r>
                    <w:rPr>
                      <w:rFonts w:hint="eastAsia"/>
                      <w:szCs w:val="21"/>
                    </w:rPr>
                    <w:t>混合机</w:t>
                  </w:r>
                </w:p>
              </w:tc>
              <w:tc>
                <w:tcPr>
                  <w:tcW w:w="424" w:type="pct"/>
                  <w:vAlign w:val="center"/>
                </w:tcPr>
                <w:p w14:paraId="6A1F78C6">
                  <w:pPr>
                    <w:pStyle w:val="52"/>
                  </w:pPr>
                  <w:r>
                    <w:rPr>
                      <w:rFonts w:hint="eastAsia"/>
                    </w:rPr>
                    <w:t>WZ4</w:t>
                  </w:r>
                </w:p>
              </w:tc>
              <w:tc>
                <w:tcPr>
                  <w:tcW w:w="424" w:type="pct"/>
                  <w:vAlign w:val="center"/>
                </w:tcPr>
                <w:p w14:paraId="54693106">
                  <w:pPr>
                    <w:tabs>
                      <w:tab w:val="left" w:pos="0"/>
                    </w:tabs>
                    <w:adjustRightInd w:val="0"/>
                    <w:snapToGrid w:val="0"/>
                    <w:jc w:val="center"/>
                    <w:rPr>
                      <w:szCs w:val="21"/>
                    </w:rPr>
                  </w:pPr>
                  <w:r>
                    <w:rPr>
                      <w:rFonts w:hint="eastAsia"/>
                      <w:szCs w:val="21"/>
                    </w:rPr>
                    <w:t>90</w:t>
                  </w:r>
                </w:p>
              </w:tc>
              <w:tc>
                <w:tcPr>
                  <w:tcW w:w="424" w:type="pct"/>
                  <w:vMerge w:val="continue"/>
                  <w:vAlign w:val="center"/>
                </w:tcPr>
                <w:p w14:paraId="628A9F00">
                  <w:pPr>
                    <w:tabs>
                      <w:tab w:val="left" w:pos="0"/>
                    </w:tabs>
                    <w:adjustRightInd w:val="0"/>
                    <w:snapToGrid w:val="0"/>
                    <w:jc w:val="center"/>
                    <w:rPr>
                      <w:szCs w:val="21"/>
                    </w:rPr>
                  </w:pPr>
                </w:p>
              </w:tc>
              <w:tc>
                <w:tcPr>
                  <w:tcW w:w="339" w:type="pct"/>
                  <w:vAlign w:val="center"/>
                </w:tcPr>
                <w:p w14:paraId="7B02AB72">
                  <w:pPr>
                    <w:tabs>
                      <w:tab w:val="left" w:pos="0"/>
                    </w:tabs>
                    <w:adjustRightInd w:val="0"/>
                    <w:snapToGrid w:val="0"/>
                    <w:jc w:val="center"/>
                    <w:rPr>
                      <w:szCs w:val="21"/>
                    </w:rPr>
                  </w:pPr>
                  <w:r>
                    <w:rPr>
                      <w:rFonts w:hint="eastAsia"/>
                      <w:szCs w:val="21"/>
                    </w:rPr>
                    <w:t>44.43</w:t>
                  </w:r>
                </w:p>
              </w:tc>
              <w:tc>
                <w:tcPr>
                  <w:tcW w:w="363" w:type="pct"/>
                  <w:vAlign w:val="center"/>
                </w:tcPr>
                <w:p w14:paraId="30783C8F">
                  <w:pPr>
                    <w:tabs>
                      <w:tab w:val="left" w:pos="0"/>
                    </w:tabs>
                    <w:adjustRightInd w:val="0"/>
                    <w:snapToGrid w:val="0"/>
                    <w:jc w:val="center"/>
                    <w:rPr>
                      <w:szCs w:val="21"/>
                    </w:rPr>
                  </w:pPr>
                  <w:r>
                    <w:rPr>
                      <w:rFonts w:hint="eastAsia"/>
                      <w:szCs w:val="21"/>
                    </w:rPr>
                    <w:t>55.84</w:t>
                  </w:r>
                </w:p>
              </w:tc>
              <w:tc>
                <w:tcPr>
                  <w:tcW w:w="220" w:type="pct"/>
                  <w:vAlign w:val="center"/>
                </w:tcPr>
                <w:p w14:paraId="0FB81571">
                  <w:pPr>
                    <w:tabs>
                      <w:tab w:val="left" w:pos="0"/>
                    </w:tabs>
                    <w:adjustRightInd w:val="0"/>
                    <w:snapToGrid w:val="0"/>
                    <w:jc w:val="center"/>
                    <w:rPr>
                      <w:szCs w:val="21"/>
                    </w:rPr>
                  </w:pPr>
                  <w:r>
                    <w:rPr>
                      <w:rFonts w:hint="eastAsia"/>
                      <w:szCs w:val="21"/>
                    </w:rPr>
                    <w:t>2.0</w:t>
                  </w:r>
                </w:p>
              </w:tc>
              <w:tc>
                <w:tcPr>
                  <w:tcW w:w="295" w:type="pct"/>
                  <w:vAlign w:val="center"/>
                </w:tcPr>
                <w:p w14:paraId="241B3B36">
                  <w:pPr>
                    <w:tabs>
                      <w:tab w:val="left" w:pos="0"/>
                    </w:tabs>
                    <w:adjustRightInd w:val="0"/>
                    <w:snapToGrid w:val="0"/>
                    <w:jc w:val="center"/>
                    <w:rPr>
                      <w:szCs w:val="21"/>
                    </w:rPr>
                  </w:pPr>
                  <w:r>
                    <w:rPr>
                      <w:rFonts w:hint="eastAsia"/>
                      <w:szCs w:val="21"/>
                    </w:rPr>
                    <w:t>4.0</w:t>
                  </w:r>
                </w:p>
              </w:tc>
              <w:tc>
                <w:tcPr>
                  <w:tcW w:w="362" w:type="pct"/>
                  <w:vAlign w:val="center"/>
                </w:tcPr>
                <w:p w14:paraId="43BB5212">
                  <w:pPr>
                    <w:tabs>
                      <w:tab w:val="left" w:pos="0"/>
                    </w:tabs>
                    <w:adjustRightInd w:val="0"/>
                    <w:snapToGrid w:val="0"/>
                    <w:jc w:val="center"/>
                    <w:rPr>
                      <w:szCs w:val="21"/>
                    </w:rPr>
                  </w:pPr>
                  <w:r>
                    <w:rPr>
                      <w:rFonts w:hint="eastAsia"/>
                      <w:szCs w:val="21"/>
                    </w:rPr>
                    <w:t>75</w:t>
                  </w:r>
                </w:p>
              </w:tc>
              <w:tc>
                <w:tcPr>
                  <w:tcW w:w="289" w:type="pct"/>
                  <w:vAlign w:val="center"/>
                </w:tcPr>
                <w:p w14:paraId="04485303">
                  <w:pPr>
                    <w:tabs>
                      <w:tab w:val="left" w:pos="0"/>
                    </w:tabs>
                    <w:adjustRightInd w:val="0"/>
                    <w:snapToGrid w:val="0"/>
                    <w:jc w:val="center"/>
                    <w:rPr>
                      <w:szCs w:val="21"/>
                    </w:rPr>
                  </w:pPr>
                  <w:r>
                    <w:rPr>
                      <w:szCs w:val="21"/>
                    </w:rPr>
                    <w:t>昼</w:t>
                  </w:r>
                  <w:r>
                    <w:rPr>
                      <w:rFonts w:hint="eastAsia"/>
                      <w:szCs w:val="21"/>
                    </w:rPr>
                    <w:t>间</w:t>
                  </w:r>
                </w:p>
              </w:tc>
              <w:tc>
                <w:tcPr>
                  <w:tcW w:w="362" w:type="pct"/>
                  <w:vAlign w:val="center"/>
                </w:tcPr>
                <w:p w14:paraId="65A53EBA">
                  <w:pPr>
                    <w:tabs>
                      <w:tab w:val="left" w:pos="0"/>
                    </w:tabs>
                    <w:adjustRightInd w:val="0"/>
                    <w:snapToGrid w:val="0"/>
                    <w:jc w:val="center"/>
                    <w:rPr>
                      <w:szCs w:val="21"/>
                    </w:rPr>
                  </w:pPr>
                  <w:r>
                    <w:rPr>
                      <w:rFonts w:hint="eastAsia"/>
                      <w:szCs w:val="21"/>
                    </w:rPr>
                    <w:t>15</w:t>
                  </w:r>
                </w:p>
              </w:tc>
              <w:tc>
                <w:tcPr>
                  <w:tcW w:w="362" w:type="pct"/>
                  <w:vAlign w:val="center"/>
                </w:tcPr>
                <w:p w14:paraId="0F645EF5">
                  <w:pPr>
                    <w:tabs>
                      <w:tab w:val="left" w:pos="0"/>
                    </w:tabs>
                    <w:adjustRightInd w:val="0"/>
                    <w:snapToGrid w:val="0"/>
                    <w:jc w:val="center"/>
                    <w:rPr>
                      <w:szCs w:val="21"/>
                    </w:rPr>
                  </w:pPr>
                  <w:r>
                    <w:rPr>
                      <w:rFonts w:hint="eastAsia"/>
                      <w:szCs w:val="21"/>
                    </w:rPr>
                    <w:t>60</w:t>
                  </w:r>
                </w:p>
              </w:tc>
              <w:tc>
                <w:tcPr>
                  <w:tcW w:w="424" w:type="pct"/>
                  <w:vAlign w:val="center"/>
                </w:tcPr>
                <w:p w14:paraId="189B9A5F">
                  <w:pPr>
                    <w:tabs>
                      <w:tab w:val="left" w:pos="0"/>
                    </w:tabs>
                    <w:adjustRightInd w:val="0"/>
                    <w:snapToGrid w:val="0"/>
                    <w:jc w:val="center"/>
                    <w:rPr>
                      <w:szCs w:val="21"/>
                    </w:rPr>
                  </w:pPr>
                  <w:r>
                    <w:rPr>
                      <w:rFonts w:hint="eastAsia"/>
                      <w:szCs w:val="21"/>
                    </w:rPr>
                    <w:t>1.0</w:t>
                  </w:r>
                </w:p>
              </w:tc>
            </w:tr>
            <w:tr w14:paraId="53516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02" w:type="pct"/>
                  <w:vAlign w:val="center"/>
                </w:tcPr>
                <w:p w14:paraId="10B76605">
                  <w:pPr>
                    <w:tabs>
                      <w:tab w:val="left" w:pos="0"/>
                    </w:tabs>
                    <w:adjustRightInd w:val="0"/>
                    <w:snapToGrid w:val="0"/>
                    <w:jc w:val="center"/>
                    <w:rPr>
                      <w:szCs w:val="21"/>
                    </w:rPr>
                  </w:pPr>
                  <w:r>
                    <w:rPr>
                      <w:rFonts w:hint="eastAsia"/>
                      <w:szCs w:val="21"/>
                    </w:rPr>
                    <w:t>3</w:t>
                  </w:r>
                </w:p>
              </w:tc>
              <w:tc>
                <w:tcPr>
                  <w:tcW w:w="509" w:type="pct"/>
                  <w:vAlign w:val="center"/>
                </w:tcPr>
                <w:p w14:paraId="66D180C4">
                  <w:pPr>
                    <w:tabs>
                      <w:tab w:val="left" w:pos="0"/>
                    </w:tabs>
                    <w:adjustRightInd w:val="0"/>
                    <w:snapToGrid w:val="0"/>
                    <w:jc w:val="center"/>
                    <w:rPr>
                      <w:szCs w:val="21"/>
                    </w:rPr>
                  </w:pPr>
                  <w:r>
                    <w:rPr>
                      <w:rFonts w:hint="eastAsia"/>
                      <w:szCs w:val="21"/>
                    </w:rPr>
                    <w:t>包装机</w:t>
                  </w:r>
                </w:p>
              </w:tc>
              <w:tc>
                <w:tcPr>
                  <w:tcW w:w="424" w:type="pct"/>
                  <w:vAlign w:val="center"/>
                </w:tcPr>
                <w:p w14:paraId="0E45CCD4">
                  <w:pPr>
                    <w:pStyle w:val="52"/>
                  </w:pPr>
                  <w:r>
                    <w:rPr>
                      <w:kern w:val="0"/>
                    </w:rPr>
                    <w:t>LCQC-01</w:t>
                  </w:r>
                </w:p>
              </w:tc>
              <w:tc>
                <w:tcPr>
                  <w:tcW w:w="424" w:type="pct"/>
                  <w:vAlign w:val="center"/>
                </w:tcPr>
                <w:p w14:paraId="26CF8A87">
                  <w:pPr>
                    <w:tabs>
                      <w:tab w:val="left" w:pos="0"/>
                    </w:tabs>
                    <w:adjustRightInd w:val="0"/>
                    <w:snapToGrid w:val="0"/>
                    <w:jc w:val="center"/>
                    <w:rPr>
                      <w:szCs w:val="21"/>
                    </w:rPr>
                  </w:pPr>
                  <w:r>
                    <w:rPr>
                      <w:rFonts w:hint="eastAsia"/>
                      <w:szCs w:val="21"/>
                    </w:rPr>
                    <w:t>85</w:t>
                  </w:r>
                </w:p>
              </w:tc>
              <w:tc>
                <w:tcPr>
                  <w:tcW w:w="424" w:type="pct"/>
                  <w:vMerge w:val="continue"/>
                  <w:vAlign w:val="center"/>
                </w:tcPr>
                <w:p w14:paraId="030228A6">
                  <w:pPr>
                    <w:tabs>
                      <w:tab w:val="left" w:pos="0"/>
                    </w:tabs>
                    <w:adjustRightInd w:val="0"/>
                    <w:snapToGrid w:val="0"/>
                    <w:jc w:val="center"/>
                    <w:rPr>
                      <w:szCs w:val="21"/>
                    </w:rPr>
                  </w:pPr>
                </w:p>
              </w:tc>
              <w:tc>
                <w:tcPr>
                  <w:tcW w:w="339" w:type="pct"/>
                  <w:vAlign w:val="center"/>
                </w:tcPr>
                <w:p w14:paraId="04DE2659">
                  <w:pPr>
                    <w:tabs>
                      <w:tab w:val="left" w:pos="0"/>
                    </w:tabs>
                    <w:adjustRightInd w:val="0"/>
                    <w:snapToGrid w:val="0"/>
                    <w:jc w:val="center"/>
                    <w:rPr>
                      <w:szCs w:val="21"/>
                    </w:rPr>
                  </w:pPr>
                  <w:r>
                    <w:rPr>
                      <w:rFonts w:hint="eastAsia"/>
                      <w:szCs w:val="21"/>
                    </w:rPr>
                    <w:t>35.42</w:t>
                  </w:r>
                </w:p>
              </w:tc>
              <w:tc>
                <w:tcPr>
                  <w:tcW w:w="363" w:type="pct"/>
                  <w:vAlign w:val="center"/>
                </w:tcPr>
                <w:p w14:paraId="5971E718">
                  <w:pPr>
                    <w:tabs>
                      <w:tab w:val="left" w:pos="0"/>
                    </w:tabs>
                    <w:adjustRightInd w:val="0"/>
                    <w:snapToGrid w:val="0"/>
                    <w:jc w:val="center"/>
                    <w:rPr>
                      <w:szCs w:val="21"/>
                    </w:rPr>
                  </w:pPr>
                  <w:r>
                    <w:rPr>
                      <w:rFonts w:hint="eastAsia"/>
                      <w:szCs w:val="21"/>
                    </w:rPr>
                    <w:t>54.2</w:t>
                  </w:r>
                </w:p>
              </w:tc>
              <w:tc>
                <w:tcPr>
                  <w:tcW w:w="220" w:type="pct"/>
                  <w:vAlign w:val="center"/>
                </w:tcPr>
                <w:p w14:paraId="01BB6E7C">
                  <w:pPr>
                    <w:tabs>
                      <w:tab w:val="left" w:pos="0"/>
                    </w:tabs>
                    <w:adjustRightInd w:val="0"/>
                    <w:snapToGrid w:val="0"/>
                    <w:jc w:val="center"/>
                    <w:rPr>
                      <w:szCs w:val="21"/>
                    </w:rPr>
                  </w:pPr>
                  <w:r>
                    <w:rPr>
                      <w:rFonts w:hint="eastAsia"/>
                      <w:szCs w:val="21"/>
                    </w:rPr>
                    <w:t>1.0</w:t>
                  </w:r>
                </w:p>
              </w:tc>
              <w:tc>
                <w:tcPr>
                  <w:tcW w:w="295" w:type="pct"/>
                  <w:vAlign w:val="center"/>
                </w:tcPr>
                <w:p w14:paraId="0E8A4F63">
                  <w:pPr>
                    <w:tabs>
                      <w:tab w:val="left" w:pos="0"/>
                    </w:tabs>
                    <w:adjustRightInd w:val="0"/>
                    <w:snapToGrid w:val="0"/>
                    <w:jc w:val="center"/>
                    <w:rPr>
                      <w:szCs w:val="21"/>
                    </w:rPr>
                  </w:pPr>
                  <w:r>
                    <w:rPr>
                      <w:rFonts w:hint="eastAsia"/>
                      <w:szCs w:val="21"/>
                    </w:rPr>
                    <w:t>4.0</w:t>
                  </w:r>
                </w:p>
              </w:tc>
              <w:tc>
                <w:tcPr>
                  <w:tcW w:w="362" w:type="pct"/>
                  <w:vAlign w:val="center"/>
                </w:tcPr>
                <w:p w14:paraId="6B142F41">
                  <w:pPr>
                    <w:tabs>
                      <w:tab w:val="left" w:pos="0"/>
                    </w:tabs>
                    <w:adjustRightInd w:val="0"/>
                    <w:snapToGrid w:val="0"/>
                    <w:jc w:val="center"/>
                    <w:rPr>
                      <w:szCs w:val="21"/>
                    </w:rPr>
                  </w:pPr>
                  <w:r>
                    <w:rPr>
                      <w:rFonts w:hint="eastAsia"/>
                      <w:szCs w:val="21"/>
                    </w:rPr>
                    <w:t>70</w:t>
                  </w:r>
                </w:p>
              </w:tc>
              <w:tc>
                <w:tcPr>
                  <w:tcW w:w="289" w:type="pct"/>
                  <w:vAlign w:val="center"/>
                </w:tcPr>
                <w:p w14:paraId="0065BA7E">
                  <w:pPr>
                    <w:tabs>
                      <w:tab w:val="left" w:pos="0"/>
                    </w:tabs>
                    <w:adjustRightInd w:val="0"/>
                    <w:snapToGrid w:val="0"/>
                    <w:jc w:val="center"/>
                    <w:rPr>
                      <w:szCs w:val="21"/>
                    </w:rPr>
                  </w:pPr>
                  <w:r>
                    <w:rPr>
                      <w:szCs w:val="21"/>
                    </w:rPr>
                    <w:t>昼</w:t>
                  </w:r>
                  <w:r>
                    <w:rPr>
                      <w:rFonts w:hint="eastAsia"/>
                      <w:szCs w:val="21"/>
                    </w:rPr>
                    <w:t>间</w:t>
                  </w:r>
                </w:p>
              </w:tc>
              <w:tc>
                <w:tcPr>
                  <w:tcW w:w="362" w:type="pct"/>
                  <w:vAlign w:val="center"/>
                </w:tcPr>
                <w:p w14:paraId="59B01A36">
                  <w:pPr>
                    <w:tabs>
                      <w:tab w:val="left" w:pos="0"/>
                    </w:tabs>
                    <w:adjustRightInd w:val="0"/>
                    <w:snapToGrid w:val="0"/>
                    <w:jc w:val="center"/>
                    <w:rPr>
                      <w:szCs w:val="21"/>
                    </w:rPr>
                  </w:pPr>
                  <w:r>
                    <w:rPr>
                      <w:rFonts w:hint="eastAsia"/>
                      <w:szCs w:val="21"/>
                    </w:rPr>
                    <w:t>15</w:t>
                  </w:r>
                </w:p>
              </w:tc>
              <w:tc>
                <w:tcPr>
                  <w:tcW w:w="362" w:type="pct"/>
                  <w:vAlign w:val="center"/>
                </w:tcPr>
                <w:p w14:paraId="53EA6A6D">
                  <w:pPr>
                    <w:tabs>
                      <w:tab w:val="left" w:pos="0"/>
                    </w:tabs>
                    <w:adjustRightInd w:val="0"/>
                    <w:snapToGrid w:val="0"/>
                    <w:jc w:val="center"/>
                    <w:rPr>
                      <w:szCs w:val="21"/>
                    </w:rPr>
                  </w:pPr>
                  <w:r>
                    <w:rPr>
                      <w:rFonts w:hint="eastAsia"/>
                      <w:szCs w:val="21"/>
                    </w:rPr>
                    <w:t>55</w:t>
                  </w:r>
                </w:p>
              </w:tc>
              <w:tc>
                <w:tcPr>
                  <w:tcW w:w="424" w:type="pct"/>
                  <w:vAlign w:val="center"/>
                </w:tcPr>
                <w:p w14:paraId="6301B388">
                  <w:pPr>
                    <w:tabs>
                      <w:tab w:val="left" w:pos="0"/>
                    </w:tabs>
                    <w:adjustRightInd w:val="0"/>
                    <w:snapToGrid w:val="0"/>
                    <w:jc w:val="center"/>
                    <w:rPr>
                      <w:szCs w:val="21"/>
                    </w:rPr>
                  </w:pPr>
                  <w:r>
                    <w:rPr>
                      <w:szCs w:val="21"/>
                    </w:rPr>
                    <w:t>1.0</w:t>
                  </w:r>
                </w:p>
              </w:tc>
            </w:tr>
            <w:tr w14:paraId="0BB9E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202" w:type="pct"/>
                  <w:vAlign w:val="center"/>
                </w:tcPr>
                <w:p w14:paraId="746C22BF">
                  <w:pPr>
                    <w:tabs>
                      <w:tab w:val="left" w:pos="0"/>
                    </w:tabs>
                    <w:adjustRightInd w:val="0"/>
                    <w:snapToGrid w:val="0"/>
                    <w:jc w:val="center"/>
                    <w:rPr>
                      <w:szCs w:val="21"/>
                    </w:rPr>
                  </w:pPr>
                  <w:r>
                    <w:rPr>
                      <w:rFonts w:hint="eastAsia"/>
                      <w:szCs w:val="21"/>
                    </w:rPr>
                    <w:t>4</w:t>
                  </w:r>
                </w:p>
              </w:tc>
              <w:tc>
                <w:tcPr>
                  <w:tcW w:w="509" w:type="pct"/>
                  <w:vAlign w:val="center"/>
                </w:tcPr>
                <w:p w14:paraId="737DF876">
                  <w:pPr>
                    <w:tabs>
                      <w:tab w:val="left" w:pos="0"/>
                    </w:tabs>
                    <w:adjustRightInd w:val="0"/>
                    <w:snapToGrid w:val="0"/>
                    <w:jc w:val="center"/>
                    <w:rPr>
                      <w:szCs w:val="21"/>
                    </w:rPr>
                  </w:pPr>
                  <w:r>
                    <w:rPr>
                      <w:rFonts w:hint="eastAsia"/>
                      <w:szCs w:val="21"/>
                    </w:rPr>
                    <w:t>提升机</w:t>
                  </w:r>
                </w:p>
              </w:tc>
              <w:tc>
                <w:tcPr>
                  <w:tcW w:w="424" w:type="pct"/>
                  <w:vAlign w:val="center"/>
                </w:tcPr>
                <w:p w14:paraId="42B1C978">
                  <w:pPr>
                    <w:pStyle w:val="52"/>
                  </w:pPr>
                  <w:r>
                    <w:rPr>
                      <w:rFonts w:hint="eastAsia"/>
                      <w:kern w:val="0"/>
                    </w:rPr>
                    <w:t>TH315</w:t>
                  </w:r>
                </w:p>
              </w:tc>
              <w:tc>
                <w:tcPr>
                  <w:tcW w:w="424" w:type="pct"/>
                  <w:vAlign w:val="center"/>
                </w:tcPr>
                <w:p w14:paraId="398ACB26">
                  <w:pPr>
                    <w:tabs>
                      <w:tab w:val="left" w:pos="0"/>
                    </w:tabs>
                    <w:adjustRightInd w:val="0"/>
                    <w:snapToGrid w:val="0"/>
                    <w:jc w:val="center"/>
                    <w:rPr>
                      <w:szCs w:val="21"/>
                    </w:rPr>
                  </w:pPr>
                  <w:r>
                    <w:rPr>
                      <w:rFonts w:hint="eastAsia"/>
                      <w:szCs w:val="21"/>
                    </w:rPr>
                    <w:t>80</w:t>
                  </w:r>
                </w:p>
              </w:tc>
              <w:tc>
                <w:tcPr>
                  <w:tcW w:w="424" w:type="pct"/>
                  <w:vMerge w:val="continue"/>
                  <w:vAlign w:val="center"/>
                </w:tcPr>
                <w:p w14:paraId="1CA04062">
                  <w:pPr>
                    <w:tabs>
                      <w:tab w:val="left" w:pos="0"/>
                    </w:tabs>
                    <w:adjustRightInd w:val="0"/>
                    <w:snapToGrid w:val="0"/>
                    <w:jc w:val="center"/>
                    <w:rPr>
                      <w:szCs w:val="21"/>
                    </w:rPr>
                  </w:pPr>
                </w:p>
              </w:tc>
              <w:tc>
                <w:tcPr>
                  <w:tcW w:w="339" w:type="pct"/>
                  <w:vAlign w:val="center"/>
                </w:tcPr>
                <w:p w14:paraId="4AD29F55">
                  <w:pPr>
                    <w:tabs>
                      <w:tab w:val="left" w:pos="0"/>
                    </w:tabs>
                    <w:adjustRightInd w:val="0"/>
                    <w:snapToGrid w:val="0"/>
                    <w:jc w:val="center"/>
                    <w:rPr>
                      <w:szCs w:val="21"/>
                    </w:rPr>
                  </w:pPr>
                  <w:r>
                    <w:rPr>
                      <w:rFonts w:hint="eastAsia"/>
                      <w:szCs w:val="21"/>
                    </w:rPr>
                    <w:t>49.09</w:t>
                  </w:r>
                </w:p>
              </w:tc>
              <w:tc>
                <w:tcPr>
                  <w:tcW w:w="363" w:type="pct"/>
                  <w:vAlign w:val="center"/>
                </w:tcPr>
                <w:p w14:paraId="0D374E68">
                  <w:pPr>
                    <w:tabs>
                      <w:tab w:val="left" w:pos="0"/>
                    </w:tabs>
                    <w:adjustRightInd w:val="0"/>
                    <w:snapToGrid w:val="0"/>
                    <w:jc w:val="center"/>
                    <w:rPr>
                      <w:szCs w:val="21"/>
                    </w:rPr>
                  </w:pPr>
                  <w:r>
                    <w:rPr>
                      <w:rFonts w:hint="eastAsia"/>
                      <w:szCs w:val="21"/>
                    </w:rPr>
                    <w:t>55.04</w:t>
                  </w:r>
                </w:p>
              </w:tc>
              <w:tc>
                <w:tcPr>
                  <w:tcW w:w="220" w:type="pct"/>
                  <w:vAlign w:val="center"/>
                </w:tcPr>
                <w:p w14:paraId="1DC7AD0C">
                  <w:pPr>
                    <w:tabs>
                      <w:tab w:val="left" w:pos="0"/>
                    </w:tabs>
                    <w:adjustRightInd w:val="0"/>
                    <w:snapToGrid w:val="0"/>
                    <w:jc w:val="center"/>
                    <w:rPr>
                      <w:szCs w:val="21"/>
                    </w:rPr>
                  </w:pPr>
                  <w:r>
                    <w:rPr>
                      <w:rFonts w:hint="eastAsia"/>
                      <w:szCs w:val="21"/>
                    </w:rPr>
                    <w:t>1.5</w:t>
                  </w:r>
                </w:p>
              </w:tc>
              <w:tc>
                <w:tcPr>
                  <w:tcW w:w="295" w:type="pct"/>
                  <w:vAlign w:val="center"/>
                </w:tcPr>
                <w:p w14:paraId="104660DB">
                  <w:pPr>
                    <w:tabs>
                      <w:tab w:val="left" w:pos="0"/>
                    </w:tabs>
                    <w:adjustRightInd w:val="0"/>
                    <w:snapToGrid w:val="0"/>
                    <w:jc w:val="center"/>
                    <w:rPr>
                      <w:szCs w:val="21"/>
                    </w:rPr>
                  </w:pPr>
                  <w:r>
                    <w:rPr>
                      <w:rFonts w:hint="eastAsia"/>
                      <w:szCs w:val="21"/>
                    </w:rPr>
                    <w:t>3.5</w:t>
                  </w:r>
                </w:p>
              </w:tc>
              <w:tc>
                <w:tcPr>
                  <w:tcW w:w="362" w:type="pct"/>
                  <w:vAlign w:val="center"/>
                </w:tcPr>
                <w:p w14:paraId="76FE6D93">
                  <w:pPr>
                    <w:tabs>
                      <w:tab w:val="left" w:pos="0"/>
                    </w:tabs>
                    <w:adjustRightInd w:val="0"/>
                    <w:snapToGrid w:val="0"/>
                    <w:jc w:val="center"/>
                    <w:rPr>
                      <w:szCs w:val="21"/>
                    </w:rPr>
                  </w:pPr>
                  <w:r>
                    <w:rPr>
                      <w:rFonts w:hint="eastAsia"/>
                      <w:szCs w:val="21"/>
                    </w:rPr>
                    <w:t>65</w:t>
                  </w:r>
                </w:p>
              </w:tc>
              <w:tc>
                <w:tcPr>
                  <w:tcW w:w="289" w:type="pct"/>
                  <w:vAlign w:val="center"/>
                </w:tcPr>
                <w:p w14:paraId="19BE8D33">
                  <w:pPr>
                    <w:tabs>
                      <w:tab w:val="left" w:pos="0"/>
                    </w:tabs>
                    <w:adjustRightInd w:val="0"/>
                    <w:snapToGrid w:val="0"/>
                    <w:jc w:val="center"/>
                    <w:rPr>
                      <w:szCs w:val="21"/>
                    </w:rPr>
                  </w:pPr>
                  <w:r>
                    <w:rPr>
                      <w:szCs w:val="21"/>
                    </w:rPr>
                    <w:t>昼</w:t>
                  </w:r>
                  <w:r>
                    <w:rPr>
                      <w:rFonts w:hint="eastAsia"/>
                      <w:szCs w:val="21"/>
                    </w:rPr>
                    <w:t>间</w:t>
                  </w:r>
                </w:p>
              </w:tc>
              <w:tc>
                <w:tcPr>
                  <w:tcW w:w="362" w:type="pct"/>
                  <w:vAlign w:val="center"/>
                </w:tcPr>
                <w:p w14:paraId="3E3BAD7A">
                  <w:pPr>
                    <w:tabs>
                      <w:tab w:val="left" w:pos="0"/>
                    </w:tabs>
                    <w:adjustRightInd w:val="0"/>
                    <w:snapToGrid w:val="0"/>
                    <w:jc w:val="center"/>
                    <w:rPr>
                      <w:szCs w:val="21"/>
                    </w:rPr>
                  </w:pPr>
                  <w:r>
                    <w:rPr>
                      <w:rFonts w:hint="eastAsia"/>
                      <w:szCs w:val="21"/>
                    </w:rPr>
                    <w:t>15</w:t>
                  </w:r>
                </w:p>
              </w:tc>
              <w:tc>
                <w:tcPr>
                  <w:tcW w:w="362" w:type="pct"/>
                  <w:vAlign w:val="center"/>
                </w:tcPr>
                <w:p w14:paraId="127AF3E5">
                  <w:pPr>
                    <w:tabs>
                      <w:tab w:val="left" w:pos="0"/>
                    </w:tabs>
                    <w:adjustRightInd w:val="0"/>
                    <w:snapToGrid w:val="0"/>
                    <w:jc w:val="center"/>
                    <w:rPr>
                      <w:szCs w:val="21"/>
                    </w:rPr>
                  </w:pPr>
                  <w:r>
                    <w:rPr>
                      <w:rFonts w:hint="eastAsia"/>
                      <w:szCs w:val="21"/>
                    </w:rPr>
                    <w:t>50</w:t>
                  </w:r>
                </w:p>
              </w:tc>
              <w:tc>
                <w:tcPr>
                  <w:tcW w:w="424" w:type="pct"/>
                  <w:vAlign w:val="center"/>
                </w:tcPr>
                <w:p w14:paraId="11EB521D">
                  <w:pPr>
                    <w:tabs>
                      <w:tab w:val="left" w:pos="0"/>
                    </w:tabs>
                    <w:adjustRightInd w:val="0"/>
                    <w:snapToGrid w:val="0"/>
                    <w:jc w:val="center"/>
                    <w:rPr>
                      <w:szCs w:val="21"/>
                    </w:rPr>
                  </w:pPr>
                  <w:r>
                    <w:rPr>
                      <w:szCs w:val="21"/>
                    </w:rPr>
                    <w:t>1.0</w:t>
                  </w:r>
                </w:p>
              </w:tc>
            </w:tr>
            <w:tr w14:paraId="232DA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202" w:type="pct"/>
                  <w:vAlign w:val="center"/>
                </w:tcPr>
                <w:p w14:paraId="75ACC7BB">
                  <w:pPr>
                    <w:tabs>
                      <w:tab w:val="left" w:pos="0"/>
                    </w:tabs>
                    <w:adjustRightInd w:val="0"/>
                    <w:snapToGrid w:val="0"/>
                    <w:jc w:val="center"/>
                    <w:rPr>
                      <w:szCs w:val="21"/>
                    </w:rPr>
                  </w:pPr>
                  <w:r>
                    <w:rPr>
                      <w:rFonts w:hint="eastAsia"/>
                      <w:szCs w:val="21"/>
                    </w:rPr>
                    <w:t>5</w:t>
                  </w:r>
                </w:p>
              </w:tc>
              <w:tc>
                <w:tcPr>
                  <w:tcW w:w="509" w:type="pct"/>
                  <w:vAlign w:val="center"/>
                </w:tcPr>
                <w:p w14:paraId="00773F62">
                  <w:pPr>
                    <w:tabs>
                      <w:tab w:val="left" w:pos="0"/>
                    </w:tabs>
                    <w:adjustRightInd w:val="0"/>
                    <w:snapToGrid w:val="0"/>
                    <w:jc w:val="center"/>
                    <w:rPr>
                      <w:szCs w:val="21"/>
                    </w:rPr>
                  </w:pPr>
                  <w:r>
                    <w:rPr>
                      <w:rFonts w:hint="eastAsia"/>
                      <w:szCs w:val="21"/>
                    </w:rPr>
                    <w:t>布袋除尘风机</w:t>
                  </w:r>
                </w:p>
              </w:tc>
              <w:tc>
                <w:tcPr>
                  <w:tcW w:w="424" w:type="pct"/>
                  <w:vAlign w:val="center"/>
                </w:tcPr>
                <w:p w14:paraId="79C73C2F">
                  <w:pPr>
                    <w:tabs>
                      <w:tab w:val="left" w:pos="0"/>
                    </w:tabs>
                    <w:adjustRightInd w:val="0"/>
                    <w:snapToGrid w:val="0"/>
                    <w:jc w:val="center"/>
                    <w:rPr>
                      <w:szCs w:val="21"/>
                    </w:rPr>
                  </w:pPr>
                  <w:r>
                    <w:rPr>
                      <w:rFonts w:hint="eastAsia"/>
                      <w:szCs w:val="21"/>
                    </w:rPr>
                    <w:t>/</w:t>
                  </w:r>
                </w:p>
              </w:tc>
              <w:tc>
                <w:tcPr>
                  <w:tcW w:w="424" w:type="pct"/>
                  <w:vAlign w:val="center"/>
                </w:tcPr>
                <w:p w14:paraId="6B5CD002">
                  <w:pPr>
                    <w:tabs>
                      <w:tab w:val="left" w:pos="0"/>
                    </w:tabs>
                    <w:adjustRightInd w:val="0"/>
                    <w:snapToGrid w:val="0"/>
                    <w:jc w:val="center"/>
                    <w:rPr>
                      <w:szCs w:val="21"/>
                    </w:rPr>
                  </w:pPr>
                  <w:r>
                    <w:rPr>
                      <w:rFonts w:hint="eastAsia"/>
                      <w:szCs w:val="21"/>
                    </w:rPr>
                    <w:t>85</w:t>
                  </w:r>
                </w:p>
              </w:tc>
              <w:tc>
                <w:tcPr>
                  <w:tcW w:w="424" w:type="pct"/>
                  <w:vMerge w:val="continue"/>
                  <w:vAlign w:val="center"/>
                </w:tcPr>
                <w:p w14:paraId="62A4C88C">
                  <w:pPr>
                    <w:tabs>
                      <w:tab w:val="left" w:pos="0"/>
                    </w:tabs>
                    <w:adjustRightInd w:val="0"/>
                    <w:snapToGrid w:val="0"/>
                    <w:jc w:val="center"/>
                    <w:rPr>
                      <w:szCs w:val="21"/>
                    </w:rPr>
                  </w:pPr>
                </w:p>
              </w:tc>
              <w:tc>
                <w:tcPr>
                  <w:tcW w:w="339" w:type="pct"/>
                  <w:vAlign w:val="center"/>
                </w:tcPr>
                <w:p w14:paraId="66AE8B62">
                  <w:pPr>
                    <w:tabs>
                      <w:tab w:val="left" w:pos="0"/>
                    </w:tabs>
                    <w:adjustRightInd w:val="0"/>
                    <w:snapToGrid w:val="0"/>
                    <w:jc w:val="center"/>
                    <w:rPr>
                      <w:szCs w:val="21"/>
                    </w:rPr>
                  </w:pPr>
                  <w:r>
                    <w:rPr>
                      <w:rFonts w:hint="eastAsia"/>
                      <w:szCs w:val="21"/>
                    </w:rPr>
                    <w:t>45.21</w:t>
                  </w:r>
                </w:p>
              </w:tc>
              <w:tc>
                <w:tcPr>
                  <w:tcW w:w="363" w:type="pct"/>
                  <w:vAlign w:val="center"/>
                </w:tcPr>
                <w:p w14:paraId="5126175A">
                  <w:pPr>
                    <w:tabs>
                      <w:tab w:val="left" w:pos="0"/>
                    </w:tabs>
                    <w:adjustRightInd w:val="0"/>
                    <w:snapToGrid w:val="0"/>
                    <w:jc w:val="center"/>
                    <w:rPr>
                      <w:szCs w:val="21"/>
                    </w:rPr>
                  </w:pPr>
                  <w:r>
                    <w:rPr>
                      <w:rFonts w:hint="eastAsia"/>
                      <w:szCs w:val="21"/>
                    </w:rPr>
                    <w:t>59.59</w:t>
                  </w:r>
                </w:p>
              </w:tc>
              <w:tc>
                <w:tcPr>
                  <w:tcW w:w="220" w:type="pct"/>
                  <w:vAlign w:val="center"/>
                </w:tcPr>
                <w:p w14:paraId="3D5AAEFD">
                  <w:pPr>
                    <w:tabs>
                      <w:tab w:val="left" w:pos="0"/>
                    </w:tabs>
                    <w:adjustRightInd w:val="0"/>
                    <w:snapToGrid w:val="0"/>
                    <w:jc w:val="center"/>
                    <w:rPr>
                      <w:szCs w:val="21"/>
                    </w:rPr>
                  </w:pPr>
                  <w:r>
                    <w:rPr>
                      <w:rFonts w:hint="eastAsia"/>
                      <w:szCs w:val="21"/>
                    </w:rPr>
                    <w:t>1.5</w:t>
                  </w:r>
                </w:p>
              </w:tc>
              <w:tc>
                <w:tcPr>
                  <w:tcW w:w="295" w:type="pct"/>
                  <w:vAlign w:val="center"/>
                </w:tcPr>
                <w:p w14:paraId="5AF7EAD6">
                  <w:pPr>
                    <w:tabs>
                      <w:tab w:val="left" w:pos="0"/>
                    </w:tabs>
                    <w:adjustRightInd w:val="0"/>
                    <w:snapToGrid w:val="0"/>
                    <w:jc w:val="center"/>
                    <w:rPr>
                      <w:szCs w:val="21"/>
                    </w:rPr>
                  </w:pPr>
                  <w:r>
                    <w:rPr>
                      <w:rFonts w:hint="eastAsia"/>
                      <w:szCs w:val="21"/>
                    </w:rPr>
                    <w:t>2</w:t>
                  </w:r>
                </w:p>
              </w:tc>
              <w:tc>
                <w:tcPr>
                  <w:tcW w:w="362" w:type="pct"/>
                  <w:vAlign w:val="center"/>
                </w:tcPr>
                <w:p w14:paraId="73F90628">
                  <w:pPr>
                    <w:tabs>
                      <w:tab w:val="left" w:pos="0"/>
                    </w:tabs>
                    <w:adjustRightInd w:val="0"/>
                    <w:snapToGrid w:val="0"/>
                    <w:jc w:val="center"/>
                    <w:rPr>
                      <w:szCs w:val="21"/>
                    </w:rPr>
                  </w:pPr>
                  <w:r>
                    <w:rPr>
                      <w:rFonts w:hint="eastAsia"/>
                      <w:szCs w:val="21"/>
                    </w:rPr>
                    <w:t>70</w:t>
                  </w:r>
                </w:p>
              </w:tc>
              <w:tc>
                <w:tcPr>
                  <w:tcW w:w="289" w:type="pct"/>
                  <w:vAlign w:val="center"/>
                </w:tcPr>
                <w:p w14:paraId="336E1462">
                  <w:pPr>
                    <w:tabs>
                      <w:tab w:val="left" w:pos="0"/>
                    </w:tabs>
                    <w:adjustRightInd w:val="0"/>
                    <w:snapToGrid w:val="0"/>
                    <w:jc w:val="center"/>
                    <w:rPr>
                      <w:szCs w:val="21"/>
                    </w:rPr>
                  </w:pPr>
                  <w:r>
                    <w:rPr>
                      <w:szCs w:val="21"/>
                    </w:rPr>
                    <w:t>昼</w:t>
                  </w:r>
                  <w:r>
                    <w:rPr>
                      <w:rFonts w:hint="eastAsia"/>
                      <w:szCs w:val="21"/>
                    </w:rPr>
                    <w:t>间</w:t>
                  </w:r>
                </w:p>
              </w:tc>
              <w:tc>
                <w:tcPr>
                  <w:tcW w:w="362" w:type="pct"/>
                  <w:vAlign w:val="center"/>
                </w:tcPr>
                <w:p w14:paraId="2110C427">
                  <w:pPr>
                    <w:tabs>
                      <w:tab w:val="left" w:pos="0"/>
                    </w:tabs>
                    <w:adjustRightInd w:val="0"/>
                    <w:snapToGrid w:val="0"/>
                    <w:jc w:val="center"/>
                    <w:rPr>
                      <w:szCs w:val="21"/>
                    </w:rPr>
                  </w:pPr>
                  <w:r>
                    <w:rPr>
                      <w:rFonts w:hint="eastAsia"/>
                      <w:szCs w:val="21"/>
                    </w:rPr>
                    <w:t>15</w:t>
                  </w:r>
                </w:p>
              </w:tc>
              <w:tc>
                <w:tcPr>
                  <w:tcW w:w="362" w:type="pct"/>
                  <w:vAlign w:val="center"/>
                </w:tcPr>
                <w:p w14:paraId="1B41C9C3">
                  <w:pPr>
                    <w:tabs>
                      <w:tab w:val="left" w:pos="0"/>
                    </w:tabs>
                    <w:adjustRightInd w:val="0"/>
                    <w:snapToGrid w:val="0"/>
                    <w:jc w:val="center"/>
                    <w:rPr>
                      <w:szCs w:val="21"/>
                    </w:rPr>
                  </w:pPr>
                  <w:r>
                    <w:rPr>
                      <w:rFonts w:hint="eastAsia"/>
                      <w:szCs w:val="21"/>
                    </w:rPr>
                    <w:t>55</w:t>
                  </w:r>
                </w:p>
              </w:tc>
              <w:tc>
                <w:tcPr>
                  <w:tcW w:w="424" w:type="pct"/>
                  <w:vAlign w:val="center"/>
                </w:tcPr>
                <w:p w14:paraId="45E5FD27">
                  <w:pPr>
                    <w:tabs>
                      <w:tab w:val="left" w:pos="0"/>
                    </w:tabs>
                    <w:adjustRightInd w:val="0"/>
                    <w:snapToGrid w:val="0"/>
                    <w:jc w:val="center"/>
                    <w:rPr>
                      <w:szCs w:val="21"/>
                    </w:rPr>
                  </w:pPr>
                  <w:r>
                    <w:rPr>
                      <w:rFonts w:hint="eastAsia"/>
                      <w:szCs w:val="21"/>
                    </w:rPr>
                    <w:t>1</w:t>
                  </w:r>
                  <w:r>
                    <w:rPr>
                      <w:szCs w:val="21"/>
                    </w:rPr>
                    <w:t>.0</w:t>
                  </w:r>
                </w:p>
              </w:tc>
            </w:tr>
            <w:tr w14:paraId="7A06D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202" w:type="pct"/>
                  <w:vAlign w:val="center"/>
                </w:tcPr>
                <w:p w14:paraId="2A6C2D33">
                  <w:pPr>
                    <w:tabs>
                      <w:tab w:val="left" w:pos="0"/>
                    </w:tabs>
                    <w:adjustRightInd w:val="0"/>
                    <w:snapToGrid w:val="0"/>
                    <w:jc w:val="center"/>
                    <w:rPr>
                      <w:szCs w:val="21"/>
                    </w:rPr>
                  </w:pPr>
                  <w:r>
                    <w:rPr>
                      <w:rFonts w:hint="eastAsia"/>
                      <w:szCs w:val="21"/>
                    </w:rPr>
                    <w:t>6</w:t>
                  </w:r>
                </w:p>
              </w:tc>
              <w:tc>
                <w:tcPr>
                  <w:tcW w:w="509" w:type="pct"/>
                  <w:vAlign w:val="center"/>
                </w:tcPr>
                <w:p w14:paraId="130EBA39">
                  <w:pPr>
                    <w:tabs>
                      <w:tab w:val="left" w:pos="0"/>
                    </w:tabs>
                    <w:adjustRightInd w:val="0"/>
                    <w:snapToGrid w:val="0"/>
                    <w:jc w:val="center"/>
                    <w:rPr>
                      <w:szCs w:val="21"/>
                    </w:rPr>
                  </w:pPr>
                  <w:r>
                    <w:rPr>
                      <w:rFonts w:hint="eastAsia"/>
                      <w:szCs w:val="21"/>
                    </w:rPr>
                    <w:t>空压机</w:t>
                  </w:r>
                </w:p>
              </w:tc>
              <w:tc>
                <w:tcPr>
                  <w:tcW w:w="424" w:type="pct"/>
                  <w:vAlign w:val="center"/>
                </w:tcPr>
                <w:p w14:paraId="370AD521">
                  <w:pPr>
                    <w:tabs>
                      <w:tab w:val="left" w:pos="0"/>
                    </w:tabs>
                    <w:adjustRightInd w:val="0"/>
                    <w:snapToGrid w:val="0"/>
                    <w:jc w:val="center"/>
                    <w:rPr>
                      <w:szCs w:val="21"/>
                    </w:rPr>
                  </w:pPr>
                  <w:r>
                    <w:rPr>
                      <w:rFonts w:hint="eastAsia"/>
                      <w:szCs w:val="21"/>
                    </w:rPr>
                    <w:t>/</w:t>
                  </w:r>
                </w:p>
              </w:tc>
              <w:tc>
                <w:tcPr>
                  <w:tcW w:w="424" w:type="pct"/>
                  <w:vAlign w:val="center"/>
                </w:tcPr>
                <w:p w14:paraId="359F2436">
                  <w:pPr>
                    <w:tabs>
                      <w:tab w:val="left" w:pos="0"/>
                    </w:tabs>
                    <w:adjustRightInd w:val="0"/>
                    <w:snapToGrid w:val="0"/>
                    <w:jc w:val="center"/>
                    <w:rPr>
                      <w:szCs w:val="21"/>
                    </w:rPr>
                  </w:pPr>
                  <w:r>
                    <w:rPr>
                      <w:rFonts w:hint="eastAsia"/>
                      <w:szCs w:val="21"/>
                    </w:rPr>
                    <w:t>85</w:t>
                  </w:r>
                </w:p>
              </w:tc>
              <w:tc>
                <w:tcPr>
                  <w:tcW w:w="424" w:type="pct"/>
                  <w:vMerge w:val="continue"/>
                  <w:vAlign w:val="center"/>
                </w:tcPr>
                <w:p w14:paraId="353D0190">
                  <w:pPr>
                    <w:tabs>
                      <w:tab w:val="left" w:pos="0"/>
                    </w:tabs>
                    <w:adjustRightInd w:val="0"/>
                    <w:snapToGrid w:val="0"/>
                    <w:jc w:val="center"/>
                    <w:rPr>
                      <w:szCs w:val="21"/>
                    </w:rPr>
                  </w:pPr>
                </w:p>
              </w:tc>
              <w:tc>
                <w:tcPr>
                  <w:tcW w:w="339" w:type="pct"/>
                  <w:vAlign w:val="center"/>
                </w:tcPr>
                <w:p w14:paraId="0071B1E8">
                  <w:pPr>
                    <w:tabs>
                      <w:tab w:val="left" w:pos="0"/>
                    </w:tabs>
                    <w:adjustRightInd w:val="0"/>
                    <w:snapToGrid w:val="0"/>
                    <w:jc w:val="center"/>
                    <w:rPr>
                      <w:szCs w:val="21"/>
                    </w:rPr>
                  </w:pPr>
                  <w:r>
                    <w:rPr>
                      <w:rFonts w:hint="eastAsia"/>
                      <w:szCs w:val="21"/>
                    </w:rPr>
                    <w:t>34.0.5</w:t>
                  </w:r>
                </w:p>
              </w:tc>
              <w:tc>
                <w:tcPr>
                  <w:tcW w:w="363" w:type="pct"/>
                  <w:vAlign w:val="center"/>
                </w:tcPr>
                <w:p w14:paraId="24C2B46D">
                  <w:pPr>
                    <w:tabs>
                      <w:tab w:val="left" w:pos="0"/>
                    </w:tabs>
                    <w:adjustRightInd w:val="0"/>
                    <w:snapToGrid w:val="0"/>
                    <w:jc w:val="center"/>
                    <w:rPr>
                      <w:szCs w:val="21"/>
                    </w:rPr>
                  </w:pPr>
                  <w:r>
                    <w:rPr>
                      <w:rFonts w:hint="eastAsia"/>
                      <w:szCs w:val="21"/>
                    </w:rPr>
                    <w:t>47.74</w:t>
                  </w:r>
                </w:p>
              </w:tc>
              <w:tc>
                <w:tcPr>
                  <w:tcW w:w="220" w:type="pct"/>
                  <w:vAlign w:val="center"/>
                </w:tcPr>
                <w:p w14:paraId="5C907457">
                  <w:pPr>
                    <w:tabs>
                      <w:tab w:val="left" w:pos="0"/>
                    </w:tabs>
                    <w:adjustRightInd w:val="0"/>
                    <w:snapToGrid w:val="0"/>
                    <w:jc w:val="center"/>
                    <w:rPr>
                      <w:szCs w:val="21"/>
                    </w:rPr>
                  </w:pPr>
                  <w:r>
                    <w:rPr>
                      <w:rFonts w:hint="eastAsia"/>
                      <w:szCs w:val="21"/>
                    </w:rPr>
                    <w:t>1.5</w:t>
                  </w:r>
                </w:p>
              </w:tc>
              <w:tc>
                <w:tcPr>
                  <w:tcW w:w="295" w:type="pct"/>
                  <w:vAlign w:val="center"/>
                </w:tcPr>
                <w:p w14:paraId="2CCC2288">
                  <w:pPr>
                    <w:tabs>
                      <w:tab w:val="left" w:pos="0"/>
                    </w:tabs>
                    <w:adjustRightInd w:val="0"/>
                    <w:snapToGrid w:val="0"/>
                    <w:jc w:val="center"/>
                    <w:rPr>
                      <w:szCs w:val="21"/>
                    </w:rPr>
                  </w:pPr>
                  <w:r>
                    <w:rPr>
                      <w:rFonts w:hint="eastAsia"/>
                      <w:szCs w:val="21"/>
                    </w:rPr>
                    <w:t>2</w:t>
                  </w:r>
                </w:p>
              </w:tc>
              <w:tc>
                <w:tcPr>
                  <w:tcW w:w="362" w:type="pct"/>
                  <w:vAlign w:val="center"/>
                </w:tcPr>
                <w:p w14:paraId="2E559360">
                  <w:pPr>
                    <w:tabs>
                      <w:tab w:val="left" w:pos="0"/>
                    </w:tabs>
                    <w:adjustRightInd w:val="0"/>
                    <w:snapToGrid w:val="0"/>
                    <w:jc w:val="center"/>
                    <w:rPr>
                      <w:szCs w:val="21"/>
                    </w:rPr>
                  </w:pPr>
                  <w:r>
                    <w:rPr>
                      <w:rFonts w:hint="eastAsia"/>
                      <w:szCs w:val="21"/>
                    </w:rPr>
                    <w:t>70</w:t>
                  </w:r>
                </w:p>
              </w:tc>
              <w:tc>
                <w:tcPr>
                  <w:tcW w:w="289" w:type="pct"/>
                  <w:vAlign w:val="center"/>
                </w:tcPr>
                <w:p w14:paraId="240386CB">
                  <w:pPr>
                    <w:tabs>
                      <w:tab w:val="left" w:pos="0"/>
                    </w:tabs>
                    <w:adjustRightInd w:val="0"/>
                    <w:snapToGrid w:val="0"/>
                    <w:jc w:val="center"/>
                    <w:rPr>
                      <w:szCs w:val="21"/>
                    </w:rPr>
                  </w:pPr>
                  <w:r>
                    <w:rPr>
                      <w:szCs w:val="21"/>
                    </w:rPr>
                    <w:t>昼</w:t>
                  </w:r>
                  <w:r>
                    <w:rPr>
                      <w:rFonts w:hint="eastAsia"/>
                      <w:szCs w:val="21"/>
                    </w:rPr>
                    <w:t>间</w:t>
                  </w:r>
                </w:p>
              </w:tc>
              <w:tc>
                <w:tcPr>
                  <w:tcW w:w="362" w:type="pct"/>
                  <w:vAlign w:val="center"/>
                </w:tcPr>
                <w:p w14:paraId="3656E713">
                  <w:pPr>
                    <w:tabs>
                      <w:tab w:val="left" w:pos="0"/>
                    </w:tabs>
                    <w:adjustRightInd w:val="0"/>
                    <w:snapToGrid w:val="0"/>
                    <w:jc w:val="center"/>
                    <w:rPr>
                      <w:szCs w:val="21"/>
                    </w:rPr>
                  </w:pPr>
                  <w:r>
                    <w:rPr>
                      <w:rFonts w:hint="eastAsia"/>
                      <w:szCs w:val="21"/>
                    </w:rPr>
                    <w:t>15</w:t>
                  </w:r>
                </w:p>
              </w:tc>
              <w:tc>
                <w:tcPr>
                  <w:tcW w:w="362" w:type="pct"/>
                  <w:vAlign w:val="center"/>
                </w:tcPr>
                <w:p w14:paraId="3EEB88C3">
                  <w:pPr>
                    <w:tabs>
                      <w:tab w:val="left" w:pos="0"/>
                    </w:tabs>
                    <w:adjustRightInd w:val="0"/>
                    <w:snapToGrid w:val="0"/>
                    <w:jc w:val="center"/>
                    <w:rPr>
                      <w:szCs w:val="21"/>
                    </w:rPr>
                  </w:pPr>
                  <w:r>
                    <w:rPr>
                      <w:rFonts w:hint="eastAsia"/>
                      <w:szCs w:val="21"/>
                    </w:rPr>
                    <w:t>55</w:t>
                  </w:r>
                </w:p>
              </w:tc>
              <w:tc>
                <w:tcPr>
                  <w:tcW w:w="424" w:type="pct"/>
                  <w:vAlign w:val="center"/>
                </w:tcPr>
                <w:p w14:paraId="6CEA77E7">
                  <w:pPr>
                    <w:tabs>
                      <w:tab w:val="left" w:pos="0"/>
                    </w:tabs>
                    <w:adjustRightInd w:val="0"/>
                    <w:snapToGrid w:val="0"/>
                    <w:jc w:val="center"/>
                    <w:rPr>
                      <w:szCs w:val="21"/>
                    </w:rPr>
                  </w:pPr>
                  <w:r>
                    <w:rPr>
                      <w:rFonts w:hint="eastAsia"/>
                      <w:szCs w:val="21"/>
                    </w:rPr>
                    <w:t>1.0</w:t>
                  </w:r>
                </w:p>
              </w:tc>
            </w:tr>
          </w:tbl>
          <w:p w14:paraId="7426079C">
            <w:pPr>
              <w:pStyle w:val="45"/>
              <w:spacing w:line="240" w:lineRule="auto"/>
              <w:rPr>
                <w:rFonts w:ascii="Times New Roman" w:hAnsi="Times New Roman"/>
                <w:sz w:val="24"/>
                <w:szCs w:val="24"/>
              </w:rPr>
            </w:pPr>
            <w:r>
              <w:rPr>
                <w:rFonts w:hint="eastAsia" w:ascii="Times New Roman" w:hAnsi="Times New Roman"/>
                <w:sz w:val="24"/>
                <w:szCs w:val="24"/>
              </w:rPr>
              <w:t>表4-8  主要设备噪声源强表（室外声源）</w:t>
            </w:r>
          </w:p>
          <w:tbl>
            <w:tblPr>
              <w:tblStyle w:val="21"/>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3"/>
              <w:gridCol w:w="922"/>
              <w:gridCol w:w="637"/>
              <w:gridCol w:w="923"/>
              <w:gridCol w:w="923"/>
              <w:gridCol w:w="923"/>
              <w:gridCol w:w="923"/>
              <w:gridCol w:w="1553"/>
              <w:gridCol w:w="923"/>
            </w:tblGrid>
            <w:tr w14:paraId="510E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83" w:type="dxa"/>
                  <w:vMerge w:val="restart"/>
                  <w:vAlign w:val="center"/>
                </w:tcPr>
                <w:p w14:paraId="71FED970">
                  <w:pPr>
                    <w:pStyle w:val="52"/>
                    <w:spacing w:line="300" w:lineRule="exact"/>
                  </w:pPr>
                  <w:r>
                    <w:rPr>
                      <w:rFonts w:hint="eastAsia"/>
                    </w:rPr>
                    <w:t>序号</w:t>
                  </w:r>
                </w:p>
              </w:tc>
              <w:tc>
                <w:tcPr>
                  <w:tcW w:w="922" w:type="dxa"/>
                  <w:vMerge w:val="restart"/>
                  <w:vAlign w:val="center"/>
                </w:tcPr>
                <w:p w14:paraId="58E8A1EF">
                  <w:pPr>
                    <w:pStyle w:val="52"/>
                    <w:spacing w:line="300" w:lineRule="exact"/>
                  </w:pPr>
                  <w:r>
                    <w:rPr>
                      <w:rFonts w:hint="eastAsia"/>
                    </w:rPr>
                    <w:t>声源名称</w:t>
                  </w:r>
                </w:p>
              </w:tc>
              <w:tc>
                <w:tcPr>
                  <w:tcW w:w="637" w:type="dxa"/>
                  <w:vMerge w:val="restart"/>
                  <w:vAlign w:val="center"/>
                </w:tcPr>
                <w:p w14:paraId="6F993E97">
                  <w:pPr>
                    <w:pStyle w:val="52"/>
                    <w:spacing w:line="300" w:lineRule="exact"/>
                  </w:pPr>
                  <w:r>
                    <w:rPr>
                      <w:rFonts w:hint="eastAsia"/>
                    </w:rPr>
                    <w:t>型号</w:t>
                  </w:r>
                </w:p>
              </w:tc>
              <w:tc>
                <w:tcPr>
                  <w:tcW w:w="2769" w:type="dxa"/>
                  <w:gridSpan w:val="3"/>
                  <w:vAlign w:val="center"/>
                </w:tcPr>
                <w:p w14:paraId="65030EDB">
                  <w:pPr>
                    <w:pStyle w:val="52"/>
                    <w:spacing w:line="300" w:lineRule="exact"/>
                  </w:pPr>
                  <w:r>
                    <w:rPr>
                      <w:rFonts w:hint="eastAsia"/>
                    </w:rPr>
                    <w:t>空间相对位置/m</w:t>
                  </w:r>
                </w:p>
              </w:tc>
              <w:tc>
                <w:tcPr>
                  <w:tcW w:w="923" w:type="dxa"/>
                  <w:vAlign w:val="center"/>
                </w:tcPr>
                <w:p w14:paraId="415DC5E5">
                  <w:pPr>
                    <w:pStyle w:val="52"/>
                    <w:spacing w:line="300" w:lineRule="exact"/>
                  </w:pPr>
                  <w:r>
                    <w:rPr>
                      <w:rFonts w:hint="eastAsia"/>
                    </w:rPr>
                    <w:t>声源源强</w:t>
                  </w:r>
                </w:p>
              </w:tc>
              <w:tc>
                <w:tcPr>
                  <w:tcW w:w="1553" w:type="dxa"/>
                  <w:vMerge w:val="restart"/>
                  <w:vAlign w:val="center"/>
                </w:tcPr>
                <w:p w14:paraId="457DAFF8">
                  <w:pPr>
                    <w:pStyle w:val="52"/>
                    <w:spacing w:line="300" w:lineRule="exact"/>
                  </w:pPr>
                  <w:r>
                    <w:rPr>
                      <w:rFonts w:hint="eastAsia"/>
                    </w:rPr>
                    <w:t>声源控制措施</w:t>
                  </w:r>
                </w:p>
              </w:tc>
              <w:tc>
                <w:tcPr>
                  <w:tcW w:w="923" w:type="dxa"/>
                  <w:vMerge w:val="restart"/>
                  <w:vAlign w:val="center"/>
                </w:tcPr>
                <w:p w14:paraId="01D48567">
                  <w:pPr>
                    <w:pStyle w:val="52"/>
                    <w:spacing w:line="300" w:lineRule="exact"/>
                  </w:pPr>
                  <w:r>
                    <w:rPr>
                      <w:rFonts w:hint="eastAsia"/>
                    </w:rPr>
                    <w:t>运行时段</w:t>
                  </w:r>
                </w:p>
              </w:tc>
            </w:tr>
            <w:tr w14:paraId="420B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83" w:type="dxa"/>
                  <w:vMerge w:val="continue"/>
                  <w:vAlign w:val="center"/>
                </w:tcPr>
                <w:p w14:paraId="3421B71D">
                  <w:pPr>
                    <w:pStyle w:val="52"/>
                    <w:spacing w:line="300" w:lineRule="exact"/>
                  </w:pPr>
                </w:p>
              </w:tc>
              <w:tc>
                <w:tcPr>
                  <w:tcW w:w="922" w:type="dxa"/>
                  <w:vMerge w:val="continue"/>
                  <w:vAlign w:val="center"/>
                </w:tcPr>
                <w:p w14:paraId="0C7AADD4">
                  <w:pPr>
                    <w:pStyle w:val="52"/>
                    <w:spacing w:line="300" w:lineRule="exact"/>
                  </w:pPr>
                </w:p>
              </w:tc>
              <w:tc>
                <w:tcPr>
                  <w:tcW w:w="637" w:type="dxa"/>
                  <w:vMerge w:val="continue"/>
                  <w:vAlign w:val="center"/>
                </w:tcPr>
                <w:p w14:paraId="596B4CC5">
                  <w:pPr>
                    <w:pStyle w:val="52"/>
                    <w:spacing w:line="300" w:lineRule="exact"/>
                  </w:pPr>
                </w:p>
              </w:tc>
              <w:tc>
                <w:tcPr>
                  <w:tcW w:w="923" w:type="dxa"/>
                  <w:vAlign w:val="center"/>
                </w:tcPr>
                <w:p w14:paraId="046D0899">
                  <w:pPr>
                    <w:pStyle w:val="52"/>
                    <w:spacing w:line="300" w:lineRule="exact"/>
                  </w:pPr>
                  <w:r>
                    <w:rPr>
                      <w:rFonts w:hint="eastAsia"/>
                    </w:rPr>
                    <w:t>X</w:t>
                  </w:r>
                </w:p>
              </w:tc>
              <w:tc>
                <w:tcPr>
                  <w:tcW w:w="923" w:type="dxa"/>
                  <w:vAlign w:val="center"/>
                </w:tcPr>
                <w:p w14:paraId="65EF7FB1">
                  <w:pPr>
                    <w:pStyle w:val="52"/>
                    <w:spacing w:line="300" w:lineRule="exact"/>
                  </w:pPr>
                  <w:r>
                    <w:t>Y</w:t>
                  </w:r>
                </w:p>
              </w:tc>
              <w:tc>
                <w:tcPr>
                  <w:tcW w:w="923" w:type="dxa"/>
                  <w:vAlign w:val="center"/>
                </w:tcPr>
                <w:p w14:paraId="3002864A">
                  <w:pPr>
                    <w:pStyle w:val="52"/>
                    <w:spacing w:line="300" w:lineRule="exact"/>
                  </w:pPr>
                  <w:r>
                    <w:t>Z</w:t>
                  </w:r>
                </w:p>
              </w:tc>
              <w:tc>
                <w:tcPr>
                  <w:tcW w:w="923" w:type="dxa"/>
                  <w:vAlign w:val="center"/>
                </w:tcPr>
                <w:p w14:paraId="6BE68851">
                  <w:pPr>
                    <w:pStyle w:val="52"/>
                    <w:spacing w:line="300" w:lineRule="exact"/>
                  </w:pPr>
                  <w:r>
                    <w:rPr>
                      <w:rFonts w:hint="eastAsia"/>
                    </w:rPr>
                    <w:t>声功率级d</w:t>
                  </w:r>
                  <w:r>
                    <w:t>B(A)</w:t>
                  </w:r>
                </w:p>
              </w:tc>
              <w:tc>
                <w:tcPr>
                  <w:tcW w:w="1553" w:type="dxa"/>
                  <w:vMerge w:val="continue"/>
                  <w:vAlign w:val="center"/>
                </w:tcPr>
                <w:p w14:paraId="0608778D">
                  <w:pPr>
                    <w:pStyle w:val="52"/>
                    <w:spacing w:line="300" w:lineRule="exact"/>
                  </w:pPr>
                </w:p>
              </w:tc>
              <w:tc>
                <w:tcPr>
                  <w:tcW w:w="923" w:type="dxa"/>
                  <w:vMerge w:val="continue"/>
                  <w:vAlign w:val="center"/>
                </w:tcPr>
                <w:p w14:paraId="0DDF13E6">
                  <w:pPr>
                    <w:pStyle w:val="52"/>
                    <w:spacing w:line="300" w:lineRule="exact"/>
                  </w:pPr>
                </w:p>
              </w:tc>
            </w:tr>
            <w:tr w14:paraId="3677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trPr>
              <w:tc>
                <w:tcPr>
                  <w:tcW w:w="583" w:type="dxa"/>
                  <w:vAlign w:val="center"/>
                </w:tcPr>
                <w:p w14:paraId="3D83314B">
                  <w:pPr>
                    <w:pStyle w:val="52"/>
                    <w:spacing w:line="300" w:lineRule="exact"/>
                  </w:pPr>
                  <w:r>
                    <w:rPr>
                      <w:rFonts w:hint="eastAsia"/>
                    </w:rPr>
                    <w:t>1</w:t>
                  </w:r>
                </w:p>
              </w:tc>
              <w:tc>
                <w:tcPr>
                  <w:tcW w:w="922" w:type="dxa"/>
                  <w:vAlign w:val="center"/>
                </w:tcPr>
                <w:p w14:paraId="6D06ED73">
                  <w:pPr>
                    <w:pStyle w:val="52"/>
                    <w:spacing w:line="300" w:lineRule="exact"/>
                  </w:pPr>
                  <w:r>
                    <w:rPr>
                      <w:rFonts w:hint="eastAsia"/>
                    </w:rPr>
                    <w:t>水泥筒仓除尘风机</w:t>
                  </w:r>
                </w:p>
              </w:tc>
              <w:tc>
                <w:tcPr>
                  <w:tcW w:w="637" w:type="dxa"/>
                  <w:vAlign w:val="center"/>
                </w:tcPr>
                <w:p w14:paraId="3DD04180">
                  <w:pPr>
                    <w:pStyle w:val="52"/>
                    <w:spacing w:line="300" w:lineRule="exact"/>
                  </w:pPr>
                  <w:r>
                    <w:rPr>
                      <w:rFonts w:hint="eastAsia"/>
                    </w:rPr>
                    <w:t>/</w:t>
                  </w:r>
                </w:p>
              </w:tc>
              <w:tc>
                <w:tcPr>
                  <w:tcW w:w="923" w:type="dxa"/>
                  <w:vAlign w:val="center"/>
                </w:tcPr>
                <w:p w14:paraId="796D948D">
                  <w:pPr>
                    <w:pStyle w:val="52"/>
                    <w:spacing w:line="300" w:lineRule="exact"/>
                  </w:pPr>
                  <w:r>
                    <w:rPr>
                      <w:rFonts w:hint="eastAsia"/>
                    </w:rPr>
                    <w:t>45.21</w:t>
                  </w:r>
                </w:p>
              </w:tc>
              <w:tc>
                <w:tcPr>
                  <w:tcW w:w="923" w:type="dxa"/>
                  <w:vAlign w:val="center"/>
                </w:tcPr>
                <w:p w14:paraId="7BE8E93E">
                  <w:pPr>
                    <w:pStyle w:val="52"/>
                    <w:spacing w:line="300" w:lineRule="exact"/>
                  </w:pPr>
                  <w:r>
                    <w:rPr>
                      <w:rFonts w:hint="eastAsia"/>
                    </w:rPr>
                    <w:t>44.44</w:t>
                  </w:r>
                </w:p>
              </w:tc>
              <w:tc>
                <w:tcPr>
                  <w:tcW w:w="923" w:type="dxa"/>
                  <w:vAlign w:val="center"/>
                </w:tcPr>
                <w:p w14:paraId="3148F1D3">
                  <w:pPr>
                    <w:pStyle w:val="52"/>
                    <w:spacing w:line="300" w:lineRule="exact"/>
                  </w:pPr>
                  <w:r>
                    <w:rPr>
                      <w:rFonts w:hint="eastAsia"/>
                    </w:rPr>
                    <w:t>9</w:t>
                  </w:r>
                </w:p>
              </w:tc>
              <w:tc>
                <w:tcPr>
                  <w:tcW w:w="923" w:type="dxa"/>
                  <w:vAlign w:val="center"/>
                </w:tcPr>
                <w:p w14:paraId="567200B2">
                  <w:pPr>
                    <w:pStyle w:val="52"/>
                    <w:spacing w:line="300" w:lineRule="exact"/>
                  </w:pPr>
                  <w:r>
                    <w:rPr>
                      <w:rFonts w:hint="eastAsia"/>
                    </w:rPr>
                    <w:t>85</w:t>
                  </w:r>
                </w:p>
              </w:tc>
              <w:tc>
                <w:tcPr>
                  <w:tcW w:w="1553" w:type="dxa"/>
                  <w:vMerge w:val="restart"/>
                  <w:vAlign w:val="center"/>
                </w:tcPr>
                <w:p w14:paraId="6E918CB8">
                  <w:pPr>
                    <w:pStyle w:val="52"/>
                    <w:spacing w:line="300" w:lineRule="exact"/>
                  </w:pPr>
                  <w:r>
                    <w:rPr>
                      <w:rFonts w:hint="eastAsia"/>
                    </w:rPr>
                    <w:t>选用低噪设备，基础减振，风管柔性连接</w:t>
                  </w:r>
                </w:p>
              </w:tc>
              <w:tc>
                <w:tcPr>
                  <w:tcW w:w="923" w:type="dxa"/>
                  <w:vAlign w:val="center"/>
                </w:tcPr>
                <w:p w14:paraId="60D069CD">
                  <w:pPr>
                    <w:pStyle w:val="52"/>
                    <w:spacing w:line="300" w:lineRule="exact"/>
                  </w:pPr>
                  <w:r>
                    <w:rPr>
                      <w:rFonts w:hint="eastAsia"/>
                    </w:rPr>
                    <w:t>昼间</w:t>
                  </w:r>
                </w:p>
              </w:tc>
            </w:tr>
            <w:tr w14:paraId="2FDD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83" w:type="dxa"/>
                  <w:vAlign w:val="center"/>
                </w:tcPr>
                <w:p w14:paraId="2A2D84D2">
                  <w:pPr>
                    <w:pStyle w:val="52"/>
                    <w:spacing w:line="300" w:lineRule="exact"/>
                  </w:pPr>
                  <w:r>
                    <w:rPr>
                      <w:rFonts w:hint="eastAsia"/>
                    </w:rPr>
                    <w:t>2</w:t>
                  </w:r>
                </w:p>
              </w:tc>
              <w:tc>
                <w:tcPr>
                  <w:tcW w:w="922" w:type="dxa"/>
                  <w:vAlign w:val="center"/>
                </w:tcPr>
                <w:p w14:paraId="2F4D4288">
                  <w:pPr>
                    <w:pStyle w:val="52"/>
                    <w:spacing w:line="300" w:lineRule="exact"/>
                  </w:pPr>
                  <w:r>
                    <w:rPr>
                      <w:rFonts w:hint="eastAsia"/>
                    </w:rPr>
                    <w:t>粉煤灰仓除尘风机</w:t>
                  </w:r>
                </w:p>
              </w:tc>
              <w:tc>
                <w:tcPr>
                  <w:tcW w:w="637" w:type="dxa"/>
                  <w:vAlign w:val="center"/>
                </w:tcPr>
                <w:p w14:paraId="41FE37DE">
                  <w:pPr>
                    <w:pStyle w:val="52"/>
                    <w:spacing w:line="300" w:lineRule="exact"/>
                  </w:pPr>
                  <w:r>
                    <w:rPr>
                      <w:rFonts w:hint="eastAsia"/>
                    </w:rPr>
                    <w:t>/</w:t>
                  </w:r>
                </w:p>
              </w:tc>
              <w:tc>
                <w:tcPr>
                  <w:tcW w:w="923" w:type="dxa"/>
                  <w:vAlign w:val="center"/>
                </w:tcPr>
                <w:p w14:paraId="50B21F08">
                  <w:pPr>
                    <w:pStyle w:val="52"/>
                    <w:spacing w:line="300" w:lineRule="exact"/>
                  </w:pPr>
                  <w:r>
                    <w:rPr>
                      <w:rFonts w:hint="eastAsia"/>
                    </w:rPr>
                    <w:t>57.08</w:t>
                  </w:r>
                </w:p>
              </w:tc>
              <w:tc>
                <w:tcPr>
                  <w:tcW w:w="923" w:type="dxa"/>
                  <w:vAlign w:val="center"/>
                </w:tcPr>
                <w:p w14:paraId="5C5D5883">
                  <w:pPr>
                    <w:pStyle w:val="52"/>
                    <w:spacing w:line="300" w:lineRule="exact"/>
                  </w:pPr>
                  <w:r>
                    <w:rPr>
                      <w:rFonts w:hint="eastAsia"/>
                    </w:rPr>
                    <w:t>44.85</w:t>
                  </w:r>
                </w:p>
              </w:tc>
              <w:tc>
                <w:tcPr>
                  <w:tcW w:w="923" w:type="dxa"/>
                  <w:vAlign w:val="center"/>
                </w:tcPr>
                <w:p w14:paraId="041974EE">
                  <w:pPr>
                    <w:pStyle w:val="52"/>
                    <w:spacing w:line="300" w:lineRule="exact"/>
                  </w:pPr>
                  <w:r>
                    <w:rPr>
                      <w:rFonts w:hint="eastAsia"/>
                    </w:rPr>
                    <w:t>9</w:t>
                  </w:r>
                </w:p>
              </w:tc>
              <w:tc>
                <w:tcPr>
                  <w:tcW w:w="923" w:type="dxa"/>
                  <w:vAlign w:val="center"/>
                </w:tcPr>
                <w:p w14:paraId="5FA7920B">
                  <w:pPr>
                    <w:pStyle w:val="52"/>
                    <w:spacing w:line="300" w:lineRule="exact"/>
                  </w:pPr>
                  <w:r>
                    <w:rPr>
                      <w:rFonts w:hint="eastAsia"/>
                    </w:rPr>
                    <w:t>85</w:t>
                  </w:r>
                </w:p>
              </w:tc>
              <w:tc>
                <w:tcPr>
                  <w:tcW w:w="1553" w:type="dxa"/>
                  <w:vMerge w:val="continue"/>
                  <w:vAlign w:val="center"/>
                </w:tcPr>
                <w:p w14:paraId="3A9AAA0E">
                  <w:pPr>
                    <w:pStyle w:val="52"/>
                    <w:spacing w:line="300" w:lineRule="exact"/>
                  </w:pPr>
                </w:p>
              </w:tc>
              <w:tc>
                <w:tcPr>
                  <w:tcW w:w="923" w:type="dxa"/>
                  <w:vAlign w:val="center"/>
                </w:tcPr>
                <w:p w14:paraId="5A7AB0CD">
                  <w:pPr>
                    <w:pStyle w:val="52"/>
                    <w:spacing w:line="300" w:lineRule="exact"/>
                  </w:pPr>
                  <w:r>
                    <w:rPr>
                      <w:rFonts w:hint="eastAsia"/>
                    </w:rPr>
                    <w:t>昼间</w:t>
                  </w:r>
                </w:p>
              </w:tc>
            </w:tr>
          </w:tbl>
          <w:p w14:paraId="6471D3F8">
            <w:pPr>
              <w:pStyle w:val="77"/>
              <w:rPr>
                <w:rFonts w:hint="eastAsia"/>
                <w:sz w:val="24"/>
                <w:szCs w:val="24"/>
              </w:rPr>
            </w:pPr>
            <w:r>
              <w:rPr>
                <w:rFonts w:hint="eastAsia"/>
                <w:sz w:val="24"/>
                <w:szCs w:val="24"/>
              </w:rPr>
              <w:t>2.环境影响分析</w:t>
            </w:r>
          </w:p>
          <w:p w14:paraId="7DDDB113">
            <w:pPr>
              <w:pStyle w:val="72"/>
              <w:spacing w:line="400" w:lineRule="exact"/>
              <w:ind w:firstLine="480"/>
              <w:rPr>
                <w:sz w:val="24"/>
                <w:szCs w:val="22"/>
              </w:rPr>
            </w:pPr>
            <w:r>
              <w:rPr>
                <w:rFonts w:hint="eastAsia"/>
                <w:sz w:val="24"/>
                <w:szCs w:val="22"/>
              </w:rPr>
              <w:t>（1）预测模式</w:t>
            </w:r>
          </w:p>
          <w:p w14:paraId="3CDF19E4">
            <w:pPr>
              <w:pStyle w:val="72"/>
              <w:spacing w:line="400" w:lineRule="exact"/>
              <w:ind w:firstLine="480"/>
              <w:rPr>
                <w:sz w:val="24"/>
                <w:szCs w:val="22"/>
              </w:rPr>
            </w:pPr>
            <w:r>
              <w:rPr>
                <w:sz w:val="24"/>
                <w:szCs w:val="22"/>
              </w:rPr>
              <w:t>建设项目声源在预测点的等效声级贡献值计算公式：</w:t>
            </w:r>
          </w:p>
          <w:p w14:paraId="55F1208F">
            <w:pPr>
              <w:pStyle w:val="52"/>
            </w:pPr>
            <w:r>
              <w:drawing>
                <wp:inline distT="0" distB="0" distL="0" distR="0">
                  <wp:extent cx="2035810" cy="571500"/>
                  <wp:effectExtent l="0" t="0" r="2540" b="0"/>
                  <wp:docPr id="12507112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11254" name="图片 1"/>
                          <pic:cNvPicPr>
                            <a:picLocks noChangeAspect="1"/>
                          </pic:cNvPicPr>
                        </pic:nvPicPr>
                        <pic:blipFill>
                          <a:blip r:embed="rId20"/>
                          <a:stretch>
                            <a:fillRect/>
                          </a:stretch>
                        </pic:blipFill>
                        <pic:spPr>
                          <a:xfrm>
                            <a:off x="0" y="0"/>
                            <a:ext cx="2077600" cy="583187"/>
                          </a:xfrm>
                          <a:prstGeom prst="rect">
                            <a:avLst/>
                          </a:prstGeom>
                        </pic:spPr>
                      </pic:pic>
                    </a:graphicData>
                  </a:graphic>
                </wp:inline>
              </w:drawing>
            </w:r>
          </w:p>
          <w:p w14:paraId="1E7AFAE6">
            <w:pPr>
              <w:pStyle w:val="72"/>
              <w:spacing w:line="400" w:lineRule="exact"/>
              <w:ind w:firstLine="480"/>
              <w:rPr>
                <w:sz w:val="24"/>
                <w:szCs w:val="22"/>
              </w:rPr>
            </w:pPr>
            <w:r>
              <w:rPr>
                <w:sz w:val="24"/>
                <w:szCs w:val="22"/>
              </w:rPr>
              <w:t>式中：</w:t>
            </w:r>
            <w:r>
              <w:rPr>
                <w:rStyle w:val="75"/>
                <w:sz w:val="24"/>
                <w:szCs w:val="24"/>
              </w:rPr>
              <w:drawing>
                <wp:inline distT="0" distB="0" distL="0" distR="0">
                  <wp:extent cx="295275" cy="266700"/>
                  <wp:effectExtent l="0" t="0" r="9525" b="0"/>
                  <wp:docPr id="31" name="图片 31" descr="C:\Users\ADMINI~1\AppData\Local\Temp\ksohtml3808\wps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ADMINI~1\AppData\Local\Temp\ksohtml3808\wps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95275" cy="266700"/>
                          </a:xfrm>
                          <a:prstGeom prst="rect">
                            <a:avLst/>
                          </a:prstGeom>
                          <a:noFill/>
                          <a:ln>
                            <a:noFill/>
                          </a:ln>
                        </pic:spPr>
                      </pic:pic>
                    </a:graphicData>
                  </a:graphic>
                </wp:inline>
              </w:drawing>
            </w:r>
            <w:r>
              <w:rPr>
                <w:sz w:val="24"/>
                <w:szCs w:val="22"/>
              </w:rPr>
              <w:t>——</w:t>
            </w:r>
            <w:r>
              <w:rPr>
                <w:rFonts w:hint="eastAsia"/>
                <w:sz w:val="24"/>
                <w:szCs w:val="22"/>
              </w:rPr>
              <w:t>噪声贡献值</w:t>
            </w:r>
            <w:r>
              <w:rPr>
                <w:sz w:val="24"/>
                <w:szCs w:val="22"/>
              </w:rPr>
              <w:t>，dB；</w:t>
            </w:r>
          </w:p>
          <w:p w14:paraId="6EF80113">
            <w:pPr>
              <w:pStyle w:val="72"/>
              <w:spacing w:line="400" w:lineRule="exact"/>
              <w:ind w:firstLine="1440" w:firstLineChars="600"/>
              <w:rPr>
                <w:sz w:val="24"/>
                <w:szCs w:val="22"/>
              </w:rPr>
            </w:pPr>
            <w:r>
              <w:rPr>
                <w:rFonts w:hint="eastAsia"/>
                <w:sz w:val="24"/>
                <w:szCs w:val="22"/>
              </w:rPr>
              <w:t>T</w:t>
            </w:r>
            <w:r>
              <w:rPr>
                <w:sz w:val="24"/>
                <w:szCs w:val="22"/>
              </w:rPr>
              <w:t>——</w:t>
            </w:r>
            <w:r>
              <w:rPr>
                <w:rFonts w:hint="eastAsia"/>
                <w:sz w:val="24"/>
                <w:szCs w:val="22"/>
              </w:rPr>
              <w:t>预测计算的时间段，s；</w:t>
            </w:r>
          </w:p>
          <w:p w14:paraId="3B4E2698">
            <w:pPr>
              <w:pStyle w:val="72"/>
              <w:spacing w:line="400" w:lineRule="exact"/>
              <w:ind w:firstLine="1440" w:firstLineChars="600"/>
              <w:rPr>
                <w:sz w:val="24"/>
                <w:szCs w:val="22"/>
              </w:rPr>
            </w:pPr>
            <w:r>
              <w:rPr>
                <w:sz w:val="24"/>
                <w:szCs w:val="22"/>
              </w:rPr>
              <w:t>ti——</w:t>
            </w:r>
            <w:r>
              <w:rPr>
                <w:rFonts w:hint="eastAsia"/>
                <w:sz w:val="24"/>
                <w:szCs w:val="22"/>
              </w:rPr>
              <w:t>i声源在T时段内运行时间，s；</w:t>
            </w:r>
          </w:p>
          <w:p w14:paraId="402B7640">
            <w:pPr>
              <w:pStyle w:val="72"/>
              <w:spacing w:line="400" w:lineRule="exact"/>
              <w:ind w:firstLine="1440" w:firstLineChars="600"/>
              <w:rPr>
                <w:sz w:val="24"/>
                <w:szCs w:val="22"/>
              </w:rPr>
            </w:pPr>
            <w:r>
              <w:rPr>
                <w:rFonts w:hint="eastAsia"/>
                <w:sz w:val="24"/>
                <w:szCs w:val="22"/>
              </w:rPr>
              <w:t>L</w:t>
            </w:r>
            <w:r>
              <w:rPr>
                <w:rFonts w:hint="eastAsia"/>
                <w:sz w:val="24"/>
                <w:szCs w:val="22"/>
                <w:vertAlign w:val="subscript"/>
              </w:rPr>
              <w:t>Ai</w:t>
            </w:r>
            <w:r>
              <w:rPr>
                <w:sz w:val="24"/>
                <w:szCs w:val="22"/>
              </w:rPr>
              <w:t>——</w:t>
            </w:r>
            <w:r>
              <w:rPr>
                <w:rFonts w:hint="eastAsia"/>
                <w:sz w:val="24"/>
                <w:szCs w:val="22"/>
              </w:rPr>
              <w:t>i声源在预测点产生的等效连续A声级，dB；</w:t>
            </w:r>
          </w:p>
          <w:p w14:paraId="5E6457B4">
            <w:pPr>
              <w:pStyle w:val="72"/>
              <w:spacing w:line="400" w:lineRule="exact"/>
              <w:ind w:firstLine="480"/>
              <w:rPr>
                <w:sz w:val="24"/>
                <w:szCs w:val="22"/>
              </w:rPr>
            </w:pPr>
            <w:r>
              <w:rPr>
                <w:rFonts w:hint="eastAsia"/>
                <w:sz w:val="24"/>
                <w:szCs w:val="22"/>
              </w:rPr>
              <w:t>（2）预测结果</w:t>
            </w:r>
          </w:p>
          <w:p w14:paraId="4A858828">
            <w:pPr>
              <w:pStyle w:val="72"/>
              <w:spacing w:line="400" w:lineRule="exact"/>
              <w:ind w:firstLine="480"/>
              <w:rPr>
                <w:sz w:val="24"/>
                <w:szCs w:val="22"/>
              </w:rPr>
            </w:pPr>
            <w:r>
              <w:rPr>
                <w:rFonts w:hint="eastAsia"/>
                <w:sz w:val="24"/>
                <w:szCs w:val="22"/>
              </w:rPr>
              <w:t>本项目为新建项目，与鑫海通石料加工企业位于同一厂界范围内，本次评价以全厂边界为厂界进行预测评价，该企业现已停产多年，厂区范围内无其他现状声源，因此本次评价采用本项目噪声源的贡献值作为评价量。</w:t>
            </w:r>
            <w:r>
              <w:rPr>
                <w:sz w:val="24"/>
                <w:szCs w:val="22"/>
              </w:rPr>
              <w:t>本项目</w:t>
            </w:r>
            <w:r>
              <w:rPr>
                <w:rFonts w:hint="eastAsia"/>
                <w:sz w:val="24"/>
                <w:szCs w:val="22"/>
              </w:rPr>
              <w:t>各声源采取措施后，正常工况下噪声</w:t>
            </w:r>
            <w:r>
              <w:rPr>
                <w:sz w:val="24"/>
                <w:szCs w:val="22"/>
              </w:rPr>
              <w:t>预测结果</w:t>
            </w:r>
            <w:r>
              <w:rPr>
                <w:rFonts w:hint="eastAsia"/>
                <w:sz w:val="24"/>
                <w:szCs w:val="22"/>
              </w:rPr>
              <w:t>见下表</w:t>
            </w:r>
            <w:r>
              <w:rPr>
                <w:sz w:val="24"/>
                <w:szCs w:val="22"/>
              </w:rPr>
              <w:t>。</w:t>
            </w:r>
          </w:p>
          <w:p w14:paraId="7FC5325B">
            <w:pPr>
              <w:pStyle w:val="45"/>
              <w:rPr>
                <w:rFonts w:ascii="Times New Roman" w:hAnsi="Times New Roman"/>
                <w:sz w:val="24"/>
                <w:szCs w:val="24"/>
              </w:rPr>
            </w:pPr>
            <w:r>
              <w:rPr>
                <w:rFonts w:hint="eastAsia" w:ascii="Times New Roman" w:hAnsi="Times New Roman"/>
                <w:sz w:val="24"/>
                <w:szCs w:val="24"/>
              </w:rPr>
              <w:t xml:space="preserve">表4-9  噪声预测评价结果 </w:t>
            </w:r>
            <w:r>
              <w:rPr>
                <w:rFonts w:ascii="Times New Roman" w:hAnsi="Times New Roman"/>
                <w:sz w:val="24"/>
                <w:szCs w:val="24"/>
              </w:rPr>
              <w:t xml:space="preserve"> </w:t>
            </w:r>
            <w:r>
              <w:rPr>
                <w:rFonts w:hint="eastAsia" w:ascii="Times New Roman" w:hAnsi="Times New Roman"/>
                <w:sz w:val="24"/>
                <w:szCs w:val="24"/>
              </w:rPr>
              <w:t>单位：dB（A）</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3"/>
              <w:gridCol w:w="1700"/>
              <w:gridCol w:w="2057"/>
              <w:gridCol w:w="1700"/>
              <w:gridCol w:w="1704"/>
            </w:tblGrid>
            <w:tr w14:paraId="08E2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724" w:type="pct"/>
                  <w:gridSpan w:val="2"/>
                  <w:vAlign w:val="center"/>
                </w:tcPr>
                <w:p w14:paraId="4B29C65E">
                  <w:pPr>
                    <w:tabs>
                      <w:tab w:val="left" w:pos="0"/>
                    </w:tabs>
                    <w:adjustRightInd w:val="0"/>
                    <w:snapToGrid w:val="0"/>
                    <w:jc w:val="center"/>
                    <w:rPr>
                      <w:szCs w:val="21"/>
                    </w:rPr>
                  </w:pPr>
                  <w:r>
                    <w:rPr>
                      <w:szCs w:val="21"/>
                    </w:rPr>
                    <w:t>测点信息</w:t>
                  </w:r>
                </w:p>
              </w:tc>
              <w:tc>
                <w:tcPr>
                  <w:tcW w:w="3276" w:type="pct"/>
                  <w:gridSpan w:val="3"/>
                  <w:vAlign w:val="center"/>
                </w:tcPr>
                <w:p w14:paraId="1CABE0FD">
                  <w:pPr>
                    <w:tabs>
                      <w:tab w:val="left" w:pos="0"/>
                    </w:tabs>
                    <w:adjustRightInd w:val="0"/>
                    <w:snapToGrid w:val="0"/>
                    <w:jc w:val="center"/>
                    <w:rPr>
                      <w:szCs w:val="21"/>
                    </w:rPr>
                  </w:pPr>
                  <w:r>
                    <w:rPr>
                      <w:rFonts w:hint="eastAsia"/>
                      <w:szCs w:val="21"/>
                    </w:rPr>
                    <w:t>昼间</w:t>
                  </w:r>
                </w:p>
              </w:tc>
            </w:tr>
            <w:tr w14:paraId="7EEF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4" w:type="pct"/>
                  <w:vAlign w:val="center"/>
                </w:tcPr>
                <w:p w14:paraId="076D2D26">
                  <w:pPr>
                    <w:tabs>
                      <w:tab w:val="left" w:pos="0"/>
                    </w:tabs>
                    <w:adjustRightInd w:val="0"/>
                    <w:snapToGrid w:val="0"/>
                    <w:jc w:val="center"/>
                    <w:rPr>
                      <w:szCs w:val="21"/>
                    </w:rPr>
                  </w:pPr>
                  <w:r>
                    <w:rPr>
                      <w:szCs w:val="21"/>
                    </w:rPr>
                    <w:t>序号</w:t>
                  </w:r>
                </w:p>
              </w:tc>
              <w:tc>
                <w:tcPr>
                  <w:tcW w:w="1020" w:type="pct"/>
                  <w:vAlign w:val="center"/>
                </w:tcPr>
                <w:p w14:paraId="0269C1A8">
                  <w:pPr>
                    <w:tabs>
                      <w:tab w:val="left" w:pos="0"/>
                    </w:tabs>
                    <w:adjustRightInd w:val="0"/>
                    <w:snapToGrid w:val="0"/>
                    <w:jc w:val="center"/>
                    <w:rPr>
                      <w:szCs w:val="21"/>
                    </w:rPr>
                  </w:pPr>
                  <w:r>
                    <w:rPr>
                      <w:szCs w:val="21"/>
                    </w:rPr>
                    <w:t>测点名称</w:t>
                  </w:r>
                </w:p>
              </w:tc>
              <w:tc>
                <w:tcPr>
                  <w:tcW w:w="1234" w:type="pct"/>
                  <w:vAlign w:val="center"/>
                </w:tcPr>
                <w:p w14:paraId="2E36FC03">
                  <w:pPr>
                    <w:tabs>
                      <w:tab w:val="left" w:pos="0"/>
                    </w:tabs>
                    <w:adjustRightInd w:val="0"/>
                    <w:snapToGrid w:val="0"/>
                    <w:jc w:val="center"/>
                    <w:rPr>
                      <w:szCs w:val="21"/>
                    </w:rPr>
                  </w:pPr>
                  <w:r>
                    <w:rPr>
                      <w:szCs w:val="21"/>
                    </w:rPr>
                    <w:t>贡献值</w:t>
                  </w:r>
                </w:p>
              </w:tc>
              <w:tc>
                <w:tcPr>
                  <w:tcW w:w="1020" w:type="pct"/>
                  <w:vAlign w:val="center"/>
                </w:tcPr>
                <w:p w14:paraId="0E6EB87E">
                  <w:pPr>
                    <w:tabs>
                      <w:tab w:val="left" w:pos="0"/>
                    </w:tabs>
                    <w:adjustRightInd w:val="0"/>
                    <w:snapToGrid w:val="0"/>
                    <w:jc w:val="center"/>
                    <w:rPr>
                      <w:szCs w:val="21"/>
                    </w:rPr>
                  </w:pPr>
                  <w:r>
                    <w:rPr>
                      <w:rFonts w:hint="eastAsia"/>
                      <w:szCs w:val="21"/>
                    </w:rPr>
                    <w:t>标准值</w:t>
                  </w:r>
                </w:p>
              </w:tc>
              <w:tc>
                <w:tcPr>
                  <w:tcW w:w="1022" w:type="pct"/>
                  <w:vAlign w:val="center"/>
                </w:tcPr>
                <w:p w14:paraId="48A86322">
                  <w:pPr>
                    <w:tabs>
                      <w:tab w:val="left" w:pos="0"/>
                    </w:tabs>
                    <w:adjustRightInd w:val="0"/>
                    <w:snapToGrid w:val="0"/>
                    <w:jc w:val="center"/>
                    <w:rPr>
                      <w:szCs w:val="21"/>
                    </w:rPr>
                  </w:pPr>
                  <w:r>
                    <w:rPr>
                      <w:rFonts w:hint="eastAsia"/>
                      <w:szCs w:val="21"/>
                    </w:rPr>
                    <w:t>达标情况</w:t>
                  </w:r>
                </w:p>
              </w:tc>
            </w:tr>
            <w:tr w14:paraId="21784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4" w:type="pct"/>
                  <w:vAlign w:val="center"/>
                </w:tcPr>
                <w:p w14:paraId="5658BCE2">
                  <w:pPr>
                    <w:tabs>
                      <w:tab w:val="left" w:pos="0"/>
                    </w:tabs>
                    <w:adjustRightInd w:val="0"/>
                    <w:snapToGrid w:val="0"/>
                    <w:jc w:val="center"/>
                    <w:rPr>
                      <w:szCs w:val="21"/>
                    </w:rPr>
                  </w:pPr>
                  <w:r>
                    <w:rPr>
                      <w:rFonts w:hint="eastAsia"/>
                      <w:szCs w:val="21"/>
                    </w:rPr>
                    <w:t>1#</w:t>
                  </w:r>
                </w:p>
              </w:tc>
              <w:tc>
                <w:tcPr>
                  <w:tcW w:w="1020" w:type="pct"/>
                  <w:vAlign w:val="center"/>
                </w:tcPr>
                <w:p w14:paraId="255312A1">
                  <w:pPr>
                    <w:tabs>
                      <w:tab w:val="left" w:pos="0"/>
                    </w:tabs>
                    <w:adjustRightInd w:val="0"/>
                    <w:snapToGrid w:val="0"/>
                    <w:jc w:val="center"/>
                    <w:rPr>
                      <w:szCs w:val="21"/>
                    </w:rPr>
                  </w:pPr>
                  <w:r>
                    <w:rPr>
                      <w:rFonts w:hint="eastAsia"/>
                    </w:rPr>
                    <w:t>东厂界</w:t>
                  </w:r>
                </w:p>
              </w:tc>
              <w:tc>
                <w:tcPr>
                  <w:tcW w:w="1234" w:type="pct"/>
                  <w:vAlign w:val="center"/>
                </w:tcPr>
                <w:p w14:paraId="7EFE6CDF">
                  <w:pPr>
                    <w:tabs>
                      <w:tab w:val="left" w:pos="0"/>
                    </w:tabs>
                    <w:adjustRightInd w:val="0"/>
                    <w:snapToGrid w:val="0"/>
                    <w:jc w:val="center"/>
                    <w:rPr>
                      <w:szCs w:val="21"/>
                    </w:rPr>
                  </w:pPr>
                  <w:r>
                    <w:rPr>
                      <w:rFonts w:hint="eastAsia"/>
                      <w:szCs w:val="21"/>
                    </w:rPr>
                    <w:t>29.37</w:t>
                  </w:r>
                </w:p>
              </w:tc>
              <w:tc>
                <w:tcPr>
                  <w:tcW w:w="1020" w:type="pct"/>
                  <w:vAlign w:val="center"/>
                </w:tcPr>
                <w:p w14:paraId="01A3A4AC">
                  <w:pPr>
                    <w:tabs>
                      <w:tab w:val="left" w:pos="0"/>
                    </w:tabs>
                    <w:adjustRightInd w:val="0"/>
                    <w:snapToGrid w:val="0"/>
                    <w:jc w:val="center"/>
                    <w:rPr>
                      <w:szCs w:val="21"/>
                    </w:rPr>
                  </w:pPr>
                  <w:r>
                    <w:rPr>
                      <w:rFonts w:hint="eastAsia"/>
                      <w:szCs w:val="21"/>
                    </w:rPr>
                    <w:t>6</w:t>
                  </w:r>
                  <w:r>
                    <w:rPr>
                      <w:szCs w:val="21"/>
                    </w:rPr>
                    <w:t>0</w:t>
                  </w:r>
                </w:p>
              </w:tc>
              <w:tc>
                <w:tcPr>
                  <w:tcW w:w="1022" w:type="pct"/>
                  <w:vAlign w:val="center"/>
                </w:tcPr>
                <w:p w14:paraId="7DF0FF1F">
                  <w:pPr>
                    <w:tabs>
                      <w:tab w:val="left" w:pos="0"/>
                    </w:tabs>
                    <w:adjustRightInd w:val="0"/>
                    <w:snapToGrid w:val="0"/>
                    <w:jc w:val="center"/>
                    <w:rPr>
                      <w:szCs w:val="21"/>
                    </w:rPr>
                  </w:pPr>
                  <w:r>
                    <w:rPr>
                      <w:rFonts w:hint="eastAsia"/>
                      <w:szCs w:val="21"/>
                    </w:rPr>
                    <w:t>达标</w:t>
                  </w:r>
                </w:p>
              </w:tc>
            </w:tr>
            <w:tr w14:paraId="726F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4" w:type="pct"/>
                  <w:vAlign w:val="center"/>
                </w:tcPr>
                <w:p w14:paraId="1D7B4636">
                  <w:pPr>
                    <w:tabs>
                      <w:tab w:val="left" w:pos="0"/>
                    </w:tabs>
                    <w:adjustRightInd w:val="0"/>
                    <w:snapToGrid w:val="0"/>
                    <w:jc w:val="center"/>
                    <w:rPr>
                      <w:szCs w:val="21"/>
                    </w:rPr>
                  </w:pPr>
                  <w:r>
                    <w:rPr>
                      <w:rFonts w:hint="eastAsia"/>
                      <w:szCs w:val="21"/>
                    </w:rPr>
                    <w:t>2#</w:t>
                  </w:r>
                </w:p>
              </w:tc>
              <w:tc>
                <w:tcPr>
                  <w:tcW w:w="1020" w:type="pct"/>
                  <w:vAlign w:val="center"/>
                </w:tcPr>
                <w:p w14:paraId="1D415558">
                  <w:pPr>
                    <w:tabs>
                      <w:tab w:val="left" w:pos="0"/>
                    </w:tabs>
                    <w:adjustRightInd w:val="0"/>
                    <w:snapToGrid w:val="0"/>
                    <w:jc w:val="center"/>
                    <w:rPr>
                      <w:szCs w:val="21"/>
                    </w:rPr>
                  </w:pPr>
                  <w:r>
                    <w:rPr>
                      <w:rFonts w:hint="eastAsia"/>
                    </w:rPr>
                    <w:t>南厂界</w:t>
                  </w:r>
                </w:p>
              </w:tc>
              <w:tc>
                <w:tcPr>
                  <w:tcW w:w="1234" w:type="pct"/>
                  <w:vAlign w:val="center"/>
                </w:tcPr>
                <w:p w14:paraId="6E73CEA2">
                  <w:pPr>
                    <w:tabs>
                      <w:tab w:val="left" w:pos="0"/>
                    </w:tabs>
                    <w:adjustRightInd w:val="0"/>
                    <w:snapToGrid w:val="0"/>
                    <w:jc w:val="center"/>
                    <w:rPr>
                      <w:szCs w:val="21"/>
                    </w:rPr>
                  </w:pPr>
                  <w:r>
                    <w:rPr>
                      <w:rFonts w:hint="eastAsia"/>
                      <w:szCs w:val="21"/>
                    </w:rPr>
                    <w:t>27.65</w:t>
                  </w:r>
                </w:p>
              </w:tc>
              <w:tc>
                <w:tcPr>
                  <w:tcW w:w="1020" w:type="pct"/>
                  <w:vAlign w:val="center"/>
                </w:tcPr>
                <w:p w14:paraId="6BCB097F">
                  <w:pPr>
                    <w:tabs>
                      <w:tab w:val="left" w:pos="0"/>
                    </w:tabs>
                    <w:adjustRightInd w:val="0"/>
                    <w:snapToGrid w:val="0"/>
                    <w:jc w:val="center"/>
                    <w:rPr>
                      <w:szCs w:val="21"/>
                    </w:rPr>
                  </w:pPr>
                  <w:r>
                    <w:rPr>
                      <w:rFonts w:hint="eastAsia"/>
                      <w:szCs w:val="21"/>
                    </w:rPr>
                    <w:t>6</w:t>
                  </w:r>
                  <w:r>
                    <w:rPr>
                      <w:szCs w:val="21"/>
                    </w:rPr>
                    <w:t>0</w:t>
                  </w:r>
                </w:p>
              </w:tc>
              <w:tc>
                <w:tcPr>
                  <w:tcW w:w="1022" w:type="pct"/>
                  <w:vAlign w:val="center"/>
                </w:tcPr>
                <w:p w14:paraId="673835A9">
                  <w:pPr>
                    <w:tabs>
                      <w:tab w:val="left" w:pos="0"/>
                    </w:tabs>
                    <w:adjustRightInd w:val="0"/>
                    <w:snapToGrid w:val="0"/>
                    <w:jc w:val="center"/>
                    <w:rPr>
                      <w:szCs w:val="21"/>
                    </w:rPr>
                  </w:pPr>
                  <w:r>
                    <w:rPr>
                      <w:rFonts w:hint="eastAsia"/>
                      <w:szCs w:val="21"/>
                    </w:rPr>
                    <w:t>达标</w:t>
                  </w:r>
                </w:p>
              </w:tc>
            </w:tr>
            <w:tr w14:paraId="2CE9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4" w:type="pct"/>
                  <w:vAlign w:val="center"/>
                </w:tcPr>
                <w:p w14:paraId="3A23AB9B">
                  <w:pPr>
                    <w:tabs>
                      <w:tab w:val="left" w:pos="0"/>
                    </w:tabs>
                    <w:adjustRightInd w:val="0"/>
                    <w:snapToGrid w:val="0"/>
                    <w:jc w:val="center"/>
                    <w:rPr>
                      <w:szCs w:val="21"/>
                    </w:rPr>
                  </w:pPr>
                  <w:r>
                    <w:rPr>
                      <w:rFonts w:hint="eastAsia"/>
                      <w:szCs w:val="21"/>
                    </w:rPr>
                    <w:t>3#</w:t>
                  </w:r>
                </w:p>
              </w:tc>
              <w:tc>
                <w:tcPr>
                  <w:tcW w:w="1020" w:type="pct"/>
                  <w:vAlign w:val="center"/>
                </w:tcPr>
                <w:p w14:paraId="057B2045">
                  <w:pPr>
                    <w:tabs>
                      <w:tab w:val="left" w:pos="0"/>
                    </w:tabs>
                    <w:adjustRightInd w:val="0"/>
                    <w:snapToGrid w:val="0"/>
                    <w:jc w:val="center"/>
                    <w:rPr>
                      <w:szCs w:val="21"/>
                    </w:rPr>
                  </w:pPr>
                  <w:r>
                    <w:rPr>
                      <w:rFonts w:hint="eastAsia"/>
                    </w:rPr>
                    <w:t>西厂界</w:t>
                  </w:r>
                </w:p>
              </w:tc>
              <w:tc>
                <w:tcPr>
                  <w:tcW w:w="1234" w:type="pct"/>
                  <w:vAlign w:val="center"/>
                </w:tcPr>
                <w:p w14:paraId="5F91AB11">
                  <w:pPr>
                    <w:tabs>
                      <w:tab w:val="left" w:pos="0"/>
                    </w:tabs>
                    <w:adjustRightInd w:val="0"/>
                    <w:snapToGrid w:val="0"/>
                    <w:jc w:val="center"/>
                    <w:rPr>
                      <w:szCs w:val="21"/>
                    </w:rPr>
                  </w:pPr>
                  <w:r>
                    <w:rPr>
                      <w:rFonts w:hint="eastAsia"/>
                      <w:szCs w:val="21"/>
                    </w:rPr>
                    <w:t>47.86</w:t>
                  </w:r>
                </w:p>
              </w:tc>
              <w:tc>
                <w:tcPr>
                  <w:tcW w:w="1020" w:type="pct"/>
                  <w:vAlign w:val="center"/>
                </w:tcPr>
                <w:p w14:paraId="725C8743">
                  <w:pPr>
                    <w:tabs>
                      <w:tab w:val="left" w:pos="0"/>
                    </w:tabs>
                    <w:adjustRightInd w:val="0"/>
                    <w:snapToGrid w:val="0"/>
                    <w:jc w:val="center"/>
                    <w:rPr>
                      <w:szCs w:val="21"/>
                    </w:rPr>
                  </w:pPr>
                  <w:r>
                    <w:rPr>
                      <w:rFonts w:hint="eastAsia"/>
                      <w:szCs w:val="21"/>
                    </w:rPr>
                    <w:t>6</w:t>
                  </w:r>
                  <w:r>
                    <w:rPr>
                      <w:szCs w:val="21"/>
                    </w:rPr>
                    <w:t>0</w:t>
                  </w:r>
                </w:p>
              </w:tc>
              <w:tc>
                <w:tcPr>
                  <w:tcW w:w="1022" w:type="pct"/>
                  <w:vAlign w:val="center"/>
                </w:tcPr>
                <w:p w14:paraId="62BDF83E">
                  <w:pPr>
                    <w:tabs>
                      <w:tab w:val="left" w:pos="0"/>
                    </w:tabs>
                    <w:adjustRightInd w:val="0"/>
                    <w:snapToGrid w:val="0"/>
                    <w:jc w:val="center"/>
                    <w:rPr>
                      <w:szCs w:val="21"/>
                    </w:rPr>
                  </w:pPr>
                  <w:r>
                    <w:rPr>
                      <w:rFonts w:hint="eastAsia"/>
                      <w:szCs w:val="21"/>
                    </w:rPr>
                    <w:t>达标</w:t>
                  </w:r>
                </w:p>
              </w:tc>
            </w:tr>
            <w:tr w14:paraId="0175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4" w:type="pct"/>
                  <w:vAlign w:val="center"/>
                </w:tcPr>
                <w:p w14:paraId="0F245AC4">
                  <w:pPr>
                    <w:tabs>
                      <w:tab w:val="left" w:pos="0"/>
                    </w:tabs>
                    <w:adjustRightInd w:val="0"/>
                    <w:snapToGrid w:val="0"/>
                    <w:jc w:val="center"/>
                    <w:rPr>
                      <w:szCs w:val="21"/>
                    </w:rPr>
                  </w:pPr>
                  <w:r>
                    <w:rPr>
                      <w:rFonts w:hint="eastAsia"/>
                      <w:szCs w:val="21"/>
                    </w:rPr>
                    <w:t>4#</w:t>
                  </w:r>
                </w:p>
              </w:tc>
              <w:tc>
                <w:tcPr>
                  <w:tcW w:w="1020" w:type="pct"/>
                  <w:vAlign w:val="center"/>
                </w:tcPr>
                <w:p w14:paraId="00BAC00A">
                  <w:pPr>
                    <w:tabs>
                      <w:tab w:val="left" w:pos="0"/>
                    </w:tabs>
                    <w:adjustRightInd w:val="0"/>
                    <w:snapToGrid w:val="0"/>
                    <w:jc w:val="center"/>
                    <w:rPr>
                      <w:szCs w:val="21"/>
                    </w:rPr>
                  </w:pPr>
                  <w:r>
                    <w:rPr>
                      <w:rFonts w:hint="eastAsia"/>
                    </w:rPr>
                    <w:t>北厂界</w:t>
                  </w:r>
                </w:p>
              </w:tc>
              <w:tc>
                <w:tcPr>
                  <w:tcW w:w="1234" w:type="pct"/>
                  <w:vAlign w:val="center"/>
                </w:tcPr>
                <w:p w14:paraId="1765E0E7">
                  <w:pPr>
                    <w:tabs>
                      <w:tab w:val="left" w:pos="0"/>
                    </w:tabs>
                    <w:adjustRightInd w:val="0"/>
                    <w:snapToGrid w:val="0"/>
                    <w:jc w:val="center"/>
                    <w:rPr>
                      <w:szCs w:val="21"/>
                    </w:rPr>
                  </w:pPr>
                  <w:r>
                    <w:rPr>
                      <w:rFonts w:hint="eastAsia"/>
                      <w:szCs w:val="21"/>
                    </w:rPr>
                    <w:t>49.68</w:t>
                  </w:r>
                </w:p>
              </w:tc>
              <w:tc>
                <w:tcPr>
                  <w:tcW w:w="1020" w:type="pct"/>
                  <w:vAlign w:val="center"/>
                </w:tcPr>
                <w:p w14:paraId="3A71CA46">
                  <w:pPr>
                    <w:tabs>
                      <w:tab w:val="left" w:pos="0"/>
                    </w:tabs>
                    <w:adjustRightInd w:val="0"/>
                    <w:snapToGrid w:val="0"/>
                    <w:jc w:val="center"/>
                    <w:rPr>
                      <w:szCs w:val="21"/>
                    </w:rPr>
                  </w:pPr>
                  <w:r>
                    <w:rPr>
                      <w:rFonts w:hint="eastAsia"/>
                      <w:szCs w:val="21"/>
                    </w:rPr>
                    <w:t>6</w:t>
                  </w:r>
                  <w:r>
                    <w:rPr>
                      <w:szCs w:val="21"/>
                    </w:rPr>
                    <w:t>0</w:t>
                  </w:r>
                </w:p>
              </w:tc>
              <w:tc>
                <w:tcPr>
                  <w:tcW w:w="1022" w:type="pct"/>
                  <w:vAlign w:val="center"/>
                </w:tcPr>
                <w:p w14:paraId="3A69A1EE">
                  <w:pPr>
                    <w:tabs>
                      <w:tab w:val="left" w:pos="0"/>
                    </w:tabs>
                    <w:adjustRightInd w:val="0"/>
                    <w:snapToGrid w:val="0"/>
                    <w:jc w:val="center"/>
                    <w:rPr>
                      <w:szCs w:val="21"/>
                    </w:rPr>
                  </w:pPr>
                  <w:r>
                    <w:rPr>
                      <w:rFonts w:hint="eastAsia"/>
                      <w:szCs w:val="21"/>
                    </w:rPr>
                    <w:t>达标</w:t>
                  </w:r>
                </w:p>
              </w:tc>
            </w:tr>
          </w:tbl>
          <w:p w14:paraId="256AAC2D">
            <w:pPr>
              <w:pStyle w:val="72"/>
              <w:spacing w:line="400" w:lineRule="exact"/>
              <w:ind w:firstLine="480"/>
              <w:rPr>
                <w:sz w:val="24"/>
                <w:szCs w:val="22"/>
              </w:rPr>
            </w:pPr>
            <w:r>
              <w:rPr>
                <w:sz w:val="24"/>
                <w:szCs w:val="22"/>
              </w:rPr>
              <w:t>本</w:t>
            </w:r>
            <w:r>
              <w:rPr>
                <w:rFonts w:hint="eastAsia"/>
                <w:sz w:val="24"/>
                <w:szCs w:val="22"/>
              </w:rPr>
              <w:t>项目运营期噪声主要来源于设备运行噪声，经减噪措施、</w:t>
            </w:r>
            <w:r>
              <w:rPr>
                <w:sz w:val="24"/>
                <w:szCs w:val="22"/>
              </w:rPr>
              <w:t>厂房隔声、</w:t>
            </w:r>
            <w:r>
              <w:rPr>
                <w:rFonts w:hint="eastAsia"/>
                <w:sz w:val="24"/>
                <w:szCs w:val="22"/>
              </w:rPr>
              <w:t>距离衰减</w:t>
            </w:r>
            <w:r>
              <w:rPr>
                <w:sz w:val="24"/>
                <w:szCs w:val="22"/>
              </w:rPr>
              <w:t>等措施后，</w:t>
            </w:r>
            <w:r>
              <w:rPr>
                <w:rFonts w:hint="eastAsia"/>
                <w:sz w:val="24"/>
                <w:szCs w:val="22"/>
              </w:rPr>
              <w:t>厂界</w:t>
            </w:r>
            <w:r>
              <w:rPr>
                <w:sz w:val="24"/>
                <w:szCs w:val="22"/>
              </w:rPr>
              <w:t>噪声昼间贡献值在</w:t>
            </w:r>
            <w:r>
              <w:rPr>
                <w:rFonts w:hint="eastAsia"/>
                <w:sz w:val="24"/>
                <w:szCs w:val="22"/>
              </w:rPr>
              <w:t>27.65~49.68</w:t>
            </w:r>
            <w:r>
              <w:rPr>
                <w:sz w:val="24"/>
                <w:szCs w:val="22"/>
              </w:rPr>
              <w:t>dB（A）之间，</w:t>
            </w:r>
            <w:r>
              <w:rPr>
                <w:rFonts w:hint="eastAsia"/>
                <w:sz w:val="24"/>
                <w:szCs w:val="22"/>
              </w:rPr>
              <w:t>满足</w:t>
            </w:r>
            <w:r>
              <w:rPr>
                <w:sz w:val="24"/>
                <w:szCs w:val="22"/>
              </w:rPr>
              <w:t>《工业企业厂界环境噪声排放标准》（GB12348-2008）中2类标准限值要求。</w:t>
            </w:r>
          </w:p>
          <w:p w14:paraId="085BF5D8">
            <w:pPr>
              <w:pStyle w:val="72"/>
              <w:spacing w:line="400" w:lineRule="exact"/>
              <w:ind w:firstLine="480"/>
              <w:rPr>
                <w:sz w:val="24"/>
                <w:szCs w:val="22"/>
                <w:lang w:val="en-US"/>
              </w:rPr>
            </w:pPr>
            <w:r>
              <w:rPr>
                <w:rFonts w:hint="eastAsia"/>
                <w:sz w:val="24"/>
                <w:szCs w:val="22"/>
                <w:lang w:val="en-US"/>
              </w:rPr>
              <w:t>本项目周边50m范围内没有声环境保护目标分布，运行期间生产噪声对厂址周边区域影响较小。除此之外，为进一步减少运输对道路两侧的影响，环评建议定期检修车辆，提高并稳定车辆性能，降低车辆机械噪声；上路行驶车辆应实施限制车速，禁鸣等严格管理等措施；控制和调整施工时间，尽量不安排夜间运输。</w:t>
            </w:r>
          </w:p>
          <w:p w14:paraId="4AF326FD">
            <w:pPr>
              <w:pStyle w:val="77"/>
              <w:rPr>
                <w:rFonts w:hint="eastAsia"/>
                <w:sz w:val="24"/>
                <w:szCs w:val="24"/>
              </w:rPr>
            </w:pPr>
            <w:r>
              <w:rPr>
                <w:rFonts w:hint="eastAsia"/>
                <w:sz w:val="24"/>
                <w:szCs w:val="24"/>
              </w:rPr>
              <w:t>3.污染防治措施</w:t>
            </w:r>
          </w:p>
          <w:p w14:paraId="6D2B8CFD">
            <w:pPr>
              <w:pStyle w:val="72"/>
              <w:spacing w:line="400" w:lineRule="exact"/>
              <w:ind w:firstLine="480"/>
              <w:rPr>
                <w:sz w:val="24"/>
                <w:szCs w:val="22"/>
              </w:rPr>
            </w:pPr>
            <w:r>
              <w:rPr>
                <w:rFonts w:hint="eastAsia"/>
                <w:sz w:val="24"/>
                <w:szCs w:val="22"/>
              </w:rPr>
              <w:t>①设备选择：在满足生产工艺的前提下，优先选择低噪声设备或具有消音隔声装置的设备，从源头降低噪声；</w:t>
            </w:r>
          </w:p>
          <w:p w14:paraId="3ACCBC99">
            <w:pPr>
              <w:pStyle w:val="72"/>
              <w:spacing w:line="400" w:lineRule="exact"/>
              <w:ind w:firstLine="480"/>
              <w:rPr>
                <w:sz w:val="24"/>
                <w:szCs w:val="22"/>
              </w:rPr>
            </w:pPr>
            <w:r>
              <w:rPr>
                <w:rFonts w:hint="eastAsia"/>
                <w:sz w:val="24"/>
                <w:szCs w:val="22"/>
              </w:rPr>
              <w:t>②设备布局：综合考虑地形、声源方向性和噪声强弱等因素，充分利用厂内建筑物的隔声作用合理布置设备。</w:t>
            </w:r>
          </w:p>
          <w:p w14:paraId="5B6C08A1">
            <w:pPr>
              <w:pStyle w:val="72"/>
              <w:spacing w:line="400" w:lineRule="exact"/>
              <w:ind w:firstLine="480"/>
              <w:rPr>
                <w:sz w:val="24"/>
                <w:szCs w:val="22"/>
              </w:rPr>
            </w:pPr>
            <w:r>
              <w:rPr>
                <w:rFonts w:hint="eastAsia"/>
                <w:sz w:val="24"/>
                <w:szCs w:val="22"/>
              </w:rPr>
              <w:t>③设备安装：采取减振措施；风机进排气口安装消声器，基础设橡胶垫或弹簧减振器；墙壁、顶板中间设置吸声材料层；</w:t>
            </w:r>
          </w:p>
          <w:p w14:paraId="5A93FA87">
            <w:pPr>
              <w:pStyle w:val="72"/>
              <w:spacing w:line="400" w:lineRule="exact"/>
              <w:ind w:firstLine="480"/>
              <w:rPr>
                <w:sz w:val="24"/>
                <w:szCs w:val="22"/>
              </w:rPr>
            </w:pPr>
            <w:r>
              <w:rPr>
                <w:rFonts w:hint="eastAsia"/>
                <w:sz w:val="24"/>
                <w:szCs w:val="22"/>
              </w:rPr>
              <w:t>④设备维护：定期维护设备，确保设备处于良好的运行状态，杜绝因设备不正常运转产生高噪声的现象；</w:t>
            </w:r>
          </w:p>
          <w:p w14:paraId="79FEF869">
            <w:pPr>
              <w:pStyle w:val="72"/>
              <w:spacing w:line="400" w:lineRule="exact"/>
              <w:ind w:firstLine="480"/>
              <w:rPr>
                <w:sz w:val="24"/>
                <w:szCs w:val="22"/>
              </w:rPr>
            </w:pPr>
            <w:r>
              <w:rPr>
                <w:rFonts w:hint="eastAsia"/>
                <w:sz w:val="24"/>
                <w:szCs w:val="22"/>
              </w:rPr>
              <w:t>⑤重视绿化：尽可能加大厂区绿化面积，阻止噪声传播。</w:t>
            </w:r>
          </w:p>
          <w:p w14:paraId="458CDF83">
            <w:pPr>
              <w:pStyle w:val="77"/>
              <w:spacing w:line="440" w:lineRule="exact"/>
              <w:rPr>
                <w:rFonts w:hint="eastAsia"/>
                <w:sz w:val="24"/>
                <w:szCs w:val="24"/>
              </w:rPr>
            </w:pPr>
            <w:r>
              <w:rPr>
                <w:rFonts w:hint="eastAsia"/>
                <w:sz w:val="24"/>
                <w:szCs w:val="24"/>
              </w:rPr>
              <w:t xml:space="preserve">4.监测计划 </w:t>
            </w:r>
          </w:p>
          <w:p w14:paraId="486778BC">
            <w:pPr>
              <w:pStyle w:val="72"/>
              <w:spacing w:line="440" w:lineRule="exact"/>
              <w:ind w:firstLine="480"/>
              <w:rPr>
                <w:sz w:val="24"/>
                <w:szCs w:val="22"/>
              </w:rPr>
            </w:pPr>
            <w:r>
              <w:rPr>
                <w:rFonts w:hint="eastAsia"/>
                <w:sz w:val="24"/>
                <w:szCs w:val="22"/>
              </w:rPr>
              <w:t>根据《排污许可证申请与核发技术规范  工业噪声》（HJ1301-2023）表1，本项目厂界噪声监测计划见下表。</w:t>
            </w:r>
          </w:p>
          <w:p w14:paraId="448F9D76">
            <w:pPr>
              <w:pStyle w:val="45"/>
              <w:rPr>
                <w:rFonts w:ascii="Times New Roman" w:hAnsi="Times New Roman"/>
                <w:sz w:val="24"/>
                <w:szCs w:val="24"/>
              </w:rPr>
            </w:pPr>
            <w:r>
              <w:rPr>
                <w:rFonts w:hint="eastAsia" w:ascii="Times New Roman" w:hAnsi="Times New Roman"/>
                <w:sz w:val="24"/>
                <w:szCs w:val="24"/>
              </w:rPr>
              <w:t>表4-10  噪声监测计划</w:t>
            </w:r>
          </w:p>
          <w:tbl>
            <w:tblPr>
              <w:tblStyle w:val="20"/>
              <w:tblW w:w="83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2"/>
              <w:gridCol w:w="1134"/>
              <w:gridCol w:w="1559"/>
              <w:gridCol w:w="1276"/>
              <w:gridCol w:w="3191"/>
            </w:tblGrid>
            <w:tr w14:paraId="3510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2" w:type="dxa"/>
                  <w:vAlign w:val="center"/>
                </w:tcPr>
                <w:p w14:paraId="5498978D">
                  <w:pPr>
                    <w:pStyle w:val="52"/>
                    <w:spacing w:line="300" w:lineRule="exact"/>
                  </w:pPr>
                  <w:r>
                    <w:rPr>
                      <w:rFonts w:hint="eastAsia"/>
                    </w:rPr>
                    <w:t>监测项目</w:t>
                  </w:r>
                </w:p>
              </w:tc>
              <w:tc>
                <w:tcPr>
                  <w:tcW w:w="1134" w:type="dxa"/>
                  <w:vAlign w:val="center"/>
                </w:tcPr>
                <w:p w14:paraId="7CFAD456">
                  <w:pPr>
                    <w:pStyle w:val="52"/>
                    <w:spacing w:line="300" w:lineRule="exact"/>
                  </w:pPr>
                  <w:r>
                    <w:rPr>
                      <w:rFonts w:hint="eastAsia"/>
                    </w:rPr>
                    <w:t>监测因子</w:t>
                  </w:r>
                </w:p>
              </w:tc>
              <w:tc>
                <w:tcPr>
                  <w:tcW w:w="1559" w:type="dxa"/>
                  <w:vAlign w:val="center"/>
                </w:tcPr>
                <w:p w14:paraId="3DB0D876">
                  <w:pPr>
                    <w:pStyle w:val="52"/>
                    <w:spacing w:line="300" w:lineRule="exact"/>
                  </w:pPr>
                  <w:r>
                    <w:rPr>
                      <w:rFonts w:hint="eastAsia"/>
                    </w:rPr>
                    <w:t>监测位置</w:t>
                  </w:r>
                </w:p>
              </w:tc>
              <w:tc>
                <w:tcPr>
                  <w:tcW w:w="1276" w:type="dxa"/>
                  <w:vAlign w:val="center"/>
                </w:tcPr>
                <w:p w14:paraId="446CEC07">
                  <w:pPr>
                    <w:pStyle w:val="52"/>
                    <w:spacing w:line="300" w:lineRule="exact"/>
                  </w:pPr>
                  <w:r>
                    <w:rPr>
                      <w:rFonts w:hint="eastAsia"/>
                    </w:rPr>
                    <w:t>监测频率</w:t>
                  </w:r>
                </w:p>
              </w:tc>
              <w:tc>
                <w:tcPr>
                  <w:tcW w:w="3191" w:type="dxa"/>
                  <w:vAlign w:val="center"/>
                </w:tcPr>
                <w:p w14:paraId="21A7951F">
                  <w:pPr>
                    <w:pStyle w:val="52"/>
                    <w:spacing w:line="300" w:lineRule="exact"/>
                  </w:pPr>
                  <w:r>
                    <w:rPr>
                      <w:rFonts w:hint="eastAsia"/>
                    </w:rPr>
                    <w:t>执行标准</w:t>
                  </w:r>
                </w:p>
              </w:tc>
            </w:tr>
            <w:tr w14:paraId="54F62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2" w:type="dxa"/>
                  <w:vAlign w:val="center"/>
                </w:tcPr>
                <w:p w14:paraId="57C42F2C">
                  <w:pPr>
                    <w:pStyle w:val="52"/>
                    <w:spacing w:line="300" w:lineRule="exact"/>
                  </w:pPr>
                  <w:r>
                    <w:rPr>
                      <w:rFonts w:hint="eastAsia"/>
                    </w:rPr>
                    <w:t>噪声</w:t>
                  </w:r>
                </w:p>
              </w:tc>
              <w:tc>
                <w:tcPr>
                  <w:tcW w:w="1134" w:type="dxa"/>
                  <w:vAlign w:val="center"/>
                </w:tcPr>
                <w:p w14:paraId="1C5283A1">
                  <w:pPr>
                    <w:pStyle w:val="52"/>
                    <w:spacing w:line="300" w:lineRule="exact"/>
                  </w:pPr>
                  <w:r>
                    <w:t>Leq</w:t>
                  </w:r>
                  <w:r>
                    <w:rPr>
                      <w:rFonts w:hint="eastAsia"/>
                    </w:rPr>
                    <w:t>(</w:t>
                  </w:r>
                  <w:r>
                    <w:t>A</w:t>
                  </w:r>
                  <w:r>
                    <w:rPr>
                      <w:rFonts w:hint="eastAsia"/>
                    </w:rPr>
                    <w:t>)</w:t>
                  </w:r>
                </w:p>
              </w:tc>
              <w:tc>
                <w:tcPr>
                  <w:tcW w:w="1559" w:type="dxa"/>
                  <w:vAlign w:val="center"/>
                </w:tcPr>
                <w:p w14:paraId="24906665">
                  <w:pPr>
                    <w:pStyle w:val="52"/>
                    <w:spacing w:line="300" w:lineRule="exact"/>
                  </w:pPr>
                  <w:r>
                    <w:t>厂</w:t>
                  </w:r>
                  <w:r>
                    <w:rPr>
                      <w:rFonts w:hint="eastAsia"/>
                    </w:rPr>
                    <w:t>界</w:t>
                  </w:r>
                  <w:r>
                    <w:t>外1m处</w:t>
                  </w:r>
                </w:p>
              </w:tc>
              <w:tc>
                <w:tcPr>
                  <w:tcW w:w="1276" w:type="dxa"/>
                  <w:vAlign w:val="center"/>
                </w:tcPr>
                <w:p w14:paraId="52B4FF4A">
                  <w:pPr>
                    <w:pStyle w:val="52"/>
                    <w:spacing w:line="300" w:lineRule="exact"/>
                  </w:pPr>
                  <w:r>
                    <w:rPr>
                      <w:rFonts w:hint="eastAsia"/>
                    </w:rPr>
                    <w:t>1次/</w:t>
                  </w:r>
                  <w:r>
                    <w:t>季度</w:t>
                  </w:r>
                </w:p>
              </w:tc>
              <w:tc>
                <w:tcPr>
                  <w:tcW w:w="3191" w:type="dxa"/>
                  <w:vAlign w:val="center"/>
                </w:tcPr>
                <w:p w14:paraId="04B2A87B">
                  <w:pPr>
                    <w:pStyle w:val="52"/>
                    <w:spacing w:line="300" w:lineRule="exact"/>
                  </w:pPr>
                  <w:r>
                    <w:t>《工业企业厂界环境噪声排放标准》（GB12348-2008）2类标准</w:t>
                  </w:r>
                </w:p>
              </w:tc>
            </w:tr>
          </w:tbl>
          <w:p w14:paraId="0351B1D8">
            <w:pPr>
              <w:pStyle w:val="91"/>
              <w:spacing w:before="0" w:after="0" w:line="440" w:lineRule="exact"/>
            </w:pPr>
            <w:r>
              <w:rPr>
                <w:rFonts w:hint="eastAsia"/>
              </w:rPr>
              <w:t>四、运营期固体废物环境影响和保护措施</w:t>
            </w:r>
          </w:p>
          <w:p w14:paraId="70206E61">
            <w:pPr>
              <w:pStyle w:val="77"/>
              <w:spacing w:line="440" w:lineRule="exact"/>
              <w:rPr>
                <w:rFonts w:hint="eastAsia"/>
                <w:sz w:val="24"/>
                <w:szCs w:val="24"/>
              </w:rPr>
            </w:pPr>
            <w:r>
              <w:rPr>
                <w:rFonts w:hint="eastAsia"/>
                <w:sz w:val="24"/>
                <w:szCs w:val="24"/>
              </w:rPr>
              <w:t>1.污染源分析</w:t>
            </w:r>
          </w:p>
          <w:p w14:paraId="273760F3">
            <w:pPr>
              <w:pStyle w:val="72"/>
              <w:spacing w:line="400" w:lineRule="exact"/>
              <w:ind w:firstLine="480"/>
              <w:rPr>
                <w:sz w:val="24"/>
                <w:szCs w:val="22"/>
              </w:rPr>
            </w:pPr>
            <w:r>
              <w:rPr>
                <w:rFonts w:hint="eastAsia"/>
                <w:sz w:val="24"/>
                <w:szCs w:val="22"/>
              </w:rPr>
              <w:t>本项目产生的固体废物主要为一般固废、危险废物和职工生活垃圾。一般固废主要有除尘灰，洗车废水沉淀池、初期雨水池底泥；危险废物主要有废机油、废油桶、含油劳保物品。</w:t>
            </w:r>
          </w:p>
          <w:p w14:paraId="128F0F70">
            <w:pPr>
              <w:pStyle w:val="72"/>
              <w:spacing w:line="400" w:lineRule="exact"/>
              <w:ind w:firstLine="480"/>
              <w:rPr>
                <w:sz w:val="24"/>
                <w:szCs w:val="22"/>
              </w:rPr>
            </w:pPr>
            <w:r>
              <w:rPr>
                <w:rFonts w:hint="eastAsia"/>
                <w:sz w:val="24"/>
                <w:szCs w:val="22"/>
              </w:rPr>
              <w:t>1）一般固体废物</w:t>
            </w:r>
          </w:p>
          <w:p w14:paraId="15500844">
            <w:pPr>
              <w:pStyle w:val="72"/>
              <w:spacing w:line="400" w:lineRule="exact"/>
              <w:ind w:firstLine="480"/>
              <w:rPr>
                <w:sz w:val="24"/>
                <w:szCs w:val="22"/>
              </w:rPr>
            </w:pPr>
            <w:r>
              <w:rPr>
                <w:rFonts w:hint="eastAsia"/>
                <w:sz w:val="24"/>
                <w:szCs w:val="22"/>
              </w:rPr>
              <w:t>（</w:t>
            </w:r>
            <w:r>
              <w:rPr>
                <w:sz w:val="24"/>
                <w:szCs w:val="22"/>
              </w:rPr>
              <w:t>1</w:t>
            </w:r>
            <w:r>
              <w:rPr>
                <w:rFonts w:hint="eastAsia"/>
                <w:sz w:val="24"/>
                <w:szCs w:val="22"/>
              </w:rPr>
              <w:t>）职工生活垃圾S</w:t>
            </w:r>
            <w:r>
              <w:rPr>
                <w:sz w:val="24"/>
                <w:szCs w:val="22"/>
              </w:rPr>
              <w:t>1</w:t>
            </w:r>
          </w:p>
          <w:p w14:paraId="3A59E49B">
            <w:pPr>
              <w:pStyle w:val="72"/>
              <w:spacing w:line="400" w:lineRule="exact"/>
              <w:ind w:firstLine="480"/>
              <w:rPr>
                <w:sz w:val="24"/>
                <w:szCs w:val="22"/>
              </w:rPr>
            </w:pPr>
            <w:r>
              <w:rPr>
                <w:rFonts w:hint="eastAsia"/>
                <w:sz w:val="24"/>
                <w:szCs w:val="22"/>
              </w:rPr>
              <w:t>项目职工人数为5人，生活垃圾产生量按0.3kg/d·人计，则项目生活垃圾产生量为1.5kg/d（0.45t/a），集中收集后交由当地环卫部门清运处理。</w:t>
            </w:r>
          </w:p>
          <w:p w14:paraId="25A3E839">
            <w:pPr>
              <w:pStyle w:val="72"/>
              <w:spacing w:line="400" w:lineRule="exact"/>
              <w:ind w:firstLine="480"/>
              <w:rPr>
                <w:sz w:val="24"/>
                <w:szCs w:val="22"/>
              </w:rPr>
            </w:pPr>
            <w:r>
              <w:rPr>
                <w:rFonts w:hint="eastAsia"/>
                <w:sz w:val="24"/>
                <w:szCs w:val="22"/>
              </w:rPr>
              <w:t>（</w:t>
            </w:r>
            <w:r>
              <w:rPr>
                <w:sz w:val="24"/>
                <w:szCs w:val="22"/>
              </w:rPr>
              <w:t>2</w:t>
            </w:r>
            <w:r>
              <w:rPr>
                <w:rFonts w:hint="eastAsia"/>
                <w:sz w:val="24"/>
                <w:szCs w:val="22"/>
              </w:rPr>
              <w:t>）除尘灰S2</w:t>
            </w:r>
          </w:p>
          <w:p w14:paraId="1C10AB5A">
            <w:pPr>
              <w:pStyle w:val="72"/>
              <w:spacing w:line="400" w:lineRule="exact"/>
              <w:ind w:firstLine="480"/>
              <w:rPr>
                <w:sz w:val="24"/>
                <w:szCs w:val="22"/>
              </w:rPr>
            </w:pPr>
            <w:r>
              <w:rPr>
                <w:rFonts w:hint="eastAsia"/>
                <w:sz w:val="24"/>
                <w:szCs w:val="22"/>
              </w:rPr>
              <w:t>本项目采用布袋除尘器对各加工环节产生的含尘废气进行处理。经计算，本项目除尘灰产生量约为28.2</w:t>
            </w:r>
            <w:r>
              <w:rPr>
                <w:sz w:val="24"/>
                <w:szCs w:val="22"/>
              </w:rPr>
              <w:t>t/a</w:t>
            </w:r>
            <w:r>
              <w:rPr>
                <w:rFonts w:hint="eastAsia"/>
                <w:sz w:val="24"/>
                <w:szCs w:val="22"/>
              </w:rPr>
              <w:t>，收集的除尘灰回用于生产。</w:t>
            </w:r>
          </w:p>
          <w:p w14:paraId="468A4A9A">
            <w:pPr>
              <w:pStyle w:val="72"/>
              <w:spacing w:line="400" w:lineRule="exact"/>
              <w:ind w:firstLine="480"/>
              <w:rPr>
                <w:kern w:val="2"/>
                <w:sz w:val="32"/>
                <w:szCs w:val="32"/>
              </w:rPr>
            </w:pPr>
            <w:r>
              <w:rPr>
                <w:rFonts w:hint="eastAsia"/>
                <w:sz w:val="24"/>
                <w:szCs w:val="22"/>
              </w:rPr>
              <w:t>（3）洗车废水沉淀池、初期雨水沉淀池底泥S3</w:t>
            </w:r>
          </w:p>
          <w:p w14:paraId="425CC48C">
            <w:pPr>
              <w:pStyle w:val="72"/>
              <w:spacing w:line="400" w:lineRule="exact"/>
              <w:ind w:firstLine="480"/>
              <w:rPr>
                <w:sz w:val="24"/>
                <w:szCs w:val="22"/>
              </w:rPr>
            </w:pPr>
            <w:r>
              <w:rPr>
                <w:rFonts w:hint="eastAsia"/>
                <w:sz w:val="24"/>
                <w:szCs w:val="22"/>
              </w:rPr>
              <w:t>车辆冲洗废水沉淀池和初期雨水收集池内底泥需定期清理，产生量约为1.0t/a。底泥定期清理后外售。</w:t>
            </w:r>
          </w:p>
          <w:p w14:paraId="7BECF716">
            <w:pPr>
              <w:pStyle w:val="72"/>
              <w:spacing w:line="400" w:lineRule="exact"/>
              <w:ind w:firstLine="480"/>
              <w:rPr>
                <w:sz w:val="24"/>
                <w:szCs w:val="22"/>
              </w:rPr>
            </w:pPr>
            <w:r>
              <w:rPr>
                <w:rFonts w:hint="eastAsia"/>
                <w:sz w:val="24"/>
                <w:szCs w:val="22"/>
              </w:rPr>
              <w:t>本项目固体废物源强核算结果见下表。</w:t>
            </w:r>
          </w:p>
          <w:p w14:paraId="4CD00B17">
            <w:pPr>
              <w:pStyle w:val="45"/>
              <w:rPr>
                <w:rFonts w:ascii="Times New Roman" w:hAnsi="Times New Roman"/>
                <w:sz w:val="24"/>
                <w:szCs w:val="24"/>
              </w:rPr>
            </w:pPr>
            <w:r>
              <w:rPr>
                <w:rFonts w:hint="eastAsia" w:ascii="Times New Roman" w:hAnsi="Times New Roman"/>
                <w:sz w:val="24"/>
                <w:szCs w:val="24"/>
              </w:rPr>
              <w:t>表4-11  一般固体废物源强核算表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20"/>
              <w:gridCol w:w="699"/>
              <w:gridCol w:w="1049"/>
              <w:gridCol w:w="1159"/>
              <w:gridCol w:w="945"/>
              <w:gridCol w:w="737"/>
              <w:gridCol w:w="1838"/>
              <w:gridCol w:w="687"/>
            </w:tblGrid>
            <w:tr w14:paraId="4A66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738" w:type="pct"/>
                  <w:tcBorders>
                    <w:top w:val="single" w:color="auto" w:sz="4" w:space="0"/>
                    <w:left w:val="single" w:color="auto" w:sz="4" w:space="0"/>
                    <w:bottom w:val="single" w:color="auto" w:sz="4" w:space="0"/>
                    <w:right w:val="single" w:color="auto" w:sz="4" w:space="0"/>
                  </w:tcBorders>
                  <w:vAlign w:val="center"/>
                </w:tcPr>
                <w:p w14:paraId="6446542F">
                  <w:pPr>
                    <w:pStyle w:val="52"/>
                  </w:pPr>
                  <w:r>
                    <w:rPr>
                      <w:rFonts w:hint="eastAsia"/>
                    </w:rPr>
                    <w:t>工序</w:t>
                  </w:r>
                </w:p>
              </w:tc>
              <w:tc>
                <w:tcPr>
                  <w:tcW w:w="425" w:type="pct"/>
                  <w:tcBorders>
                    <w:top w:val="single" w:color="auto" w:sz="4" w:space="0"/>
                    <w:left w:val="single" w:color="auto" w:sz="4" w:space="0"/>
                    <w:bottom w:val="single" w:color="auto" w:sz="4" w:space="0"/>
                    <w:right w:val="single" w:color="auto" w:sz="4" w:space="0"/>
                  </w:tcBorders>
                  <w:vAlign w:val="center"/>
                </w:tcPr>
                <w:p w14:paraId="79187F50">
                  <w:pPr>
                    <w:pStyle w:val="52"/>
                  </w:pPr>
                  <w:r>
                    <w:rPr>
                      <w:rFonts w:hint="eastAsia"/>
                    </w:rPr>
                    <w:t>固体废物名称</w:t>
                  </w:r>
                </w:p>
              </w:tc>
              <w:tc>
                <w:tcPr>
                  <w:tcW w:w="635" w:type="pct"/>
                  <w:vAlign w:val="center"/>
                </w:tcPr>
                <w:p w14:paraId="3BD92403">
                  <w:pPr>
                    <w:pStyle w:val="52"/>
                  </w:pPr>
                  <w:r>
                    <w:rPr>
                      <w:rFonts w:hint="eastAsia"/>
                    </w:rPr>
                    <w:t>一般工业固废代码</w:t>
                  </w:r>
                </w:p>
              </w:tc>
              <w:tc>
                <w:tcPr>
                  <w:tcW w:w="701" w:type="pct"/>
                  <w:tcBorders>
                    <w:top w:val="single" w:color="auto" w:sz="4" w:space="0"/>
                    <w:left w:val="single" w:color="auto" w:sz="4" w:space="0"/>
                    <w:bottom w:val="single" w:color="auto" w:sz="4" w:space="0"/>
                    <w:right w:val="single" w:color="auto" w:sz="4" w:space="0"/>
                  </w:tcBorders>
                  <w:vAlign w:val="center"/>
                </w:tcPr>
                <w:p w14:paraId="14475BFD">
                  <w:pPr>
                    <w:pStyle w:val="52"/>
                  </w:pPr>
                  <w:r>
                    <w:rPr>
                      <w:rFonts w:hint="eastAsia"/>
                    </w:rPr>
                    <w:t>主要成分</w:t>
                  </w:r>
                </w:p>
              </w:tc>
              <w:tc>
                <w:tcPr>
                  <w:tcW w:w="573" w:type="pct"/>
                  <w:tcBorders>
                    <w:top w:val="single" w:color="auto" w:sz="4" w:space="0"/>
                    <w:left w:val="single" w:color="auto" w:sz="4" w:space="0"/>
                    <w:bottom w:val="single" w:color="auto" w:sz="4" w:space="0"/>
                    <w:right w:val="single" w:color="auto" w:sz="4" w:space="0"/>
                  </w:tcBorders>
                  <w:vAlign w:val="center"/>
                </w:tcPr>
                <w:p w14:paraId="10A0A4AC">
                  <w:pPr>
                    <w:pStyle w:val="52"/>
                  </w:pPr>
                  <w:r>
                    <w:rPr>
                      <w:rFonts w:hint="eastAsia"/>
                    </w:rPr>
                    <w:t>固废属性</w:t>
                  </w:r>
                </w:p>
              </w:tc>
              <w:tc>
                <w:tcPr>
                  <w:tcW w:w="448" w:type="pct"/>
                  <w:tcBorders>
                    <w:top w:val="single" w:color="auto" w:sz="4" w:space="0"/>
                    <w:left w:val="single" w:color="auto" w:sz="4" w:space="0"/>
                    <w:bottom w:val="single" w:color="auto" w:sz="4" w:space="0"/>
                    <w:right w:val="single" w:color="auto" w:sz="4" w:space="0"/>
                  </w:tcBorders>
                  <w:vAlign w:val="center"/>
                </w:tcPr>
                <w:p w14:paraId="7DDA10F4">
                  <w:pPr>
                    <w:pStyle w:val="52"/>
                  </w:pPr>
                  <w:r>
                    <w:rPr>
                      <w:rFonts w:hint="eastAsia"/>
                    </w:rPr>
                    <w:t>产生量</w:t>
                  </w:r>
                </w:p>
                <w:p w14:paraId="31C962DE">
                  <w:pPr>
                    <w:pStyle w:val="52"/>
                  </w:pPr>
                  <w:r>
                    <w:rPr>
                      <w:rFonts w:hint="eastAsia"/>
                    </w:rPr>
                    <w:t>(t/a)</w:t>
                  </w:r>
                </w:p>
              </w:tc>
              <w:tc>
                <w:tcPr>
                  <w:tcW w:w="1108" w:type="pct"/>
                  <w:vAlign w:val="center"/>
                </w:tcPr>
                <w:p w14:paraId="15E2ACCD">
                  <w:pPr>
                    <w:pStyle w:val="52"/>
                  </w:pPr>
                  <w:r>
                    <w:rPr>
                      <w:rFonts w:hint="eastAsia"/>
                    </w:rPr>
                    <w:t>处置措施</w:t>
                  </w:r>
                </w:p>
              </w:tc>
              <w:tc>
                <w:tcPr>
                  <w:tcW w:w="371" w:type="pct"/>
                  <w:tcBorders>
                    <w:top w:val="single" w:color="auto" w:sz="4" w:space="0"/>
                    <w:left w:val="single" w:color="auto" w:sz="4" w:space="0"/>
                    <w:bottom w:val="single" w:color="auto" w:sz="4" w:space="0"/>
                    <w:right w:val="single" w:color="auto" w:sz="4" w:space="0"/>
                  </w:tcBorders>
                  <w:vAlign w:val="center"/>
                </w:tcPr>
                <w:p w14:paraId="340BF942">
                  <w:pPr>
                    <w:pStyle w:val="52"/>
                  </w:pPr>
                  <w:r>
                    <w:rPr>
                      <w:rFonts w:hint="eastAsia"/>
                    </w:rPr>
                    <w:t>排放量（t/a）</w:t>
                  </w:r>
                </w:p>
              </w:tc>
            </w:tr>
            <w:tr w14:paraId="4F54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738" w:type="pct"/>
                  <w:tcBorders>
                    <w:top w:val="single" w:color="auto" w:sz="4" w:space="0"/>
                    <w:left w:val="single" w:color="auto" w:sz="4" w:space="0"/>
                    <w:bottom w:val="single" w:color="auto" w:sz="4" w:space="0"/>
                    <w:right w:val="single" w:color="auto" w:sz="4" w:space="0"/>
                  </w:tcBorders>
                  <w:vAlign w:val="center"/>
                </w:tcPr>
                <w:p w14:paraId="4C429E69">
                  <w:pPr>
                    <w:pStyle w:val="52"/>
                  </w:pPr>
                  <w:r>
                    <w:rPr>
                      <w:rFonts w:hint="eastAsia"/>
                    </w:rPr>
                    <w:t>职工生活</w:t>
                  </w:r>
                </w:p>
              </w:tc>
              <w:tc>
                <w:tcPr>
                  <w:tcW w:w="425" w:type="pct"/>
                  <w:tcBorders>
                    <w:top w:val="single" w:color="auto" w:sz="4" w:space="0"/>
                    <w:left w:val="single" w:color="auto" w:sz="4" w:space="0"/>
                    <w:bottom w:val="single" w:color="auto" w:sz="4" w:space="0"/>
                    <w:right w:val="single" w:color="auto" w:sz="4" w:space="0"/>
                  </w:tcBorders>
                  <w:vAlign w:val="center"/>
                </w:tcPr>
                <w:p w14:paraId="32C3FA30">
                  <w:pPr>
                    <w:pStyle w:val="52"/>
                  </w:pPr>
                  <w:r>
                    <w:rPr>
                      <w:rFonts w:hint="eastAsia"/>
                    </w:rPr>
                    <w:t>生活垃圾</w:t>
                  </w:r>
                </w:p>
              </w:tc>
              <w:tc>
                <w:tcPr>
                  <w:tcW w:w="635" w:type="pct"/>
                  <w:vAlign w:val="center"/>
                </w:tcPr>
                <w:p w14:paraId="2361C753">
                  <w:pPr>
                    <w:pStyle w:val="52"/>
                  </w:pPr>
                  <w:r>
                    <w:rPr>
                      <w:rFonts w:hint="eastAsia"/>
                    </w:rPr>
                    <w:t>/</w:t>
                  </w:r>
                </w:p>
              </w:tc>
              <w:tc>
                <w:tcPr>
                  <w:tcW w:w="701" w:type="pct"/>
                  <w:tcBorders>
                    <w:top w:val="single" w:color="auto" w:sz="4" w:space="0"/>
                    <w:left w:val="single" w:color="auto" w:sz="4" w:space="0"/>
                    <w:bottom w:val="single" w:color="auto" w:sz="4" w:space="0"/>
                    <w:right w:val="single" w:color="auto" w:sz="4" w:space="0"/>
                  </w:tcBorders>
                  <w:vAlign w:val="center"/>
                </w:tcPr>
                <w:p w14:paraId="7928845B">
                  <w:pPr>
                    <w:pStyle w:val="52"/>
                  </w:pPr>
                  <w:r>
                    <w:rPr>
                      <w:rFonts w:hint="eastAsia"/>
                    </w:rPr>
                    <w:t>果皮、纸屑等</w:t>
                  </w:r>
                </w:p>
              </w:tc>
              <w:tc>
                <w:tcPr>
                  <w:tcW w:w="573" w:type="pct"/>
                  <w:tcBorders>
                    <w:top w:val="single" w:color="auto" w:sz="4" w:space="0"/>
                    <w:left w:val="single" w:color="auto" w:sz="4" w:space="0"/>
                    <w:bottom w:val="single" w:color="auto" w:sz="4" w:space="0"/>
                    <w:right w:val="single" w:color="auto" w:sz="4" w:space="0"/>
                  </w:tcBorders>
                  <w:vAlign w:val="center"/>
                </w:tcPr>
                <w:p w14:paraId="226A82A8">
                  <w:pPr>
                    <w:pStyle w:val="52"/>
                  </w:pPr>
                  <w:r>
                    <w:rPr>
                      <w:rFonts w:hint="eastAsia"/>
                    </w:rPr>
                    <w:t>/</w:t>
                  </w:r>
                </w:p>
              </w:tc>
              <w:tc>
                <w:tcPr>
                  <w:tcW w:w="448" w:type="pct"/>
                  <w:tcBorders>
                    <w:top w:val="single" w:color="auto" w:sz="4" w:space="0"/>
                    <w:left w:val="single" w:color="auto" w:sz="4" w:space="0"/>
                    <w:bottom w:val="single" w:color="auto" w:sz="4" w:space="0"/>
                    <w:right w:val="single" w:color="auto" w:sz="4" w:space="0"/>
                  </w:tcBorders>
                  <w:vAlign w:val="center"/>
                </w:tcPr>
                <w:p w14:paraId="6B233A93">
                  <w:pPr>
                    <w:pStyle w:val="52"/>
                  </w:pPr>
                  <w:r>
                    <w:rPr>
                      <w:rFonts w:hint="eastAsia"/>
                    </w:rPr>
                    <w:t>0.45</w:t>
                  </w:r>
                </w:p>
              </w:tc>
              <w:tc>
                <w:tcPr>
                  <w:tcW w:w="1108" w:type="pct"/>
                  <w:vAlign w:val="center"/>
                </w:tcPr>
                <w:p w14:paraId="418B078C">
                  <w:pPr>
                    <w:pStyle w:val="52"/>
                  </w:pPr>
                  <w:r>
                    <w:rPr>
                      <w:rFonts w:hint="eastAsia"/>
                    </w:rPr>
                    <w:t>设置封闭式垃圾箱，收集后由环卫部门统一处理</w:t>
                  </w:r>
                </w:p>
              </w:tc>
              <w:tc>
                <w:tcPr>
                  <w:tcW w:w="371" w:type="pct"/>
                  <w:tcBorders>
                    <w:top w:val="single" w:color="auto" w:sz="4" w:space="0"/>
                    <w:left w:val="single" w:color="auto" w:sz="4" w:space="0"/>
                    <w:bottom w:val="single" w:color="auto" w:sz="4" w:space="0"/>
                    <w:right w:val="single" w:color="auto" w:sz="4" w:space="0"/>
                  </w:tcBorders>
                  <w:vAlign w:val="center"/>
                </w:tcPr>
                <w:p w14:paraId="0DAD604D">
                  <w:pPr>
                    <w:pStyle w:val="52"/>
                  </w:pPr>
                  <w:r>
                    <w:rPr>
                      <w:rFonts w:hint="eastAsia"/>
                    </w:rPr>
                    <w:t>0</w:t>
                  </w:r>
                </w:p>
              </w:tc>
            </w:tr>
            <w:tr w14:paraId="53DF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738" w:type="pct"/>
                  <w:tcBorders>
                    <w:top w:val="single" w:color="auto" w:sz="4" w:space="0"/>
                    <w:left w:val="single" w:color="auto" w:sz="4" w:space="0"/>
                    <w:bottom w:val="single" w:color="auto" w:sz="4" w:space="0"/>
                    <w:right w:val="single" w:color="auto" w:sz="4" w:space="0"/>
                  </w:tcBorders>
                  <w:vAlign w:val="center"/>
                </w:tcPr>
                <w:p w14:paraId="6A5C268A">
                  <w:pPr>
                    <w:pStyle w:val="52"/>
                  </w:pPr>
                  <w:r>
                    <w:rPr>
                      <w:rFonts w:hint="eastAsia"/>
                    </w:rPr>
                    <w:t>含尘废气处理</w:t>
                  </w:r>
                </w:p>
              </w:tc>
              <w:tc>
                <w:tcPr>
                  <w:tcW w:w="425" w:type="pct"/>
                  <w:tcBorders>
                    <w:top w:val="single" w:color="auto" w:sz="4" w:space="0"/>
                    <w:left w:val="single" w:color="auto" w:sz="4" w:space="0"/>
                    <w:bottom w:val="single" w:color="auto" w:sz="4" w:space="0"/>
                    <w:right w:val="single" w:color="auto" w:sz="4" w:space="0"/>
                  </w:tcBorders>
                  <w:vAlign w:val="center"/>
                </w:tcPr>
                <w:p w14:paraId="6C3F73B7">
                  <w:pPr>
                    <w:pStyle w:val="52"/>
                  </w:pPr>
                  <w:r>
                    <w:rPr>
                      <w:rFonts w:hint="eastAsia"/>
                    </w:rPr>
                    <w:t>除尘灰</w:t>
                  </w:r>
                </w:p>
              </w:tc>
              <w:tc>
                <w:tcPr>
                  <w:tcW w:w="635" w:type="pct"/>
                  <w:vAlign w:val="center"/>
                </w:tcPr>
                <w:p w14:paraId="59472FC9">
                  <w:pPr>
                    <w:pStyle w:val="52"/>
                  </w:pPr>
                  <w:r>
                    <w:rPr>
                      <w:rFonts w:hint="eastAsia"/>
                    </w:rPr>
                    <w:t>3</w:t>
                  </w:r>
                  <w:r>
                    <w:t>00-</w:t>
                  </w:r>
                  <w:r>
                    <w:rPr>
                      <w:rFonts w:hint="eastAsia"/>
                    </w:rPr>
                    <w:t>9</w:t>
                  </w:r>
                  <w:r>
                    <w:t>99-</w:t>
                  </w:r>
                  <w:r>
                    <w:rPr>
                      <w:rFonts w:hint="eastAsia"/>
                    </w:rPr>
                    <w:t>66</w:t>
                  </w:r>
                </w:p>
              </w:tc>
              <w:tc>
                <w:tcPr>
                  <w:tcW w:w="701" w:type="pct"/>
                  <w:tcBorders>
                    <w:top w:val="single" w:color="auto" w:sz="4" w:space="0"/>
                    <w:left w:val="single" w:color="auto" w:sz="4" w:space="0"/>
                    <w:bottom w:val="single" w:color="auto" w:sz="4" w:space="0"/>
                    <w:right w:val="single" w:color="auto" w:sz="4" w:space="0"/>
                  </w:tcBorders>
                  <w:vAlign w:val="center"/>
                </w:tcPr>
                <w:p w14:paraId="1B01190C">
                  <w:pPr>
                    <w:pStyle w:val="52"/>
                  </w:pPr>
                  <w:r>
                    <w:rPr>
                      <w:rFonts w:hint="eastAsia"/>
                    </w:rPr>
                    <w:t>水泥等</w:t>
                  </w:r>
                </w:p>
              </w:tc>
              <w:tc>
                <w:tcPr>
                  <w:tcW w:w="573" w:type="pct"/>
                  <w:tcBorders>
                    <w:top w:val="single" w:color="auto" w:sz="4" w:space="0"/>
                    <w:left w:val="single" w:color="auto" w:sz="4" w:space="0"/>
                    <w:bottom w:val="single" w:color="auto" w:sz="4" w:space="0"/>
                    <w:right w:val="single" w:color="auto" w:sz="4" w:space="0"/>
                  </w:tcBorders>
                  <w:vAlign w:val="center"/>
                </w:tcPr>
                <w:p w14:paraId="142AB1D6">
                  <w:pPr>
                    <w:pStyle w:val="52"/>
                  </w:pPr>
                  <w:r>
                    <w:rPr>
                      <w:rFonts w:hint="eastAsia"/>
                    </w:rPr>
                    <w:t>一般工业固体废物</w:t>
                  </w:r>
                </w:p>
              </w:tc>
              <w:tc>
                <w:tcPr>
                  <w:tcW w:w="448" w:type="pct"/>
                  <w:tcBorders>
                    <w:top w:val="single" w:color="auto" w:sz="4" w:space="0"/>
                    <w:left w:val="single" w:color="auto" w:sz="4" w:space="0"/>
                    <w:bottom w:val="single" w:color="auto" w:sz="4" w:space="0"/>
                    <w:right w:val="single" w:color="auto" w:sz="4" w:space="0"/>
                  </w:tcBorders>
                  <w:vAlign w:val="center"/>
                </w:tcPr>
                <w:p w14:paraId="44F5155D">
                  <w:pPr>
                    <w:pStyle w:val="52"/>
                  </w:pPr>
                  <w:r>
                    <w:rPr>
                      <w:rFonts w:hint="eastAsia"/>
                    </w:rPr>
                    <w:t>28.2</w:t>
                  </w:r>
                </w:p>
              </w:tc>
              <w:tc>
                <w:tcPr>
                  <w:tcW w:w="1108" w:type="pct"/>
                  <w:vAlign w:val="center"/>
                </w:tcPr>
                <w:p w14:paraId="09417A96">
                  <w:pPr>
                    <w:pStyle w:val="52"/>
                  </w:pPr>
                  <w:r>
                    <w:rPr>
                      <w:rFonts w:hint="eastAsia"/>
                    </w:rPr>
                    <w:t>定期清理，回用于生产</w:t>
                  </w:r>
                </w:p>
              </w:tc>
              <w:tc>
                <w:tcPr>
                  <w:tcW w:w="371" w:type="pct"/>
                  <w:tcBorders>
                    <w:top w:val="single" w:color="auto" w:sz="4" w:space="0"/>
                    <w:left w:val="single" w:color="auto" w:sz="4" w:space="0"/>
                    <w:bottom w:val="single" w:color="auto" w:sz="4" w:space="0"/>
                    <w:right w:val="single" w:color="auto" w:sz="4" w:space="0"/>
                  </w:tcBorders>
                  <w:vAlign w:val="center"/>
                </w:tcPr>
                <w:p w14:paraId="30089240">
                  <w:pPr>
                    <w:pStyle w:val="52"/>
                  </w:pPr>
                  <w:r>
                    <w:rPr>
                      <w:rFonts w:hint="eastAsia"/>
                    </w:rPr>
                    <w:t>0</w:t>
                  </w:r>
                </w:p>
              </w:tc>
            </w:tr>
            <w:tr w14:paraId="41C90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738" w:type="pct"/>
                  <w:tcBorders>
                    <w:top w:val="single" w:color="auto" w:sz="4" w:space="0"/>
                    <w:left w:val="single" w:color="auto" w:sz="4" w:space="0"/>
                    <w:bottom w:val="single" w:color="auto" w:sz="4" w:space="0"/>
                    <w:right w:val="single" w:color="auto" w:sz="4" w:space="0"/>
                  </w:tcBorders>
                  <w:vAlign w:val="center"/>
                </w:tcPr>
                <w:p w14:paraId="40200BEA">
                  <w:pPr>
                    <w:pStyle w:val="52"/>
                  </w:pPr>
                  <w:r>
                    <w:rPr>
                      <w:rFonts w:hint="eastAsia"/>
                    </w:rPr>
                    <w:t>洗车废水沉淀池、初期雨水沉淀池</w:t>
                  </w:r>
                </w:p>
              </w:tc>
              <w:tc>
                <w:tcPr>
                  <w:tcW w:w="425" w:type="pct"/>
                  <w:tcBorders>
                    <w:top w:val="single" w:color="auto" w:sz="4" w:space="0"/>
                    <w:left w:val="single" w:color="auto" w:sz="4" w:space="0"/>
                    <w:bottom w:val="single" w:color="auto" w:sz="4" w:space="0"/>
                    <w:right w:val="single" w:color="auto" w:sz="4" w:space="0"/>
                  </w:tcBorders>
                  <w:vAlign w:val="center"/>
                </w:tcPr>
                <w:p w14:paraId="2875ECEC">
                  <w:pPr>
                    <w:pStyle w:val="52"/>
                  </w:pPr>
                  <w:r>
                    <w:rPr>
                      <w:rFonts w:hint="eastAsia"/>
                    </w:rPr>
                    <w:t>底泥</w:t>
                  </w:r>
                </w:p>
              </w:tc>
              <w:tc>
                <w:tcPr>
                  <w:tcW w:w="635" w:type="pct"/>
                  <w:vAlign w:val="center"/>
                </w:tcPr>
                <w:p w14:paraId="4F0ED633">
                  <w:pPr>
                    <w:pStyle w:val="52"/>
                  </w:pPr>
                  <w:r>
                    <w:rPr>
                      <w:rFonts w:hint="eastAsia"/>
                    </w:rPr>
                    <w:t>3</w:t>
                  </w:r>
                  <w:r>
                    <w:t>00-</w:t>
                  </w:r>
                  <w:r>
                    <w:rPr>
                      <w:rFonts w:hint="eastAsia"/>
                    </w:rPr>
                    <w:t>9</w:t>
                  </w:r>
                  <w:r>
                    <w:t>99-</w:t>
                  </w:r>
                  <w:r>
                    <w:rPr>
                      <w:rFonts w:hint="eastAsia"/>
                    </w:rPr>
                    <w:t>61</w:t>
                  </w:r>
                </w:p>
              </w:tc>
              <w:tc>
                <w:tcPr>
                  <w:tcW w:w="701" w:type="pct"/>
                  <w:tcBorders>
                    <w:top w:val="single" w:color="auto" w:sz="4" w:space="0"/>
                    <w:left w:val="single" w:color="auto" w:sz="4" w:space="0"/>
                    <w:bottom w:val="single" w:color="auto" w:sz="4" w:space="0"/>
                    <w:right w:val="single" w:color="auto" w:sz="4" w:space="0"/>
                  </w:tcBorders>
                  <w:vAlign w:val="center"/>
                </w:tcPr>
                <w:p w14:paraId="073C52C6">
                  <w:pPr>
                    <w:pStyle w:val="52"/>
                  </w:pPr>
                  <w:r>
                    <w:rPr>
                      <w:rFonts w:hint="eastAsia"/>
                    </w:rPr>
                    <w:t>水泥等</w:t>
                  </w:r>
                </w:p>
              </w:tc>
              <w:tc>
                <w:tcPr>
                  <w:tcW w:w="573" w:type="pct"/>
                  <w:tcBorders>
                    <w:top w:val="single" w:color="auto" w:sz="4" w:space="0"/>
                    <w:left w:val="single" w:color="auto" w:sz="4" w:space="0"/>
                    <w:bottom w:val="single" w:color="auto" w:sz="4" w:space="0"/>
                    <w:right w:val="single" w:color="auto" w:sz="4" w:space="0"/>
                  </w:tcBorders>
                  <w:vAlign w:val="center"/>
                </w:tcPr>
                <w:p w14:paraId="30402D27">
                  <w:pPr>
                    <w:pStyle w:val="52"/>
                  </w:pPr>
                  <w:r>
                    <w:rPr>
                      <w:rFonts w:hint="eastAsia"/>
                    </w:rPr>
                    <w:t>一般工业固体废物</w:t>
                  </w:r>
                </w:p>
              </w:tc>
              <w:tc>
                <w:tcPr>
                  <w:tcW w:w="448" w:type="pct"/>
                  <w:tcBorders>
                    <w:top w:val="single" w:color="auto" w:sz="4" w:space="0"/>
                    <w:left w:val="single" w:color="auto" w:sz="4" w:space="0"/>
                    <w:bottom w:val="single" w:color="auto" w:sz="4" w:space="0"/>
                    <w:right w:val="single" w:color="auto" w:sz="4" w:space="0"/>
                  </w:tcBorders>
                  <w:vAlign w:val="center"/>
                </w:tcPr>
                <w:p w14:paraId="291105FD">
                  <w:pPr>
                    <w:pStyle w:val="52"/>
                  </w:pPr>
                  <w:r>
                    <w:rPr>
                      <w:rFonts w:hint="eastAsia"/>
                    </w:rPr>
                    <w:t>1.0</w:t>
                  </w:r>
                </w:p>
              </w:tc>
              <w:tc>
                <w:tcPr>
                  <w:tcW w:w="1108" w:type="pct"/>
                  <w:vAlign w:val="center"/>
                </w:tcPr>
                <w:p w14:paraId="0D1F8611">
                  <w:pPr>
                    <w:pStyle w:val="52"/>
                  </w:pPr>
                  <w:r>
                    <w:rPr>
                      <w:rFonts w:hint="eastAsia"/>
                    </w:rPr>
                    <w:t>定期清理晾干后外售</w:t>
                  </w:r>
                </w:p>
              </w:tc>
              <w:tc>
                <w:tcPr>
                  <w:tcW w:w="371" w:type="pct"/>
                  <w:tcBorders>
                    <w:top w:val="single" w:color="auto" w:sz="4" w:space="0"/>
                    <w:left w:val="single" w:color="auto" w:sz="4" w:space="0"/>
                    <w:bottom w:val="single" w:color="auto" w:sz="4" w:space="0"/>
                    <w:right w:val="single" w:color="auto" w:sz="4" w:space="0"/>
                  </w:tcBorders>
                  <w:vAlign w:val="center"/>
                </w:tcPr>
                <w:p w14:paraId="0D66F4C6">
                  <w:pPr>
                    <w:pStyle w:val="52"/>
                  </w:pPr>
                  <w:r>
                    <w:rPr>
                      <w:rFonts w:hint="eastAsia"/>
                    </w:rPr>
                    <w:t>0</w:t>
                  </w:r>
                </w:p>
              </w:tc>
            </w:tr>
          </w:tbl>
          <w:p w14:paraId="57D3BB9B">
            <w:pPr>
              <w:pStyle w:val="72"/>
              <w:spacing w:line="400" w:lineRule="exact"/>
              <w:ind w:firstLine="480"/>
              <w:rPr>
                <w:sz w:val="24"/>
                <w:szCs w:val="22"/>
              </w:rPr>
            </w:pPr>
            <w:r>
              <w:rPr>
                <w:rFonts w:hint="eastAsia"/>
                <w:sz w:val="24"/>
                <w:szCs w:val="22"/>
              </w:rPr>
              <w:t>2）危险废物</w:t>
            </w:r>
          </w:p>
          <w:p w14:paraId="70D11B1F">
            <w:pPr>
              <w:pStyle w:val="95"/>
              <w:spacing w:line="440" w:lineRule="exact"/>
              <w:ind w:firstLine="480"/>
              <w:rPr>
                <w:sz w:val="24"/>
                <w:szCs w:val="32"/>
              </w:rPr>
            </w:pPr>
            <w:r>
              <w:rPr>
                <w:rFonts w:hint="eastAsia"/>
                <w:sz w:val="24"/>
                <w:szCs w:val="32"/>
                <w:lang w:val="zh-CN"/>
              </w:rPr>
              <w:t>（</w:t>
            </w:r>
            <w:r>
              <w:rPr>
                <w:sz w:val="24"/>
                <w:szCs w:val="32"/>
                <w:lang w:val="zh-CN"/>
              </w:rPr>
              <w:t>1</w:t>
            </w:r>
            <w:r>
              <w:rPr>
                <w:rFonts w:hint="eastAsia"/>
                <w:sz w:val="24"/>
                <w:szCs w:val="32"/>
                <w:lang w:val="zh-CN"/>
              </w:rPr>
              <w:t>）</w:t>
            </w:r>
            <w:r>
              <w:rPr>
                <w:rFonts w:hint="eastAsia"/>
                <w:sz w:val="24"/>
                <w:szCs w:val="32"/>
              </w:rPr>
              <w:t>危险废物产生情况</w:t>
            </w:r>
          </w:p>
          <w:p w14:paraId="210A7118">
            <w:pPr>
              <w:pStyle w:val="72"/>
              <w:spacing w:line="400" w:lineRule="exact"/>
              <w:ind w:firstLine="480"/>
              <w:rPr>
                <w:kern w:val="2"/>
                <w:sz w:val="32"/>
                <w:szCs w:val="32"/>
              </w:rPr>
            </w:pPr>
            <w:r>
              <w:rPr>
                <w:rFonts w:hint="eastAsia"/>
                <w:sz w:val="24"/>
                <w:szCs w:val="22"/>
              </w:rPr>
              <w:t>废机油、废油桶、含油劳保物品S4</w:t>
            </w:r>
          </w:p>
          <w:p w14:paraId="28A170E0">
            <w:pPr>
              <w:pStyle w:val="72"/>
              <w:spacing w:line="400" w:lineRule="exact"/>
              <w:ind w:firstLine="480"/>
              <w:rPr>
                <w:sz w:val="24"/>
                <w:szCs w:val="22"/>
              </w:rPr>
            </w:pPr>
            <w:r>
              <w:rPr>
                <w:rFonts w:hint="eastAsia"/>
                <w:sz w:val="24"/>
                <w:szCs w:val="22"/>
              </w:rPr>
              <w:t>本项目生产设备维护过程中产生少量的废机油、废油桶和废含油抹布、劳保用品等，均属于危险废物。</w:t>
            </w:r>
          </w:p>
          <w:p w14:paraId="5473FBF8">
            <w:pPr>
              <w:pStyle w:val="72"/>
              <w:spacing w:line="400" w:lineRule="exact"/>
              <w:ind w:firstLine="480"/>
              <w:rPr>
                <w:sz w:val="24"/>
                <w:szCs w:val="22"/>
              </w:rPr>
            </w:pPr>
            <w:r>
              <w:rPr>
                <w:rFonts w:hint="eastAsia"/>
                <w:sz w:val="24"/>
                <w:szCs w:val="22"/>
              </w:rPr>
              <w:t>废机油废物类别为HW08废矿物油与含矿物油废物，废物代码为900-249-08，产生量约为0.2t/a，评价要求废机油集中收集后，暂存于危废贮存点，后定期送有资质的危废处置单位集中处置。</w:t>
            </w:r>
          </w:p>
          <w:p w14:paraId="00963496">
            <w:pPr>
              <w:pStyle w:val="72"/>
              <w:spacing w:line="400" w:lineRule="exact"/>
              <w:ind w:firstLine="480"/>
              <w:rPr>
                <w:sz w:val="24"/>
                <w:szCs w:val="22"/>
              </w:rPr>
            </w:pPr>
            <w:r>
              <w:rPr>
                <w:rFonts w:hint="eastAsia"/>
                <w:sz w:val="24"/>
                <w:szCs w:val="22"/>
              </w:rPr>
              <w:t>废油桶废物类别为HW49其他废物，废物代码为900-041-49，产生量约为0.5t/a。评价要求废油桶集中收集后，暂存于危废贮存点，后定期送有资质的危废处置单位集中处置。</w:t>
            </w:r>
          </w:p>
          <w:p w14:paraId="1D6C09A7">
            <w:pPr>
              <w:pStyle w:val="72"/>
              <w:spacing w:line="400" w:lineRule="exact"/>
              <w:ind w:firstLine="480"/>
              <w:rPr>
                <w:sz w:val="24"/>
                <w:szCs w:val="22"/>
              </w:rPr>
            </w:pPr>
            <w:r>
              <w:rPr>
                <w:rFonts w:hint="eastAsia"/>
                <w:sz w:val="24"/>
                <w:szCs w:val="22"/>
              </w:rPr>
              <w:t>项目设备润滑、维修等过程中产生的废含油抹布、劳保用品等，也属于危险废物，废物类别为</w:t>
            </w:r>
            <w:r>
              <w:rPr>
                <w:sz w:val="24"/>
                <w:szCs w:val="22"/>
              </w:rPr>
              <w:t>HW49</w:t>
            </w:r>
            <w:r>
              <w:rPr>
                <w:rFonts w:hint="eastAsia"/>
                <w:sz w:val="24"/>
                <w:szCs w:val="22"/>
              </w:rPr>
              <w:t>其他废物，废物代码为</w:t>
            </w:r>
            <w:r>
              <w:rPr>
                <w:sz w:val="24"/>
                <w:szCs w:val="22"/>
              </w:rPr>
              <w:t>900-041-49</w:t>
            </w:r>
            <w:r>
              <w:rPr>
                <w:rFonts w:hint="eastAsia"/>
                <w:sz w:val="24"/>
                <w:szCs w:val="22"/>
              </w:rPr>
              <w:t>。本项目废含油抹布等产生量约</w:t>
            </w:r>
            <w:r>
              <w:rPr>
                <w:sz w:val="24"/>
                <w:szCs w:val="22"/>
              </w:rPr>
              <w:t>0.3t/a</w:t>
            </w:r>
            <w:r>
              <w:rPr>
                <w:rFonts w:hint="eastAsia"/>
                <w:sz w:val="24"/>
                <w:szCs w:val="22"/>
              </w:rPr>
              <w:t>，集中收集后，暂存于危废贮存点，后定期送有资质的危废处置单位集中处置。</w:t>
            </w:r>
          </w:p>
          <w:p w14:paraId="54BB171F">
            <w:pPr>
              <w:pStyle w:val="45"/>
              <w:rPr>
                <w:rFonts w:ascii="Times New Roman" w:hAnsi="Times New Roman"/>
                <w:sz w:val="24"/>
                <w:szCs w:val="24"/>
              </w:rPr>
            </w:pPr>
            <w:r>
              <w:rPr>
                <w:rFonts w:hint="eastAsia" w:ascii="Times New Roman" w:hAnsi="Times New Roman"/>
                <w:sz w:val="24"/>
                <w:szCs w:val="24"/>
              </w:rPr>
              <w:t>表4-12  危险废物源强核算表</w:t>
            </w:r>
          </w:p>
          <w:tbl>
            <w:tblPr>
              <w:tblStyle w:val="20"/>
              <w:tblpPr w:leftFromText="180" w:rightFromText="180" w:vertAnchor="text" w:horzAnchor="page" w:tblpX="93" w:tblpY="65"/>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9"/>
              <w:gridCol w:w="697"/>
              <w:gridCol w:w="1120"/>
              <w:gridCol w:w="640"/>
              <w:gridCol w:w="924"/>
              <w:gridCol w:w="465"/>
              <w:gridCol w:w="909"/>
              <w:gridCol w:w="932"/>
              <w:gridCol w:w="610"/>
              <w:gridCol w:w="420"/>
              <w:gridCol w:w="928"/>
            </w:tblGrid>
            <w:tr w14:paraId="4471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18" w:type="pct"/>
                  <w:tcBorders>
                    <w:top w:val="single" w:color="auto" w:sz="4" w:space="0"/>
                    <w:left w:val="single" w:color="auto" w:sz="4" w:space="0"/>
                    <w:bottom w:val="single" w:color="auto" w:sz="4" w:space="0"/>
                    <w:right w:val="single" w:color="auto" w:sz="4" w:space="0"/>
                  </w:tcBorders>
                  <w:vAlign w:val="center"/>
                </w:tcPr>
                <w:p w14:paraId="2872E23B">
                  <w:pPr>
                    <w:pStyle w:val="52"/>
                  </w:pPr>
                  <w:r>
                    <w:rPr>
                      <w:rFonts w:hint="eastAsia"/>
                    </w:rPr>
                    <w:t>危险废物名称</w:t>
                  </w:r>
                </w:p>
              </w:tc>
              <w:tc>
                <w:tcPr>
                  <w:tcW w:w="423" w:type="pct"/>
                  <w:tcBorders>
                    <w:top w:val="single" w:color="auto" w:sz="4" w:space="0"/>
                    <w:left w:val="single" w:color="auto" w:sz="4" w:space="0"/>
                    <w:bottom w:val="single" w:color="auto" w:sz="4" w:space="0"/>
                    <w:right w:val="single" w:color="auto" w:sz="4" w:space="0"/>
                  </w:tcBorders>
                  <w:vAlign w:val="center"/>
                </w:tcPr>
                <w:p w14:paraId="5A5DCB0C">
                  <w:pPr>
                    <w:pStyle w:val="52"/>
                  </w:pPr>
                  <w:r>
                    <w:rPr>
                      <w:rFonts w:hint="eastAsia"/>
                    </w:rPr>
                    <w:t>危险废物类别</w:t>
                  </w:r>
                </w:p>
              </w:tc>
              <w:tc>
                <w:tcPr>
                  <w:tcW w:w="677" w:type="pct"/>
                  <w:tcBorders>
                    <w:top w:val="single" w:color="auto" w:sz="4" w:space="0"/>
                    <w:left w:val="single" w:color="auto" w:sz="4" w:space="0"/>
                    <w:bottom w:val="single" w:color="auto" w:sz="4" w:space="0"/>
                    <w:right w:val="single" w:color="auto" w:sz="4" w:space="0"/>
                  </w:tcBorders>
                  <w:vAlign w:val="center"/>
                </w:tcPr>
                <w:p w14:paraId="5B436E7D">
                  <w:pPr>
                    <w:pStyle w:val="52"/>
                  </w:pPr>
                  <w:r>
                    <w:rPr>
                      <w:rFonts w:hint="eastAsia"/>
                    </w:rPr>
                    <w:t>危险废物</w:t>
                  </w:r>
                </w:p>
                <w:p w14:paraId="44F2972A">
                  <w:pPr>
                    <w:pStyle w:val="52"/>
                  </w:pPr>
                  <w:r>
                    <w:rPr>
                      <w:rFonts w:hint="eastAsia"/>
                    </w:rPr>
                    <w:t>代码</w:t>
                  </w:r>
                </w:p>
              </w:tc>
              <w:tc>
                <w:tcPr>
                  <w:tcW w:w="338" w:type="pct"/>
                  <w:tcBorders>
                    <w:top w:val="single" w:color="auto" w:sz="4" w:space="0"/>
                    <w:left w:val="single" w:color="auto" w:sz="4" w:space="0"/>
                    <w:bottom w:val="single" w:color="auto" w:sz="4" w:space="0"/>
                    <w:right w:val="single" w:color="auto" w:sz="4" w:space="0"/>
                  </w:tcBorders>
                  <w:vAlign w:val="center"/>
                </w:tcPr>
                <w:p w14:paraId="299DF35C">
                  <w:pPr>
                    <w:pStyle w:val="52"/>
                  </w:pPr>
                  <w:r>
                    <w:rPr>
                      <w:rFonts w:hint="eastAsia"/>
                    </w:rPr>
                    <w:t>产生量（t/a）</w:t>
                  </w:r>
                </w:p>
              </w:tc>
              <w:tc>
                <w:tcPr>
                  <w:tcW w:w="559" w:type="pct"/>
                  <w:tcBorders>
                    <w:top w:val="single" w:color="auto" w:sz="4" w:space="0"/>
                    <w:left w:val="single" w:color="auto" w:sz="4" w:space="0"/>
                    <w:bottom w:val="single" w:color="auto" w:sz="4" w:space="0"/>
                    <w:right w:val="single" w:color="auto" w:sz="4" w:space="0"/>
                  </w:tcBorders>
                  <w:vAlign w:val="center"/>
                </w:tcPr>
                <w:p w14:paraId="2B8DE6BE">
                  <w:pPr>
                    <w:pStyle w:val="52"/>
                  </w:pPr>
                  <w:r>
                    <w:rPr>
                      <w:rFonts w:hint="eastAsia"/>
                    </w:rPr>
                    <w:t>产生工序及装置</w:t>
                  </w:r>
                </w:p>
              </w:tc>
              <w:tc>
                <w:tcPr>
                  <w:tcW w:w="284" w:type="pct"/>
                  <w:tcBorders>
                    <w:top w:val="single" w:color="auto" w:sz="4" w:space="0"/>
                    <w:left w:val="single" w:color="auto" w:sz="4" w:space="0"/>
                    <w:bottom w:val="single" w:color="auto" w:sz="4" w:space="0"/>
                    <w:right w:val="single" w:color="auto" w:sz="4" w:space="0"/>
                  </w:tcBorders>
                  <w:vAlign w:val="center"/>
                </w:tcPr>
                <w:p w14:paraId="7DD9C416">
                  <w:pPr>
                    <w:pStyle w:val="52"/>
                  </w:pPr>
                  <w:r>
                    <w:rPr>
                      <w:rFonts w:hint="eastAsia"/>
                    </w:rPr>
                    <w:t>形态</w:t>
                  </w:r>
                </w:p>
              </w:tc>
              <w:tc>
                <w:tcPr>
                  <w:tcW w:w="550" w:type="pct"/>
                  <w:tcBorders>
                    <w:top w:val="single" w:color="auto" w:sz="4" w:space="0"/>
                    <w:left w:val="single" w:color="auto" w:sz="4" w:space="0"/>
                    <w:bottom w:val="single" w:color="auto" w:sz="4" w:space="0"/>
                    <w:right w:val="single" w:color="auto" w:sz="4" w:space="0"/>
                  </w:tcBorders>
                  <w:vAlign w:val="center"/>
                </w:tcPr>
                <w:p w14:paraId="2644819F">
                  <w:pPr>
                    <w:pStyle w:val="52"/>
                  </w:pPr>
                  <w:r>
                    <w:rPr>
                      <w:rFonts w:hint="eastAsia"/>
                    </w:rPr>
                    <w:t>主要成分</w:t>
                  </w:r>
                </w:p>
              </w:tc>
              <w:tc>
                <w:tcPr>
                  <w:tcW w:w="564" w:type="pct"/>
                  <w:tcBorders>
                    <w:top w:val="single" w:color="auto" w:sz="4" w:space="0"/>
                    <w:left w:val="single" w:color="auto" w:sz="4" w:space="0"/>
                    <w:bottom w:val="single" w:color="auto" w:sz="4" w:space="0"/>
                    <w:right w:val="single" w:color="auto" w:sz="4" w:space="0"/>
                  </w:tcBorders>
                  <w:vAlign w:val="center"/>
                </w:tcPr>
                <w:p w14:paraId="2D2D6D88">
                  <w:pPr>
                    <w:pStyle w:val="52"/>
                  </w:pPr>
                  <w:r>
                    <w:rPr>
                      <w:rFonts w:hint="eastAsia"/>
                    </w:rPr>
                    <w:t>有害成分</w:t>
                  </w:r>
                </w:p>
              </w:tc>
              <w:tc>
                <w:tcPr>
                  <w:tcW w:w="370" w:type="pct"/>
                  <w:tcBorders>
                    <w:top w:val="single" w:color="auto" w:sz="4" w:space="0"/>
                    <w:left w:val="single" w:color="auto" w:sz="4" w:space="0"/>
                    <w:bottom w:val="single" w:color="auto" w:sz="4" w:space="0"/>
                    <w:right w:val="single" w:color="auto" w:sz="4" w:space="0"/>
                  </w:tcBorders>
                  <w:vAlign w:val="center"/>
                </w:tcPr>
                <w:p w14:paraId="42CFB9CC">
                  <w:pPr>
                    <w:pStyle w:val="52"/>
                  </w:pPr>
                  <w:r>
                    <w:rPr>
                      <w:rFonts w:hint="eastAsia"/>
                    </w:rPr>
                    <w:t>产废周期</w:t>
                  </w:r>
                </w:p>
              </w:tc>
              <w:tc>
                <w:tcPr>
                  <w:tcW w:w="256" w:type="pct"/>
                  <w:tcBorders>
                    <w:top w:val="single" w:color="auto" w:sz="4" w:space="0"/>
                    <w:left w:val="single" w:color="auto" w:sz="4" w:space="0"/>
                    <w:bottom w:val="single" w:color="auto" w:sz="4" w:space="0"/>
                    <w:right w:val="single" w:color="auto" w:sz="4" w:space="0"/>
                  </w:tcBorders>
                  <w:vAlign w:val="center"/>
                </w:tcPr>
                <w:p w14:paraId="36179436">
                  <w:pPr>
                    <w:pStyle w:val="52"/>
                  </w:pPr>
                  <w:r>
                    <w:rPr>
                      <w:rFonts w:hint="eastAsia"/>
                    </w:rPr>
                    <w:t>危险</w:t>
                  </w:r>
                </w:p>
                <w:p w14:paraId="419DB1EF">
                  <w:pPr>
                    <w:pStyle w:val="52"/>
                  </w:pPr>
                  <w:r>
                    <w:rPr>
                      <w:rFonts w:hint="eastAsia"/>
                    </w:rPr>
                    <w:t>特性</w:t>
                  </w:r>
                </w:p>
              </w:tc>
              <w:tc>
                <w:tcPr>
                  <w:tcW w:w="561" w:type="pct"/>
                  <w:tcBorders>
                    <w:top w:val="single" w:color="auto" w:sz="4" w:space="0"/>
                    <w:left w:val="single" w:color="auto" w:sz="4" w:space="0"/>
                    <w:bottom w:val="single" w:color="auto" w:sz="4" w:space="0"/>
                    <w:right w:val="single" w:color="auto" w:sz="4" w:space="0"/>
                  </w:tcBorders>
                  <w:vAlign w:val="center"/>
                </w:tcPr>
                <w:p w14:paraId="59C00141">
                  <w:pPr>
                    <w:pStyle w:val="52"/>
                  </w:pPr>
                  <w:r>
                    <w:rPr>
                      <w:rFonts w:hint="eastAsia"/>
                    </w:rPr>
                    <w:t>污染防治</w:t>
                  </w:r>
                </w:p>
                <w:p w14:paraId="35FCF5E0">
                  <w:pPr>
                    <w:pStyle w:val="52"/>
                  </w:pPr>
                  <w:r>
                    <w:rPr>
                      <w:rFonts w:hint="eastAsia"/>
                    </w:rPr>
                    <w:t>措施</w:t>
                  </w:r>
                </w:p>
              </w:tc>
            </w:tr>
            <w:tr w14:paraId="7671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18" w:type="pct"/>
                  <w:tcBorders>
                    <w:top w:val="single" w:color="auto" w:sz="4" w:space="0"/>
                    <w:left w:val="single" w:color="auto" w:sz="4" w:space="0"/>
                    <w:bottom w:val="single" w:color="auto" w:sz="4" w:space="0"/>
                    <w:right w:val="single" w:color="auto" w:sz="4" w:space="0"/>
                  </w:tcBorders>
                  <w:vAlign w:val="center"/>
                </w:tcPr>
                <w:p w14:paraId="4FAFFBE0">
                  <w:pPr>
                    <w:pStyle w:val="52"/>
                  </w:pPr>
                  <w:r>
                    <w:rPr>
                      <w:rFonts w:hint="eastAsia"/>
                    </w:rPr>
                    <w:t>废机油</w:t>
                  </w:r>
                </w:p>
              </w:tc>
              <w:tc>
                <w:tcPr>
                  <w:tcW w:w="423" w:type="pct"/>
                  <w:tcBorders>
                    <w:top w:val="single" w:color="auto" w:sz="4" w:space="0"/>
                    <w:left w:val="single" w:color="auto" w:sz="4" w:space="0"/>
                    <w:bottom w:val="single" w:color="auto" w:sz="4" w:space="0"/>
                    <w:right w:val="single" w:color="auto" w:sz="4" w:space="0"/>
                  </w:tcBorders>
                  <w:vAlign w:val="center"/>
                </w:tcPr>
                <w:p w14:paraId="2D5E95B8">
                  <w:pPr>
                    <w:pStyle w:val="52"/>
                  </w:pPr>
                  <w:r>
                    <w:rPr>
                      <w:rFonts w:hint="eastAsia"/>
                    </w:rPr>
                    <w:t>HW08</w:t>
                  </w:r>
                </w:p>
              </w:tc>
              <w:tc>
                <w:tcPr>
                  <w:tcW w:w="677" w:type="pct"/>
                  <w:tcBorders>
                    <w:top w:val="single" w:color="auto" w:sz="4" w:space="0"/>
                    <w:left w:val="single" w:color="auto" w:sz="4" w:space="0"/>
                    <w:bottom w:val="single" w:color="auto" w:sz="4" w:space="0"/>
                    <w:right w:val="single" w:color="auto" w:sz="4" w:space="0"/>
                  </w:tcBorders>
                  <w:vAlign w:val="center"/>
                </w:tcPr>
                <w:p w14:paraId="20A2896A">
                  <w:pPr>
                    <w:pStyle w:val="52"/>
                  </w:pPr>
                  <w:r>
                    <w:rPr>
                      <w:rFonts w:hint="eastAsia"/>
                    </w:rPr>
                    <w:t>900-249-08</w:t>
                  </w:r>
                </w:p>
              </w:tc>
              <w:tc>
                <w:tcPr>
                  <w:tcW w:w="338" w:type="pct"/>
                  <w:tcBorders>
                    <w:top w:val="single" w:color="auto" w:sz="4" w:space="0"/>
                    <w:left w:val="single" w:color="auto" w:sz="4" w:space="0"/>
                    <w:bottom w:val="single" w:color="auto" w:sz="4" w:space="0"/>
                    <w:right w:val="single" w:color="auto" w:sz="4" w:space="0"/>
                  </w:tcBorders>
                  <w:vAlign w:val="center"/>
                </w:tcPr>
                <w:p w14:paraId="167E6B9F">
                  <w:pPr>
                    <w:pStyle w:val="52"/>
                  </w:pPr>
                  <w:r>
                    <w:rPr>
                      <w:rFonts w:hint="eastAsia"/>
                    </w:rPr>
                    <w:t>0.2</w:t>
                  </w:r>
                </w:p>
              </w:tc>
              <w:tc>
                <w:tcPr>
                  <w:tcW w:w="559" w:type="pct"/>
                  <w:tcBorders>
                    <w:top w:val="single" w:color="auto" w:sz="4" w:space="0"/>
                    <w:left w:val="single" w:color="auto" w:sz="4" w:space="0"/>
                    <w:bottom w:val="single" w:color="auto" w:sz="4" w:space="0"/>
                    <w:right w:val="single" w:color="auto" w:sz="4" w:space="0"/>
                  </w:tcBorders>
                  <w:vAlign w:val="center"/>
                </w:tcPr>
                <w:p w14:paraId="0AF36A83">
                  <w:pPr>
                    <w:pStyle w:val="52"/>
                  </w:pPr>
                  <w:r>
                    <w:rPr>
                      <w:rFonts w:hint="eastAsia"/>
                    </w:rPr>
                    <w:t>设备检修</w:t>
                  </w:r>
                </w:p>
              </w:tc>
              <w:tc>
                <w:tcPr>
                  <w:tcW w:w="284" w:type="pct"/>
                  <w:tcBorders>
                    <w:top w:val="single" w:color="auto" w:sz="4" w:space="0"/>
                    <w:left w:val="single" w:color="auto" w:sz="4" w:space="0"/>
                    <w:bottom w:val="single" w:color="auto" w:sz="4" w:space="0"/>
                    <w:right w:val="single" w:color="auto" w:sz="4" w:space="0"/>
                  </w:tcBorders>
                  <w:vAlign w:val="center"/>
                </w:tcPr>
                <w:p w14:paraId="3749DC76">
                  <w:pPr>
                    <w:pStyle w:val="52"/>
                  </w:pPr>
                  <w:r>
                    <w:rPr>
                      <w:rFonts w:hint="eastAsia"/>
                    </w:rPr>
                    <w:t>液态</w:t>
                  </w:r>
                </w:p>
              </w:tc>
              <w:tc>
                <w:tcPr>
                  <w:tcW w:w="550" w:type="pct"/>
                  <w:tcBorders>
                    <w:top w:val="single" w:color="auto" w:sz="4" w:space="0"/>
                    <w:left w:val="single" w:color="auto" w:sz="4" w:space="0"/>
                    <w:bottom w:val="single" w:color="auto" w:sz="4" w:space="0"/>
                    <w:right w:val="single" w:color="auto" w:sz="4" w:space="0"/>
                  </w:tcBorders>
                  <w:vAlign w:val="center"/>
                </w:tcPr>
                <w:p w14:paraId="279B6F8A">
                  <w:pPr>
                    <w:pStyle w:val="52"/>
                  </w:pPr>
                  <w:r>
                    <w:rPr>
                      <w:rFonts w:hint="eastAsia"/>
                    </w:rPr>
                    <w:t>矿物油</w:t>
                  </w:r>
                </w:p>
              </w:tc>
              <w:tc>
                <w:tcPr>
                  <w:tcW w:w="564" w:type="pct"/>
                  <w:tcBorders>
                    <w:top w:val="single" w:color="auto" w:sz="4" w:space="0"/>
                    <w:left w:val="single" w:color="auto" w:sz="4" w:space="0"/>
                    <w:bottom w:val="single" w:color="auto" w:sz="4" w:space="0"/>
                    <w:right w:val="single" w:color="auto" w:sz="4" w:space="0"/>
                  </w:tcBorders>
                  <w:vAlign w:val="center"/>
                </w:tcPr>
                <w:p w14:paraId="1112BE5A">
                  <w:pPr>
                    <w:pStyle w:val="52"/>
                  </w:pPr>
                  <w:r>
                    <w:rPr>
                      <w:rFonts w:hint="eastAsia"/>
                    </w:rPr>
                    <w:t>废矿物油</w:t>
                  </w:r>
                </w:p>
              </w:tc>
              <w:tc>
                <w:tcPr>
                  <w:tcW w:w="370" w:type="pct"/>
                  <w:tcBorders>
                    <w:top w:val="single" w:color="auto" w:sz="4" w:space="0"/>
                    <w:left w:val="single" w:color="auto" w:sz="4" w:space="0"/>
                    <w:bottom w:val="single" w:color="auto" w:sz="4" w:space="0"/>
                    <w:right w:val="single" w:color="auto" w:sz="4" w:space="0"/>
                  </w:tcBorders>
                  <w:vAlign w:val="center"/>
                </w:tcPr>
                <w:p w14:paraId="171D4589">
                  <w:pPr>
                    <w:pStyle w:val="52"/>
                  </w:pPr>
                  <w:r>
                    <w:rPr>
                      <w:rFonts w:hint="eastAsia"/>
                    </w:rPr>
                    <w:t>间歇</w:t>
                  </w:r>
                </w:p>
              </w:tc>
              <w:tc>
                <w:tcPr>
                  <w:tcW w:w="256" w:type="pct"/>
                  <w:tcBorders>
                    <w:top w:val="single" w:color="auto" w:sz="4" w:space="0"/>
                    <w:left w:val="single" w:color="auto" w:sz="4" w:space="0"/>
                    <w:bottom w:val="single" w:color="auto" w:sz="4" w:space="0"/>
                    <w:right w:val="single" w:color="auto" w:sz="4" w:space="0"/>
                  </w:tcBorders>
                  <w:vAlign w:val="center"/>
                </w:tcPr>
                <w:p w14:paraId="59014D25">
                  <w:pPr>
                    <w:pStyle w:val="52"/>
                  </w:pPr>
                  <w:r>
                    <w:rPr>
                      <w:rFonts w:hint="eastAsia"/>
                    </w:rPr>
                    <w:t>T,I</w:t>
                  </w:r>
                </w:p>
              </w:tc>
              <w:tc>
                <w:tcPr>
                  <w:tcW w:w="561" w:type="pct"/>
                  <w:vMerge w:val="restart"/>
                  <w:tcBorders>
                    <w:left w:val="single" w:color="auto" w:sz="4" w:space="0"/>
                    <w:right w:val="single" w:color="auto" w:sz="4" w:space="0"/>
                  </w:tcBorders>
                  <w:vAlign w:val="center"/>
                </w:tcPr>
                <w:p w14:paraId="21F95D02">
                  <w:pPr>
                    <w:pStyle w:val="52"/>
                  </w:pPr>
                  <w:r>
                    <w:rPr>
                      <w:rFonts w:hint="eastAsia"/>
                    </w:rPr>
                    <w:t>分类收集于危废桶/袋，暂存于危废贮存点，后委托有资质单位处置</w:t>
                  </w:r>
                </w:p>
              </w:tc>
            </w:tr>
            <w:tr w14:paraId="4947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18" w:type="pct"/>
                  <w:tcBorders>
                    <w:top w:val="single" w:color="auto" w:sz="4" w:space="0"/>
                    <w:left w:val="single" w:color="auto" w:sz="4" w:space="0"/>
                    <w:bottom w:val="single" w:color="auto" w:sz="4" w:space="0"/>
                    <w:right w:val="single" w:color="auto" w:sz="4" w:space="0"/>
                  </w:tcBorders>
                  <w:vAlign w:val="center"/>
                </w:tcPr>
                <w:p w14:paraId="0A45B344">
                  <w:pPr>
                    <w:pStyle w:val="52"/>
                  </w:pPr>
                  <w:r>
                    <w:rPr>
                      <w:rFonts w:hint="eastAsia"/>
                    </w:rPr>
                    <w:t>废油桶</w:t>
                  </w:r>
                </w:p>
              </w:tc>
              <w:tc>
                <w:tcPr>
                  <w:tcW w:w="423" w:type="pct"/>
                  <w:tcBorders>
                    <w:top w:val="single" w:color="auto" w:sz="4" w:space="0"/>
                    <w:left w:val="single" w:color="auto" w:sz="4" w:space="0"/>
                    <w:bottom w:val="single" w:color="auto" w:sz="4" w:space="0"/>
                    <w:right w:val="single" w:color="auto" w:sz="4" w:space="0"/>
                  </w:tcBorders>
                  <w:vAlign w:val="center"/>
                </w:tcPr>
                <w:p w14:paraId="2EFAFF90">
                  <w:pPr>
                    <w:pStyle w:val="52"/>
                  </w:pPr>
                  <w:r>
                    <w:rPr>
                      <w:rFonts w:hint="eastAsia"/>
                    </w:rPr>
                    <w:t>HW49</w:t>
                  </w:r>
                </w:p>
              </w:tc>
              <w:tc>
                <w:tcPr>
                  <w:tcW w:w="677" w:type="pct"/>
                  <w:tcBorders>
                    <w:top w:val="single" w:color="auto" w:sz="4" w:space="0"/>
                    <w:left w:val="single" w:color="auto" w:sz="4" w:space="0"/>
                    <w:bottom w:val="single" w:color="auto" w:sz="4" w:space="0"/>
                    <w:right w:val="single" w:color="auto" w:sz="4" w:space="0"/>
                  </w:tcBorders>
                  <w:vAlign w:val="center"/>
                </w:tcPr>
                <w:p w14:paraId="6E2AF234">
                  <w:pPr>
                    <w:pStyle w:val="52"/>
                  </w:pPr>
                  <w:r>
                    <w:rPr>
                      <w:rFonts w:hint="eastAsia"/>
                    </w:rPr>
                    <w:t>900-041-49</w:t>
                  </w:r>
                </w:p>
              </w:tc>
              <w:tc>
                <w:tcPr>
                  <w:tcW w:w="338" w:type="pct"/>
                  <w:tcBorders>
                    <w:top w:val="single" w:color="auto" w:sz="4" w:space="0"/>
                    <w:left w:val="single" w:color="auto" w:sz="4" w:space="0"/>
                    <w:bottom w:val="single" w:color="auto" w:sz="4" w:space="0"/>
                    <w:right w:val="single" w:color="auto" w:sz="4" w:space="0"/>
                  </w:tcBorders>
                  <w:vAlign w:val="center"/>
                </w:tcPr>
                <w:p w14:paraId="009AAC41">
                  <w:pPr>
                    <w:pStyle w:val="52"/>
                  </w:pPr>
                  <w:r>
                    <w:rPr>
                      <w:rFonts w:hint="eastAsia"/>
                    </w:rPr>
                    <w:t>0.5</w:t>
                  </w:r>
                </w:p>
              </w:tc>
              <w:tc>
                <w:tcPr>
                  <w:tcW w:w="559" w:type="pct"/>
                  <w:tcBorders>
                    <w:top w:val="single" w:color="auto" w:sz="4" w:space="0"/>
                    <w:left w:val="single" w:color="auto" w:sz="4" w:space="0"/>
                    <w:bottom w:val="single" w:color="auto" w:sz="4" w:space="0"/>
                    <w:right w:val="single" w:color="auto" w:sz="4" w:space="0"/>
                  </w:tcBorders>
                  <w:vAlign w:val="center"/>
                </w:tcPr>
                <w:p w14:paraId="48CEFABA">
                  <w:pPr>
                    <w:pStyle w:val="52"/>
                  </w:pPr>
                  <w:r>
                    <w:rPr>
                      <w:rFonts w:hint="eastAsia"/>
                    </w:rPr>
                    <w:t>设备检修</w:t>
                  </w:r>
                </w:p>
              </w:tc>
              <w:tc>
                <w:tcPr>
                  <w:tcW w:w="284" w:type="pct"/>
                  <w:tcBorders>
                    <w:top w:val="single" w:color="auto" w:sz="4" w:space="0"/>
                    <w:left w:val="single" w:color="auto" w:sz="4" w:space="0"/>
                    <w:bottom w:val="single" w:color="auto" w:sz="4" w:space="0"/>
                    <w:right w:val="single" w:color="auto" w:sz="4" w:space="0"/>
                  </w:tcBorders>
                  <w:vAlign w:val="center"/>
                </w:tcPr>
                <w:p w14:paraId="4775857E">
                  <w:pPr>
                    <w:pStyle w:val="52"/>
                  </w:pPr>
                  <w:r>
                    <w:rPr>
                      <w:rFonts w:hint="eastAsia"/>
                    </w:rPr>
                    <w:t>固态</w:t>
                  </w:r>
                </w:p>
              </w:tc>
              <w:tc>
                <w:tcPr>
                  <w:tcW w:w="550" w:type="pct"/>
                  <w:tcBorders>
                    <w:top w:val="single" w:color="auto" w:sz="4" w:space="0"/>
                    <w:left w:val="single" w:color="auto" w:sz="4" w:space="0"/>
                    <w:bottom w:val="single" w:color="auto" w:sz="4" w:space="0"/>
                    <w:right w:val="single" w:color="auto" w:sz="4" w:space="0"/>
                  </w:tcBorders>
                  <w:vAlign w:val="center"/>
                </w:tcPr>
                <w:p w14:paraId="028F0280">
                  <w:pPr>
                    <w:pStyle w:val="52"/>
                  </w:pPr>
                  <w:r>
                    <w:rPr>
                      <w:rFonts w:hint="eastAsia"/>
                    </w:rPr>
                    <w:t>铁、矿物油</w:t>
                  </w:r>
                </w:p>
              </w:tc>
              <w:tc>
                <w:tcPr>
                  <w:tcW w:w="564" w:type="pct"/>
                  <w:tcBorders>
                    <w:top w:val="single" w:color="auto" w:sz="4" w:space="0"/>
                    <w:left w:val="single" w:color="auto" w:sz="4" w:space="0"/>
                    <w:bottom w:val="single" w:color="auto" w:sz="4" w:space="0"/>
                    <w:right w:val="single" w:color="auto" w:sz="4" w:space="0"/>
                  </w:tcBorders>
                  <w:vAlign w:val="center"/>
                </w:tcPr>
                <w:p w14:paraId="435FA62B">
                  <w:pPr>
                    <w:pStyle w:val="52"/>
                  </w:pPr>
                  <w:r>
                    <w:rPr>
                      <w:rFonts w:hint="eastAsia"/>
                    </w:rPr>
                    <w:t>废矿物油</w:t>
                  </w:r>
                </w:p>
              </w:tc>
              <w:tc>
                <w:tcPr>
                  <w:tcW w:w="370" w:type="pct"/>
                  <w:tcBorders>
                    <w:top w:val="single" w:color="auto" w:sz="4" w:space="0"/>
                    <w:left w:val="single" w:color="auto" w:sz="4" w:space="0"/>
                    <w:bottom w:val="single" w:color="auto" w:sz="4" w:space="0"/>
                    <w:right w:val="single" w:color="auto" w:sz="4" w:space="0"/>
                  </w:tcBorders>
                  <w:vAlign w:val="center"/>
                </w:tcPr>
                <w:p w14:paraId="477685E8">
                  <w:pPr>
                    <w:pStyle w:val="52"/>
                  </w:pPr>
                  <w:r>
                    <w:rPr>
                      <w:rFonts w:hint="eastAsia"/>
                    </w:rPr>
                    <w:t>间歇</w:t>
                  </w:r>
                </w:p>
              </w:tc>
              <w:tc>
                <w:tcPr>
                  <w:tcW w:w="256" w:type="pct"/>
                  <w:tcBorders>
                    <w:top w:val="single" w:color="auto" w:sz="4" w:space="0"/>
                    <w:left w:val="single" w:color="auto" w:sz="4" w:space="0"/>
                    <w:bottom w:val="single" w:color="auto" w:sz="4" w:space="0"/>
                    <w:right w:val="single" w:color="auto" w:sz="4" w:space="0"/>
                  </w:tcBorders>
                  <w:vAlign w:val="center"/>
                </w:tcPr>
                <w:p w14:paraId="28FBEE4C">
                  <w:pPr>
                    <w:pStyle w:val="52"/>
                  </w:pPr>
                  <w:r>
                    <w:rPr>
                      <w:rFonts w:hint="eastAsia"/>
                    </w:rPr>
                    <w:t>T/In</w:t>
                  </w:r>
                </w:p>
              </w:tc>
              <w:tc>
                <w:tcPr>
                  <w:tcW w:w="561" w:type="pct"/>
                  <w:vMerge w:val="continue"/>
                  <w:tcBorders>
                    <w:left w:val="single" w:color="auto" w:sz="4" w:space="0"/>
                    <w:right w:val="single" w:color="auto" w:sz="4" w:space="0"/>
                  </w:tcBorders>
                  <w:vAlign w:val="center"/>
                </w:tcPr>
                <w:p w14:paraId="63F1AB5B">
                  <w:pPr>
                    <w:widowControl/>
                    <w:ind w:firstLine="360"/>
                    <w:jc w:val="left"/>
                    <w:rPr>
                      <w:sz w:val="18"/>
                      <w:szCs w:val="18"/>
                    </w:rPr>
                  </w:pPr>
                </w:p>
              </w:tc>
            </w:tr>
            <w:tr w14:paraId="6B3D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18" w:type="pct"/>
                  <w:tcBorders>
                    <w:top w:val="single" w:color="auto" w:sz="4" w:space="0"/>
                    <w:left w:val="single" w:color="auto" w:sz="4" w:space="0"/>
                    <w:bottom w:val="single" w:color="auto" w:sz="4" w:space="0"/>
                    <w:right w:val="single" w:color="auto" w:sz="4" w:space="0"/>
                  </w:tcBorders>
                  <w:vAlign w:val="center"/>
                </w:tcPr>
                <w:p w14:paraId="5C2EACF9">
                  <w:pPr>
                    <w:pStyle w:val="52"/>
                  </w:pPr>
                  <w:r>
                    <w:rPr>
                      <w:rFonts w:hint="eastAsia"/>
                    </w:rPr>
                    <w:t>废含油抹布</w:t>
                  </w:r>
                </w:p>
              </w:tc>
              <w:tc>
                <w:tcPr>
                  <w:tcW w:w="423" w:type="pct"/>
                  <w:tcBorders>
                    <w:top w:val="single" w:color="auto" w:sz="4" w:space="0"/>
                    <w:left w:val="single" w:color="auto" w:sz="4" w:space="0"/>
                    <w:bottom w:val="single" w:color="auto" w:sz="4" w:space="0"/>
                    <w:right w:val="single" w:color="auto" w:sz="4" w:space="0"/>
                  </w:tcBorders>
                  <w:vAlign w:val="center"/>
                </w:tcPr>
                <w:p w14:paraId="05AEBEF4">
                  <w:pPr>
                    <w:pStyle w:val="52"/>
                  </w:pPr>
                  <w:r>
                    <w:rPr>
                      <w:rFonts w:hint="eastAsia"/>
                    </w:rPr>
                    <w:t>HW49</w:t>
                  </w:r>
                </w:p>
              </w:tc>
              <w:tc>
                <w:tcPr>
                  <w:tcW w:w="677" w:type="pct"/>
                  <w:tcBorders>
                    <w:top w:val="single" w:color="auto" w:sz="4" w:space="0"/>
                    <w:left w:val="single" w:color="auto" w:sz="4" w:space="0"/>
                    <w:bottom w:val="single" w:color="auto" w:sz="4" w:space="0"/>
                    <w:right w:val="single" w:color="auto" w:sz="4" w:space="0"/>
                  </w:tcBorders>
                  <w:vAlign w:val="center"/>
                </w:tcPr>
                <w:p w14:paraId="1BE038BC">
                  <w:pPr>
                    <w:pStyle w:val="52"/>
                  </w:pPr>
                  <w:r>
                    <w:rPr>
                      <w:rFonts w:hint="eastAsia"/>
                    </w:rPr>
                    <w:t>900-041-49</w:t>
                  </w:r>
                </w:p>
              </w:tc>
              <w:tc>
                <w:tcPr>
                  <w:tcW w:w="338" w:type="pct"/>
                  <w:tcBorders>
                    <w:top w:val="single" w:color="auto" w:sz="4" w:space="0"/>
                    <w:left w:val="single" w:color="auto" w:sz="4" w:space="0"/>
                    <w:bottom w:val="single" w:color="auto" w:sz="4" w:space="0"/>
                    <w:right w:val="single" w:color="auto" w:sz="4" w:space="0"/>
                  </w:tcBorders>
                  <w:vAlign w:val="center"/>
                </w:tcPr>
                <w:p w14:paraId="03ED5094">
                  <w:pPr>
                    <w:pStyle w:val="52"/>
                  </w:pPr>
                  <w:r>
                    <w:t>0.3</w:t>
                  </w:r>
                </w:p>
              </w:tc>
              <w:tc>
                <w:tcPr>
                  <w:tcW w:w="559" w:type="pct"/>
                  <w:tcBorders>
                    <w:top w:val="single" w:color="auto" w:sz="4" w:space="0"/>
                    <w:left w:val="single" w:color="auto" w:sz="4" w:space="0"/>
                    <w:bottom w:val="single" w:color="auto" w:sz="4" w:space="0"/>
                    <w:right w:val="single" w:color="auto" w:sz="4" w:space="0"/>
                  </w:tcBorders>
                  <w:vAlign w:val="center"/>
                </w:tcPr>
                <w:p w14:paraId="4238EDCB">
                  <w:pPr>
                    <w:pStyle w:val="52"/>
                  </w:pPr>
                  <w:r>
                    <w:rPr>
                      <w:rFonts w:hint="eastAsia"/>
                    </w:rPr>
                    <w:t>设备检修</w:t>
                  </w:r>
                </w:p>
              </w:tc>
              <w:tc>
                <w:tcPr>
                  <w:tcW w:w="284" w:type="pct"/>
                  <w:tcBorders>
                    <w:top w:val="single" w:color="auto" w:sz="4" w:space="0"/>
                    <w:left w:val="single" w:color="auto" w:sz="4" w:space="0"/>
                    <w:bottom w:val="single" w:color="auto" w:sz="4" w:space="0"/>
                    <w:right w:val="single" w:color="auto" w:sz="4" w:space="0"/>
                  </w:tcBorders>
                  <w:vAlign w:val="center"/>
                </w:tcPr>
                <w:p w14:paraId="1D076F26">
                  <w:pPr>
                    <w:pStyle w:val="52"/>
                  </w:pPr>
                  <w:r>
                    <w:rPr>
                      <w:rFonts w:hint="eastAsia"/>
                    </w:rPr>
                    <w:t>固态</w:t>
                  </w:r>
                </w:p>
              </w:tc>
              <w:tc>
                <w:tcPr>
                  <w:tcW w:w="550" w:type="pct"/>
                  <w:tcBorders>
                    <w:top w:val="single" w:color="auto" w:sz="4" w:space="0"/>
                    <w:left w:val="single" w:color="auto" w:sz="4" w:space="0"/>
                    <w:bottom w:val="single" w:color="auto" w:sz="4" w:space="0"/>
                    <w:right w:val="single" w:color="auto" w:sz="4" w:space="0"/>
                  </w:tcBorders>
                  <w:vAlign w:val="center"/>
                </w:tcPr>
                <w:p w14:paraId="413FB595">
                  <w:pPr>
                    <w:pStyle w:val="52"/>
                  </w:pPr>
                  <w:r>
                    <w:rPr>
                      <w:rFonts w:hint="eastAsia"/>
                    </w:rPr>
                    <w:t>纺织品、矿物油</w:t>
                  </w:r>
                </w:p>
              </w:tc>
              <w:tc>
                <w:tcPr>
                  <w:tcW w:w="564" w:type="pct"/>
                  <w:tcBorders>
                    <w:top w:val="single" w:color="auto" w:sz="4" w:space="0"/>
                    <w:left w:val="single" w:color="auto" w:sz="4" w:space="0"/>
                    <w:bottom w:val="single" w:color="auto" w:sz="4" w:space="0"/>
                    <w:right w:val="single" w:color="auto" w:sz="4" w:space="0"/>
                  </w:tcBorders>
                  <w:vAlign w:val="center"/>
                </w:tcPr>
                <w:p w14:paraId="4425F87C">
                  <w:pPr>
                    <w:pStyle w:val="52"/>
                  </w:pPr>
                  <w:r>
                    <w:rPr>
                      <w:rFonts w:hint="eastAsia"/>
                    </w:rPr>
                    <w:t>废矿物油</w:t>
                  </w:r>
                </w:p>
              </w:tc>
              <w:tc>
                <w:tcPr>
                  <w:tcW w:w="370" w:type="pct"/>
                  <w:tcBorders>
                    <w:top w:val="single" w:color="auto" w:sz="4" w:space="0"/>
                    <w:left w:val="single" w:color="auto" w:sz="4" w:space="0"/>
                    <w:bottom w:val="single" w:color="auto" w:sz="4" w:space="0"/>
                    <w:right w:val="single" w:color="auto" w:sz="4" w:space="0"/>
                  </w:tcBorders>
                  <w:vAlign w:val="center"/>
                </w:tcPr>
                <w:p w14:paraId="7FBA8156">
                  <w:pPr>
                    <w:pStyle w:val="52"/>
                  </w:pPr>
                  <w:r>
                    <w:rPr>
                      <w:rFonts w:hint="eastAsia"/>
                    </w:rPr>
                    <w:t>间歇</w:t>
                  </w:r>
                </w:p>
              </w:tc>
              <w:tc>
                <w:tcPr>
                  <w:tcW w:w="256" w:type="pct"/>
                  <w:tcBorders>
                    <w:top w:val="single" w:color="auto" w:sz="4" w:space="0"/>
                    <w:left w:val="single" w:color="auto" w:sz="4" w:space="0"/>
                    <w:bottom w:val="single" w:color="auto" w:sz="4" w:space="0"/>
                    <w:right w:val="single" w:color="auto" w:sz="4" w:space="0"/>
                  </w:tcBorders>
                  <w:vAlign w:val="center"/>
                </w:tcPr>
                <w:p w14:paraId="3100CDB5">
                  <w:pPr>
                    <w:pStyle w:val="52"/>
                  </w:pPr>
                  <w:r>
                    <w:rPr>
                      <w:rFonts w:hint="eastAsia"/>
                    </w:rPr>
                    <w:t>T/In</w:t>
                  </w:r>
                </w:p>
              </w:tc>
              <w:tc>
                <w:tcPr>
                  <w:tcW w:w="561" w:type="pct"/>
                  <w:vMerge w:val="continue"/>
                  <w:tcBorders>
                    <w:left w:val="single" w:color="auto" w:sz="4" w:space="0"/>
                    <w:bottom w:val="single" w:color="auto" w:sz="4" w:space="0"/>
                    <w:right w:val="single" w:color="auto" w:sz="4" w:space="0"/>
                  </w:tcBorders>
                  <w:vAlign w:val="center"/>
                </w:tcPr>
                <w:p w14:paraId="06E07033">
                  <w:pPr>
                    <w:widowControl/>
                    <w:ind w:firstLine="360"/>
                    <w:jc w:val="left"/>
                    <w:rPr>
                      <w:sz w:val="18"/>
                      <w:szCs w:val="18"/>
                    </w:rPr>
                  </w:pPr>
                </w:p>
              </w:tc>
            </w:tr>
          </w:tbl>
          <w:p w14:paraId="1F4381B8">
            <w:pPr>
              <w:pStyle w:val="72"/>
              <w:spacing w:line="400" w:lineRule="exact"/>
              <w:ind w:firstLine="480"/>
              <w:rPr>
                <w:sz w:val="24"/>
                <w:szCs w:val="22"/>
              </w:rPr>
            </w:pPr>
            <w:r>
              <w:rPr>
                <w:rFonts w:hint="eastAsia"/>
                <w:sz w:val="24"/>
                <w:szCs w:val="22"/>
              </w:rPr>
              <w:t>（2）</w:t>
            </w:r>
            <w:r>
              <w:rPr>
                <w:rFonts w:hint="eastAsia"/>
                <w:sz w:val="24"/>
                <w:szCs w:val="32"/>
              </w:rPr>
              <w:t>危险废物</w:t>
            </w:r>
            <w:r>
              <w:rPr>
                <w:rFonts w:hint="eastAsia"/>
                <w:sz w:val="24"/>
                <w:szCs w:val="32"/>
                <w:lang w:val="en-US"/>
              </w:rPr>
              <w:t>暂存要求</w:t>
            </w:r>
          </w:p>
          <w:p w14:paraId="7BD43227">
            <w:pPr>
              <w:pStyle w:val="95"/>
              <w:spacing w:line="440" w:lineRule="exact"/>
              <w:ind w:firstLine="480"/>
              <w:rPr>
                <w:sz w:val="24"/>
                <w:szCs w:val="32"/>
              </w:rPr>
            </w:pPr>
            <w:r>
              <w:rPr>
                <w:rFonts w:hint="eastAsia"/>
                <w:sz w:val="24"/>
                <w:szCs w:val="32"/>
              </w:rPr>
              <w:t>1）危险废物处置措施</w:t>
            </w:r>
          </w:p>
          <w:p w14:paraId="1694F8DB">
            <w:pPr>
              <w:pStyle w:val="95"/>
              <w:spacing w:line="440" w:lineRule="exact"/>
              <w:ind w:firstLine="480"/>
              <w:rPr>
                <w:sz w:val="24"/>
                <w:szCs w:val="32"/>
                <w:lang w:val="zh-CN"/>
              </w:rPr>
            </w:pPr>
            <w:r>
              <w:rPr>
                <w:rFonts w:hint="eastAsia"/>
                <w:sz w:val="24"/>
                <w:szCs w:val="32"/>
              </w:rPr>
              <w:t>本项目产生的</w:t>
            </w:r>
            <w:r>
              <w:rPr>
                <w:rFonts w:hint="eastAsia"/>
                <w:sz w:val="24"/>
                <w:szCs w:val="32"/>
                <w:lang w:val="zh-CN"/>
              </w:rPr>
              <w:t>危险废物包括废机油、废油桶、含油劳保物品，暂存于厂区内的危废贮存点，交有危废处置资质的单位定期处</w:t>
            </w:r>
            <w:r>
              <w:rPr>
                <w:sz w:val="24"/>
                <w:szCs w:val="32"/>
                <w:lang w:val="zh-CN"/>
              </w:rPr>
              <w:t>置。</w:t>
            </w:r>
          </w:p>
          <w:p w14:paraId="6C1BB89B">
            <w:pPr>
              <w:pStyle w:val="113"/>
              <w:spacing w:line="440" w:lineRule="exact"/>
            </w:pPr>
            <w:r>
              <w:rPr>
                <w:rFonts w:hint="eastAsia"/>
              </w:rPr>
              <w:t>本项目新建1座10m</w:t>
            </w:r>
            <w:r>
              <w:rPr>
                <w:rFonts w:hint="eastAsia"/>
                <w:vertAlign w:val="superscript"/>
              </w:rPr>
              <w:t>2</w:t>
            </w:r>
            <w:r>
              <w:rPr>
                <w:rFonts w:hint="eastAsia"/>
              </w:rPr>
              <w:t>的危险废物暂存点，用于贮存本项目产生的危险废物，贮存点位于厂区西侧，采用钢架、保温板全封闭结构，危废贮存点应按照《危险废物贮存污染控制标准》（GB18597-2023）的要求进行建设，采用防风、防晒、防雨、防漏、防渗、防腐设计。</w:t>
            </w:r>
          </w:p>
          <w:p w14:paraId="7E860459">
            <w:pPr>
              <w:pStyle w:val="72"/>
              <w:spacing w:line="440" w:lineRule="exact"/>
              <w:ind w:firstLine="480"/>
              <w:rPr>
                <w:sz w:val="24"/>
                <w:szCs w:val="22"/>
              </w:rPr>
            </w:pPr>
            <w:r>
              <w:rPr>
                <w:rFonts w:hint="eastAsia"/>
                <w:sz w:val="24"/>
                <w:szCs w:val="22"/>
              </w:rPr>
              <w:t>2）危险废物贮存措施</w:t>
            </w:r>
          </w:p>
          <w:p w14:paraId="7661B5DA">
            <w:pPr>
              <w:pStyle w:val="113"/>
              <w:spacing w:line="440" w:lineRule="exact"/>
            </w:pPr>
            <w:r>
              <w:rPr>
                <w:rFonts w:hint="eastAsia"/>
              </w:rPr>
              <w:t>根据《危险废物贮存污染控制标准》（GB18597-2023）及《危险废物转移管理办法》（生态环境部、公安部、交通运输部令第23号）的规定，环评对本工程中危险废物的收集和贮存提出以下要求：</w:t>
            </w:r>
          </w:p>
          <w:p w14:paraId="1D8A5F36">
            <w:pPr>
              <w:pStyle w:val="72"/>
              <w:spacing w:line="440" w:lineRule="exact"/>
              <w:ind w:firstLine="480"/>
              <w:rPr>
                <w:sz w:val="24"/>
                <w:szCs w:val="22"/>
              </w:rPr>
            </w:pPr>
            <w:r>
              <w:rPr>
                <w:rFonts w:hint="eastAsia"/>
                <w:sz w:val="24"/>
                <w:szCs w:val="22"/>
              </w:rPr>
              <w:t>①厂区内设危废贮存点，用于</w:t>
            </w:r>
            <w:r>
              <w:rPr>
                <w:rFonts w:hint="eastAsia"/>
                <w:sz w:val="24"/>
                <w:szCs w:val="22"/>
                <w:lang w:val="en-US"/>
              </w:rPr>
              <w:t>各类危险废物</w:t>
            </w:r>
            <w:r>
              <w:rPr>
                <w:rFonts w:hint="eastAsia"/>
                <w:sz w:val="24"/>
                <w:szCs w:val="22"/>
              </w:rPr>
              <w:t>的储存，危废贮存点采用</w:t>
            </w:r>
            <w:r>
              <w:rPr>
                <w:rFonts w:hint="eastAsia"/>
                <w:snapToGrid w:val="0"/>
                <w:sz w:val="24"/>
                <w:szCs w:val="21"/>
              </w:rPr>
              <w:t>防风、防晒、防雨、防漏、防渗、防腐设计</w:t>
            </w:r>
            <w:r>
              <w:rPr>
                <w:rFonts w:hint="eastAsia"/>
                <w:sz w:val="24"/>
                <w:szCs w:val="22"/>
              </w:rPr>
              <w:t>；</w:t>
            </w:r>
          </w:p>
          <w:p w14:paraId="60736D90">
            <w:pPr>
              <w:pStyle w:val="72"/>
              <w:spacing w:line="440" w:lineRule="exact"/>
              <w:ind w:firstLine="480"/>
              <w:rPr>
                <w:sz w:val="24"/>
                <w:szCs w:val="22"/>
              </w:rPr>
            </w:pPr>
            <w:r>
              <w:rPr>
                <w:rFonts w:hint="eastAsia"/>
                <w:sz w:val="24"/>
                <w:szCs w:val="22"/>
              </w:rPr>
              <w:t>②废机油须装入符合标准的容器内，废矿物油贮存区要设置防渗漏托盘，或导流渠和集油池；</w:t>
            </w:r>
          </w:p>
          <w:p w14:paraId="473F0A13">
            <w:pPr>
              <w:pStyle w:val="72"/>
              <w:spacing w:line="440" w:lineRule="exact"/>
              <w:ind w:firstLine="480"/>
              <w:rPr>
                <w:sz w:val="24"/>
                <w:szCs w:val="22"/>
              </w:rPr>
            </w:pPr>
            <w:r>
              <w:rPr>
                <w:rFonts w:hint="eastAsia"/>
                <w:sz w:val="24"/>
                <w:szCs w:val="22"/>
              </w:rPr>
              <w:t>③盛装危险废物的容器内需留足够的空间，容器顶部与危废表面之间保留100mm以上的空间；</w:t>
            </w:r>
          </w:p>
          <w:p w14:paraId="58724FCC">
            <w:pPr>
              <w:pStyle w:val="72"/>
              <w:spacing w:line="440" w:lineRule="exact"/>
              <w:ind w:firstLine="480"/>
              <w:rPr>
                <w:sz w:val="24"/>
                <w:szCs w:val="22"/>
              </w:rPr>
            </w:pPr>
            <w:r>
              <w:rPr>
                <w:rFonts w:hint="eastAsia"/>
                <w:sz w:val="24"/>
                <w:szCs w:val="22"/>
              </w:rPr>
              <w:t>④盛装危险废物的容器上必须粘贴符合《危险废物贮存污染控制标准》（GB18597-20</w:t>
            </w:r>
            <w:r>
              <w:rPr>
                <w:sz w:val="24"/>
                <w:szCs w:val="22"/>
              </w:rPr>
              <w:t>23</w:t>
            </w:r>
            <w:r>
              <w:rPr>
                <w:rFonts w:hint="eastAsia"/>
                <w:sz w:val="24"/>
                <w:szCs w:val="22"/>
              </w:rPr>
              <w:t>）附录A所示的标签；</w:t>
            </w:r>
          </w:p>
          <w:p w14:paraId="346C173B">
            <w:pPr>
              <w:pStyle w:val="72"/>
              <w:spacing w:line="440" w:lineRule="exact"/>
              <w:ind w:firstLine="480"/>
              <w:rPr>
                <w:sz w:val="24"/>
                <w:szCs w:val="22"/>
              </w:rPr>
            </w:pPr>
            <w:r>
              <w:rPr>
                <w:rFonts w:hint="eastAsia"/>
                <w:sz w:val="24"/>
                <w:szCs w:val="22"/>
              </w:rPr>
              <w:t>⑤危险废物暂存区域不得存放未粘贴上述规定的标签或标签填写不规范的危险废物；</w:t>
            </w:r>
          </w:p>
          <w:p w14:paraId="31C40F45">
            <w:pPr>
              <w:pStyle w:val="72"/>
              <w:spacing w:line="440" w:lineRule="exact"/>
              <w:ind w:firstLine="480"/>
              <w:rPr>
                <w:sz w:val="24"/>
                <w:szCs w:val="22"/>
              </w:rPr>
            </w:pPr>
            <w:r>
              <w:rPr>
                <w:rFonts w:hint="eastAsia"/>
                <w:sz w:val="24"/>
                <w:szCs w:val="22"/>
              </w:rPr>
              <w:t>⑥</w:t>
            </w:r>
            <w:r>
              <w:rPr>
                <w:sz w:val="24"/>
                <w:szCs w:val="22"/>
              </w:rPr>
              <w:t>厂内要有专人管理危险废物，危险废物出入贮存场前，</w:t>
            </w:r>
            <w:r>
              <w:rPr>
                <w:rFonts w:hint="eastAsia"/>
                <w:sz w:val="24"/>
                <w:szCs w:val="22"/>
              </w:rPr>
              <w:t>必须做好危险废物记录，记录上须注明危险废物的名称、来源、数量、特性和包装容器的类别、入库日期、废物出库日期及接收单位名称，危险废物的记录和货单在危险废物回取后应继续保留三年</w:t>
            </w:r>
            <w:r>
              <w:rPr>
                <w:rFonts w:hint="eastAsia"/>
                <w:sz w:val="24"/>
              </w:rPr>
              <w:t>。</w:t>
            </w:r>
          </w:p>
          <w:p w14:paraId="498AA5EE">
            <w:pPr>
              <w:pStyle w:val="72"/>
              <w:spacing w:line="440" w:lineRule="exact"/>
              <w:ind w:firstLine="480"/>
              <w:rPr>
                <w:sz w:val="24"/>
                <w:szCs w:val="22"/>
              </w:rPr>
            </w:pPr>
            <w:r>
              <w:rPr>
                <w:rFonts w:hint="eastAsia"/>
                <w:sz w:val="24"/>
                <w:szCs w:val="22"/>
              </w:rPr>
              <w:t>⑦必须定期对所存放的危险废物包装容器及贮存设施进行检查，发现破损，应及时采取措施清理更换；</w:t>
            </w:r>
          </w:p>
          <w:p w14:paraId="670C6976">
            <w:pPr>
              <w:pStyle w:val="72"/>
              <w:spacing w:line="440" w:lineRule="exact"/>
              <w:ind w:firstLine="480"/>
              <w:rPr>
                <w:sz w:val="24"/>
                <w:szCs w:val="22"/>
              </w:rPr>
            </w:pPr>
            <w:r>
              <w:rPr>
                <w:rFonts w:hint="eastAsia"/>
                <w:sz w:val="24"/>
                <w:szCs w:val="22"/>
              </w:rPr>
              <w:t>⑧危险废物暂存区域要设置明显的贮存危险废物种类标志和警告标志，并在贮存点周围显著处标记“严禁烟火”的警示牌，设置灭火器等防火设备，做好火灾的预防工作；</w:t>
            </w:r>
          </w:p>
          <w:tbl>
            <w:tblPr>
              <w:tblStyle w:val="21"/>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28" w:type="dxa"/>
                <w:bottom w:w="0" w:type="dxa"/>
                <w:right w:w="28" w:type="dxa"/>
              </w:tblCellMar>
            </w:tblPr>
            <w:tblGrid>
              <w:gridCol w:w="3453"/>
              <w:gridCol w:w="2647"/>
              <w:gridCol w:w="2234"/>
            </w:tblGrid>
            <w:tr w14:paraId="358D21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c>
                <w:tcPr>
                  <w:tcW w:w="2072" w:type="pct"/>
                  <w:vAlign w:val="center"/>
                </w:tcPr>
                <w:p w14:paraId="6236B114">
                  <w:pPr>
                    <w:pStyle w:val="72"/>
                    <w:spacing w:line="240" w:lineRule="auto"/>
                    <w:ind w:firstLine="0" w:firstLineChars="0"/>
                    <w:jc w:val="center"/>
                  </w:pPr>
                  <w:r>
                    <w:rPr>
                      <w:rFonts w:hint="eastAsia"/>
                    </w:rPr>
                    <w:drawing>
                      <wp:inline distT="0" distB="0" distL="0" distR="0">
                        <wp:extent cx="2087880" cy="1312545"/>
                        <wp:effectExtent l="0" t="0" r="7620" b="1905"/>
                        <wp:docPr id="116621860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18601" name="图片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088000" cy="1312999"/>
                                </a:xfrm>
                                <a:prstGeom prst="rect">
                                  <a:avLst/>
                                </a:prstGeom>
                                <a:noFill/>
                                <a:ln>
                                  <a:noFill/>
                                </a:ln>
                              </pic:spPr>
                            </pic:pic>
                          </a:graphicData>
                        </a:graphic>
                      </wp:inline>
                    </w:drawing>
                  </w:r>
                </w:p>
              </w:tc>
              <w:tc>
                <w:tcPr>
                  <w:tcW w:w="1588" w:type="pct"/>
                  <w:vAlign w:val="center"/>
                </w:tcPr>
                <w:p w14:paraId="6734249B">
                  <w:pPr>
                    <w:pStyle w:val="72"/>
                    <w:spacing w:line="240" w:lineRule="auto"/>
                    <w:ind w:firstLine="0" w:firstLineChars="0"/>
                    <w:jc w:val="center"/>
                  </w:pPr>
                  <w:r>
                    <w:rPr>
                      <w:rFonts w:hint="eastAsia"/>
                    </w:rPr>
                    <w:drawing>
                      <wp:inline distT="0" distB="0" distL="0" distR="0">
                        <wp:extent cx="1583690" cy="1322705"/>
                        <wp:effectExtent l="0" t="0" r="0" b="0"/>
                        <wp:docPr id="15286860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686033" name="图片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584000" cy="1323142"/>
                                </a:xfrm>
                                <a:prstGeom prst="rect">
                                  <a:avLst/>
                                </a:prstGeom>
                                <a:noFill/>
                                <a:ln>
                                  <a:noFill/>
                                </a:ln>
                              </pic:spPr>
                            </pic:pic>
                          </a:graphicData>
                        </a:graphic>
                      </wp:inline>
                    </w:drawing>
                  </w:r>
                </w:p>
              </w:tc>
              <w:tc>
                <w:tcPr>
                  <w:tcW w:w="1340" w:type="pct"/>
                </w:tcPr>
                <w:p w14:paraId="566D2E11">
                  <w:pPr>
                    <w:pStyle w:val="72"/>
                    <w:spacing w:line="240" w:lineRule="auto"/>
                    <w:ind w:firstLine="0" w:firstLineChars="0"/>
                    <w:jc w:val="center"/>
                  </w:pPr>
                  <w:r>
                    <w:rPr>
                      <w:rFonts w:hint="eastAsia"/>
                    </w:rPr>
                    <w:drawing>
                      <wp:inline distT="0" distB="0" distL="0" distR="0">
                        <wp:extent cx="1295400" cy="1295400"/>
                        <wp:effectExtent l="0" t="0" r="0" b="0"/>
                        <wp:docPr id="14892100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10038" name="图片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296000" cy="1296000"/>
                                </a:xfrm>
                                <a:prstGeom prst="rect">
                                  <a:avLst/>
                                </a:prstGeom>
                                <a:noFill/>
                                <a:ln>
                                  <a:noFill/>
                                </a:ln>
                              </pic:spPr>
                            </pic:pic>
                          </a:graphicData>
                        </a:graphic>
                      </wp:inline>
                    </w:drawing>
                  </w:r>
                </w:p>
              </w:tc>
            </w:tr>
            <w:tr w14:paraId="5148C4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c>
                <w:tcPr>
                  <w:tcW w:w="2072" w:type="pct"/>
                  <w:vAlign w:val="center"/>
                </w:tcPr>
                <w:p w14:paraId="0241CE14">
                  <w:pPr>
                    <w:pStyle w:val="72"/>
                    <w:spacing w:line="240" w:lineRule="auto"/>
                    <w:ind w:firstLine="0" w:firstLineChars="0"/>
                    <w:jc w:val="center"/>
                  </w:pPr>
                  <w:r>
                    <w:rPr>
                      <w:rFonts w:hint="eastAsia"/>
                    </w:rPr>
                    <w:t>危废贮存设施标志</w:t>
                  </w:r>
                </w:p>
              </w:tc>
              <w:tc>
                <w:tcPr>
                  <w:tcW w:w="1588" w:type="pct"/>
                  <w:vAlign w:val="center"/>
                </w:tcPr>
                <w:p w14:paraId="318B745D">
                  <w:pPr>
                    <w:pStyle w:val="72"/>
                    <w:spacing w:line="240" w:lineRule="auto"/>
                    <w:ind w:firstLine="0" w:firstLineChars="0"/>
                    <w:jc w:val="center"/>
                  </w:pPr>
                  <w:r>
                    <w:rPr>
                      <w:rFonts w:hint="eastAsia"/>
                    </w:rPr>
                    <w:t>危废贮存分区标志</w:t>
                  </w:r>
                </w:p>
              </w:tc>
              <w:tc>
                <w:tcPr>
                  <w:tcW w:w="1340" w:type="pct"/>
                </w:tcPr>
                <w:p w14:paraId="4DFBD5E0">
                  <w:pPr>
                    <w:pStyle w:val="72"/>
                    <w:spacing w:line="240" w:lineRule="auto"/>
                    <w:ind w:firstLine="0" w:firstLineChars="0"/>
                    <w:jc w:val="center"/>
                  </w:pPr>
                  <w:r>
                    <w:rPr>
                      <w:rFonts w:hint="eastAsia"/>
                    </w:rPr>
                    <w:t>危险废物标签样式</w:t>
                  </w:r>
                </w:p>
              </w:tc>
            </w:tr>
          </w:tbl>
          <w:p w14:paraId="6FB29874">
            <w:pPr>
              <w:pStyle w:val="5"/>
              <w:spacing w:before="0" w:after="0" w:line="240" w:lineRule="auto"/>
              <w:jc w:val="center"/>
              <w:rPr>
                <w:rFonts w:ascii="Times New Roman" w:hAnsi="Times New Roman" w:eastAsia="宋体"/>
                <w:b w:val="0"/>
                <w:bCs w:val="0"/>
                <w:sz w:val="24"/>
                <w:szCs w:val="32"/>
              </w:rPr>
            </w:pPr>
            <w:r>
              <w:rPr>
                <w:rFonts w:hint="eastAsia" w:ascii="Times New Roman" w:hAnsi="Times New Roman" w:eastAsia="宋体"/>
                <w:b w:val="0"/>
                <w:bCs w:val="0"/>
                <w:sz w:val="24"/>
                <w:szCs w:val="32"/>
              </w:rPr>
              <w:t>图4-1   危险废物相关标识示意图</w:t>
            </w:r>
          </w:p>
          <w:p w14:paraId="318F8BE2">
            <w:pPr>
              <w:pStyle w:val="72"/>
              <w:spacing w:line="440" w:lineRule="exact"/>
              <w:ind w:firstLine="480"/>
              <w:rPr>
                <w:sz w:val="24"/>
                <w:szCs w:val="22"/>
              </w:rPr>
            </w:pPr>
            <w:r>
              <w:rPr>
                <w:rFonts w:hint="eastAsia"/>
                <w:sz w:val="24"/>
                <w:szCs w:val="22"/>
              </w:rPr>
              <w:t>⑨</w:t>
            </w:r>
            <w:r>
              <w:rPr>
                <w:rFonts w:hint="eastAsia" w:cs="宋体"/>
                <w:sz w:val="24"/>
              </w:rPr>
              <w:t>危险废物贮存点要求防渗指标等效黏土防渗层Mb≥6.0m，</w:t>
            </w:r>
            <w:r>
              <w:rPr>
                <w:sz w:val="24"/>
              </w:rPr>
              <w:t>渗透系数≤1×10</w:t>
            </w:r>
            <w:r>
              <w:rPr>
                <w:sz w:val="24"/>
                <w:vertAlign w:val="superscript"/>
              </w:rPr>
              <w:t>-</w:t>
            </w:r>
            <w:r>
              <w:rPr>
                <w:rFonts w:hint="eastAsia"/>
                <w:sz w:val="24"/>
                <w:vertAlign w:val="superscript"/>
              </w:rPr>
              <w:t>10</w:t>
            </w:r>
            <w:r>
              <w:rPr>
                <w:sz w:val="24"/>
              </w:rPr>
              <w:t>c</w:t>
            </w:r>
            <w:r>
              <w:rPr>
                <w:rFonts w:hint="eastAsia" w:cs="宋体"/>
                <w:sz w:val="24"/>
              </w:rPr>
              <w:t>m/s</w:t>
            </w:r>
            <w:r>
              <w:rPr>
                <w:rFonts w:hint="eastAsia"/>
                <w:sz w:val="24"/>
                <w:szCs w:val="22"/>
              </w:rPr>
              <w:t>。出入口设缓坡（缓坡高度高于库内最高地平线），库内设0.3m</w:t>
            </w:r>
            <w:r>
              <w:rPr>
                <w:rFonts w:hint="eastAsia"/>
                <w:sz w:val="24"/>
                <w:szCs w:val="22"/>
                <w:vertAlign w:val="superscript"/>
              </w:rPr>
              <w:t>3</w:t>
            </w:r>
            <w:r>
              <w:rPr>
                <w:rFonts w:hint="eastAsia"/>
                <w:sz w:val="24"/>
                <w:szCs w:val="22"/>
              </w:rPr>
              <w:t>收集池，必要时设置截水沟引至收集池，防止容器破裂后渗滤液外泄。缓坡、收集池与基础一起做防渗处理。</w:t>
            </w:r>
          </w:p>
          <w:p w14:paraId="6AF62CBF">
            <w:pPr>
              <w:pStyle w:val="113"/>
              <w:spacing w:line="440" w:lineRule="exact"/>
            </w:pPr>
            <w:r>
              <w:t>3）危险废物转移要求</w:t>
            </w:r>
          </w:p>
          <w:p w14:paraId="011F9ED1">
            <w:pPr>
              <w:pStyle w:val="113"/>
              <w:spacing w:line="440" w:lineRule="exact"/>
            </w:pPr>
            <w:r>
              <w:rPr>
                <w:rFonts w:hint="eastAsia" w:cs="宋体"/>
              </w:rPr>
              <w:t>①</w:t>
            </w:r>
            <w:r>
              <w:t>在转移危险废物前，建设单位须按照国家有关规定报批危险废物转移计划；经批准后，产生单位应当向当地环境保护行政主管部门申请领取国务院环境保护行政主管部门统一制定的联单。并在危险废物转移前三日内报告当地环境保护行政主管部门，并同时将预期到达时间报告</w:t>
            </w:r>
            <w:bookmarkStart w:id="88" w:name="_GoBack"/>
            <w:r>
              <w:t>接受</w:t>
            </w:r>
            <w:bookmarkEnd w:id="88"/>
            <w:r>
              <w:t>地环境保护行政主管部门；</w:t>
            </w:r>
          </w:p>
          <w:p w14:paraId="351C5C1E">
            <w:pPr>
              <w:pStyle w:val="113"/>
              <w:spacing w:line="440" w:lineRule="exact"/>
            </w:pPr>
            <w:r>
              <w:rPr>
                <w:rFonts w:hint="eastAsia" w:cs="宋体"/>
              </w:rPr>
              <w:t>②</w:t>
            </w:r>
            <w:r>
              <w:t>建设单位必须如实填写联单中产生单位栏目，并加盖公章，经交付危险废物运输单位核实验收签字后，将联单第一联副联自留存档，将联单第二联交当地环境保护行政主管部门，联单第一联正联及其余各联交付运输单位随危险废物转移运行</w:t>
            </w:r>
            <w:r>
              <w:rPr>
                <w:rFonts w:hint="eastAsia"/>
              </w:rPr>
              <w:t>；</w:t>
            </w:r>
          </w:p>
          <w:p w14:paraId="1C06BA7A">
            <w:pPr>
              <w:pStyle w:val="113"/>
              <w:spacing w:line="440" w:lineRule="exact"/>
            </w:pPr>
            <w:r>
              <w:rPr>
                <w:rFonts w:hint="eastAsia" w:cs="宋体"/>
              </w:rPr>
              <w:t>③填写转移联单，</w:t>
            </w:r>
            <w:r>
              <w:t>联单保存期限为五年；贮存危险废物的，其联单保存期限与危险废物贮存期限相同。</w:t>
            </w:r>
          </w:p>
          <w:p w14:paraId="492C958D">
            <w:pPr>
              <w:pStyle w:val="113"/>
              <w:spacing w:line="440" w:lineRule="exact"/>
            </w:pPr>
            <w:r>
              <w:rPr>
                <w:rFonts w:hint="eastAsia"/>
              </w:rPr>
              <w:t>④转运输过程使用危险货物运输车辆，遵循相关危险货物运输规定；危险废物识别标志应符合《危险废物识别标志设置技术规范》（HJ 1276—2022）。</w:t>
            </w:r>
          </w:p>
          <w:p w14:paraId="4E721F65">
            <w:pPr>
              <w:pStyle w:val="113"/>
              <w:spacing w:line="440" w:lineRule="exact"/>
            </w:pPr>
            <w:r>
              <w:rPr>
                <w:rFonts w:hint="eastAsia"/>
              </w:rPr>
              <w:t>4</w:t>
            </w:r>
            <w:r>
              <w:t>）</w:t>
            </w:r>
            <w:r>
              <w:rPr>
                <w:rFonts w:hint="eastAsia"/>
              </w:rPr>
              <w:t>危险废物台账要求</w:t>
            </w:r>
          </w:p>
          <w:p w14:paraId="0B2B4DB2">
            <w:pPr>
              <w:pStyle w:val="113"/>
              <w:spacing w:line="440" w:lineRule="exact"/>
            </w:pPr>
            <w:r>
              <w:rPr>
                <w:rFonts w:hint="eastAsia"/>
              </w:rPr>
              <w:t>建立危险废物台账，记录危险废物的产生、转移、处置。</w:t>
            </w:r>
          </w:p>
          <w:p w14:paraId="17505DA3">
            <w:pPr>
              <w:pStyle w:val="113"/>
              <w:spacing w:line="440" w:lineRule="exact"/>
            </w:pPr>
            <w:r>
              <w:rPr>
                <w:rFonts w:hint="eastAsia" w:cs="宋体"/>
              </w:rPr>
              <w:t>①</w:t>
            </w:r>
            <w:r>
              <w:rPr>
                <w:rFonts w:hint="eastAsia"/>
              </w:rPr>
              <w:t>记录内容全面准确：危险废物管理台账应包括产生单位、危险废物的种类、产生量、处理方式、处理单位、处置费用等详细信息。台账应及时更新，确保内容的全面性和准确性。</w:t>
            </w:r>
          </w:p>
          <w:p w14:paraId="012503FF">
            <w:pPr>
              <w:pStyle w:val="113"/>
              <w:spacing w:line="440" w:lineRule="exact"/>
            </w:pPr>
            <w:r>
              <w:rPr>
                <w:rFonts w:hint="eastAsia" w:cs="宋体"/>
              </w:rPr>
              <w:t>②</w:t>
            </w:r>
            <w:r>
              <w:rPr>
                <w:rFonts w:hint="eastAsia"/>
              </w:rPr>
              <w:t>分类鉴别明确：危险废物应按照国家标准进行分类，并进行鉴别，确保对不同类型的危险废物进行正确的管理和处置。鉴别结果应记录在台账中。</w:t>
            </w:r>
          </w:p>
          <w:p w14:paraId="0416EF95">
            <w:pPr>
              <w:pStyle w:val="113"/>
              <w:spacing w:line="440" w:lineRule="exact"/>
            </w:pPr>
            <w:r>
              <w:rPr>
                <w:rFonts w:hint="eastAsia" w:cs="宋体"/>
              </w:rPr>
              <w:t>③</w:t>
            </w:r>
            <w:r>
              <w:rPr>
                <w:rFonts w:hint="eastAsia"/>
              </w:rPr>
              <w:t>存储和运输记录完备：对于存储和运输的危险废物，台账应包括储存地点、储存方式、运输工具、运输路线等信息，以确保安全管理和监控。</w:t>
            </w:r>
          </w:p>
          <w:p w14:paraId="7EF1E578">
            <w:pPr>
              <w:pStyle w:val="113"/>
              <w:spacing w:line="440" w:lineRule="exact"/>
            </w:pPr>
            <w:r>
              <w:rPr>
                <w:rFonts w:hint="eastAsia" w:cs="宋体"/>
              </w:rPr>
              <w:t>④</w:t>
            </w:r>
            <w:r>
              <w:rPr>
                <w:rFonts w:hint="eastAsia"/>
              </w:rPr>
              <w:t>处置过程详细记录：包括处理单位、处理方式、处理效果等信息。台账应包括处置合同和证书的副本以确保合法性和规范性。</w:t>
            </w:r>
          </w:p>
          <w:p w14:paraId="20FD16BA">
            <w:pPr>
              <w:pStyle w:val="113"/>
              <w:spacing w:line="440" w:lineRule="exact"/>
            </w:pPr>
            <w:r>
              <w:rPr>
                <w:rFonts w:hint="eastAsia"/>
              </w:rPr>
              <w:t>5</w:t>
            </w:r>
            <w:r>
              <w:t>）危险废物运输方式</w:t>
            </w:r>
          </w:p>
          <w:p w14:paraId="285DA7FA">
            <w:pPr>
              <w:pStyle w:val="113"/>
              <w:spacing w:line="440" w:lineRule="exact"/>
            </w:pPr>
            <w:r>
              <w:t>在各类废物暂存和外委运输过程中应采取防雨、防渗、防漏等措施，防止废物洒漏造成污染。对危险废物的运输按照《汽车危险品货物运输规则》（JTJ3130-88）、《危险品运输管理规范</w:t>
            </w:r>
            <w:r>
              <w:rPr>
                <w:rFonts w:hint="eastAsia"/>
              </w:rPr>
              <w:t>》和《</w:t>
            </w:r>
            <w:r>
              <w:t>道路危险货物运输管理规定》（2005年第9号）、《汽车运输、装卸危险货物作业规程》（JT618）、《道路运输危险货物车辆标志》（GB13392）中有关规定执行。</w:t>
            </w:r>
          </w:p>
          <w:p w14:paraId="2C01E376">
            <w:pPr>
              <w:pStyle w:val="91"/>
              <w:spacing w:before="0" w:after="0" w:line="440" w:lineRule="exact"/>
            </w:pPr>
            <w:r>
              <w:rPr>
                <w:rFonts w:hint="eastAsia"/>
              </w:rPr>
              <w:t>五、运营期地下水、土壤环境影响和保护措施</w:t>
            </w:r>
          </w:p>
          <w:p w14:paraId="5F7FDDD6">
            <w:pPr>
              <w:pStyle w:val="68"/>
              <w:spacing w:line="440" w:lineRule="exact"/>
              <w:ind w:firstLine="480"/>
              <w:rPr>
                <w:sz w:val="24"/>
                <w:szCs w:val="24"/>
              </w:rPr>
            </w:pPr>
            <w:r>
              <w:rPr>
                <w:rFonts w:hint="eastAsia"/>
                <w:sz w:val="24"/>
                <w:szCs w:val="24"/>
              </w:rPr>
              <w:t>通过影响分析可知，本项目洗车废水循环使用，同时，厂区危废贮存点采取重点防渗，厂区正常工况下不会对地下水和土壤环境产生较大影响。地下水和土壤环境保护措施具体如下：</w:t>
            </w:r>
          </w:p>
          <w:p w14:paraId="476E4EE2">
            <w:pPr>
              <w:pStyle w:val="68"/>
              <w:spacing w:line="440" w:lineRule="exact"/>
              <w:ind w:firstLine="480"/>
              <w:rPr>
                <w:sz w:val="24"/>
                <w:szCs w:val="24"/>
              </w:rPr>
            </w:pPr>
            <w:r>
              <w:rPr>
                <w:rFonts w:hint="eastAsia"/>
                <w:sz w:val="24"/>
                <w:szCs w:val="24"/>
              </w:rPr>
              <w:t>1）</w:t>
            </w:r>
            <w:r>
              <w:rPr>
                <w:sz w:val="24"/>
                <w:szCs w:val="24"/>
              </w:rPr>
              <w:t>源头控制措施</w:t>
            </w:r>
          </w:p>
          <w:p w14:paraId="6DD4FC68">
            <w:pPr>
              <w:pStyle w:val="68"/>
              <w:spacing w:line="440" w:lineRule="exact"/>
              <w:ind w:firstLine="480"/>
              <w:rPr>
                <w:sz w:val="24"/>
                <w:szCs w:val="24"/>
              </w:rPr>
            </w:pPr>
            <w:r>
              <w:rPr>
                <w:sz w:val="24"/>
                <w:szCs w:val="24"/>
              </w:rPr>
              <w:t>源头控制措施主要包括在工艺、管道、设备、污水储存及处理构筑物采取相应措施，防止和降低污染物跑、冒、滴、漏，将污染物泄漏的环境风险事故降到最低程度。</w:t>
            </w:r>
          </w:p>
          <w:p w14:paraId="1EE4067D">
            <w:pPr>
              <w:pStyle w:val="68"/>
              <w:spacing w:line="440" w:lineRule="exact"/>
              <w:ind w:firstLine="480" w:firstLineChars="0"/>
              <w:rPr>
                <w:sz w:val="24"/>
                <w:szCs w:val="24"/>
              </w:rPr>
            </w:pPr>
            <w:r>
              <w:rPr>
                <w:rFonts w:hint="eastAsia"/>
                <w:sz w:val="24"/>
                <w:szCs w:val="24"/>
              </w:rPr>
              <w:t>①厂区入口处设一座洗车平台对运输汽车的全身及轮胎进行清洗。洗车平台下设一座5m</w:t>
            </w:r>
            <w:r>
              <w:rPr>
                <w:rFonts w:hint="eastAsia"/>
                <w:sz w:val="24"/>
                <w:szCs w:val="24"/>
                <w:vertAlign w:val="superscript"/>
              </w:rPr>
              <w:t>3</w:t>
            </w:r>
            <w:r>
              <w:rPr>
                <w:rFonts w:hint="eastAsia"/>
                <w:sz w:val="24"/>
                <w:szCs w:val="24"/>
              </w:rPr>
              <w:t>沉淀池收集沉淀处理后回用。</w:t>
            </w:r>
          </w:p>
          <w:p w14:paraId="2CD9A1AF">
            <w:pPr>
              <w:pStyle w:val="72"/>
              <w:spacing w:line="440" w:lineRule="exact"/>
              <w:ind w:firstLine="480"/>
              <w:rPr>
                <w:bCs/>
                <w:sz w:val="24"/>
                <w:szCs w:val="22"/>
              </w:rPr>
            </w:pPr>
            <w:r>
              <w:rPr>
                <w:rFonts w:hint="eastAsia"/>
                <w:sz w:val="24"/>
                <w:szCs w:val="24"/>
              </w:rPr>
              <w:t>②本次评价要求根据</w:t>
            </w:r>
            <w:bookmarkStart w:id="81" w:name="OLE_LINK14"/>
            <w:r>
              <w:rPr>
                <w:rFonts w:hint="eastAsia"/>
                <w:sz w:val="24"/>
                <w:szCs w:val="24"/>
              </w:rPr>
              <w:t>《危险废物贮存污染控制标准》</w:t>
            </w:r>
            <w:bookmarkEnd w:id="81"/>
            <w:r>
              <w:rPr>
                <w:rFonts w:hint="eastAsia"/>
                <w:sz w:val="24"/>
                <w:szCs w:val="24"/>
              </w:rPr>
              <w:t>（GB18597-2023）分区防渗指标要求在厂区建设1座10m</w:t>
            </w:r>
            <w:r>
              <w:rPr>
                <w:rFonts w:hint="eastAsia"/>
                <w:sz w:val="24"/>
                <w:szCs w:val="24"/>
                <w:vertAlign w:val="superscript"/>
              </w:rPr>
              <w:t>2</w:t>
            </w:r>
            <w:r>
              <w:rPr>
                <w:rFonts w:hint="eastAsia"/>
                <w:sz w:val="24"/>
                <w:szCs w:val="24"/>
              </w:rPr>
              <w:t>的危险贮存点，对危险废物进行收集</w:t>
            </w:r>
            <w:r>
              <w:rPr>
                <w:rFonts w:hint="eastAsia"/>
                <w:sz w:val="24"/>
                <w:szCs w:val="22"/>
              </w:rPr>
              <w:t>。</w:t>
            </w:r>
          </w:p>
          <w:p w14:paraId="341C79DC">
            <w:pPr>
              <w:pStyle w:val="68"/>
              <w:spacing w:line="440" w:lineRule="exact"/>
              <w:ind w:firstLine="480"/>
              <w:rPr>
                <w:sz w:val="24"/>
                <w:szCs w:val="24"/>
              </w:rPr>
            </w:pPr>
            <w:r>
              <w:rPr>
                <w:rFonts w:hint="eastAsia"/>
                <w:sz w:val="24"/>
                <w:szCs w:val="24"/>
              </w:rPr>
              <w:t>2）</w:t>
            </w:r>
            <w:r>
              <w:rPr>
                <w:sz w:val="24"/>
                <w:szCs w:val="24"/>
              </w:rPr>
              <w:t>分区防控措施</w:t>
            </w:r>
          </w:p>
          <w:p w14:paraId="437BCB1B">
            <w:pPr>
              <w:pStyle w:val="72"/>
              <w:spacing w:line="440" w:lineRule="exact"/>
              <w:ind w:firstLine="480"/>
              <w:rPr>
                <w:sz w:val="24"/>
                <w:szCs w:val="22"/>
                <w:lang w:bidi="ar"/>
              </w:rPr>
            </w:pPr>
            <w:r>
              <w:rPr>
                <w:rFonts w:hint="eastAsia"/>
                <w:sz w:val="24"/>
                <w:szCs w:val="22"/>
                <w:lang w:bidi="ar"/>
              </w:rPr>
              <w:t>结合项目总平面布置情况，提出厂区分区防渗要求，将全厂构（建）筑物划分为重点防渗区、一般防渗区以及简单防渗区。具体</w:t>
            </w:r>
            <w:r>
              <w:rPr>
                <w:sz w:val="24"/>
                <w:szCs w:val="22"/>
                <w:lang w:bidi="ar"/>
              </w:rPr>
              <w:t>防渗</w:t>
            </w:r>
            <w:r>
              <w:rPr>
                <w:rFonts w:hint="eastAsia"/>
                <w:sz w:val="24"/>
                <w:szCs w:val="22"/>
                <w:lang w:bidi="ar"/>
              </w:rPr>
              <w:t>指标要求</w:t>
            </w:r>
            <w:r>
              <w:rPr>
                <w:sz w:val="24"/>
                <w:szCs w:val="22"/>
                <w:lang w:bidi="ar"/>
              </w:rPr>
              <w:t>见下表。</w:t>
            </w:r>
          </w:p>
          <w:p w14:paraId="7F2BB102">
            <w:pPr>
              <w:pStyle w:val="45"/>
              <w:rPr>
                <w:rFonts w:ascii="Times New Roman" w:hAnsi="Times New Roman"/>
                <w:sz w:val="24"/>
                <w:szCs w:val="24"/>
              </w:rPr>
            </w:pPr>
            <w:r>
              <w:rPr>
                <w:rFonts w:hint="eastAsia" w:ascii="Times New Roman" w:hAnsi="Times New Roman"/>
                <w:sz w:val="24"/>
                <w:szCs w:val="24"/>
              </w:rPr>
              <w:t>表4-13  分区防渗指标要求</w:t>
            </w:r>
            <w:r>
              <w:rPr>
                <w:rFonts w:ascii="Times New Roman" w:hAnsi="Times New Roman"/>
                <w:sz w:val="24"/>
                <w:szCs w:val="24"/>
              </w:rPr>
              <w:t>表</w:t>
            </w:r>
          </w:p>
          <w:tbl>
            <w:tblPr>
              <w:tblStyle w:val="2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1030"/>
              <w:gridCol w:w="1133"/>
              <w:gridCol w:w="2835"/>
              <w:gridCol w:w="3336"/>
            </w:tblGrid>
            <w:tr w14:paraId="61B6B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618" w:type="pct"/>
                  <w:vAlign w:val="center"/>
                </w:tcPr>
                <w:p w14:paraId="4A3290A3">
                  <w:pPr>
                    <w:pStyle w:val="52"/>
                  </w:pPr>
                  <w:r>
                    <w:rPr>
                      <w:rFonts w:hint="eastAsia"/>
                    </w:rPr>
                    <w:t>防渗区域</w:t>
                  </w:r>
                </w:p>
              </w:tc>
              <w:tc>
                <w:tcPr>
                  <w:tcW w:w="680" w:type="pct"/>
                  <w:vAlign w:val="center"/>
                </w:tcPr>
                <w:p w14:paraId="10E3A13F">
                  <w:pPr>
                    <w:pStyle w:val="52"/>
                  </w:pPr>
                  <w:r>
                    <w:rPr>
                      <w:rFonts w:hint="eastAsia"/>
                    </w:rPr>
                    <w:t>防渗分区</w:t>
                  </w:r>
                </w:p>
              </w:tc>
              <w:tc>
                <w:tcPr>
                  <w:tcW w:w="1701" w:type="pct"/>
                  <w:vAlign w:val="center"/>
                </w:tcPr>
                <w:p w14:paraId="07ADB42C">
                  <w:pPr>
                    <w:pStyle w:val="52"/>
                  </w:pPr>
                  <w:r>
                    <w:rPr>
                      <w:rFonts w:hint="eastAsia"/>
                    </w:rPr>
                    <w:t>防渗技术要求</w:t>
                  </w:r>
                </w:p>
              </w:tc>
              <w:tc>
                <w:tcPr>
                  <w:tcW w:w="2001" w:type="pct"/>
                  <w:vAlign w:val="center"/>
                </w:tcPr>
                <w:p w14:paraId="2DE5BDFF">
                  <w:pPr>
                    <w:pStyle w:val="52"/>
                  </w:pPr>
                  <w:r>
                    <w:rPr>
                      <w:rFonts w:hint="eastAsia"/>
                    </w:rPr>
                    <w:t>防渗方案</w:t>
                  </w:r>
                </w:p>
              </w:tc>
            </w:tr>
            <w:tr w14:paraId="3BD8A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618" w:type="pct"/>
                  <w:vAlign w:val="center"/>
                </w:tcPr>
                <w:p w14:paraId="3A1BAD50">
                  <w:pPr>
                    <w:pStyle w:val="52"/>
                  </w:pPr>
                  <w:r>
                    <w:rPr>
                      <w:rFonts w:hint="eastAsia"/>
                    </w:rPr>
                    <w:t>危废贮存点</w:t>
                  </w:r>
                </w:p>
              </w:tc>
              <w:tc>
                <w:tcPr>
                  <w:tcW w:w="680" w:type="pct"/>
                  <w:vAlign w:val="center"/>
                </w:tcPr>
                <w:p w14:paraId="52D4A03E">
                  <w:pPr>
                    <w:pStyle w:val="52"/>
                  </w:pPr>
                  <w:r>
                    <w:rPr>
                      <w:rFonts w:hint="eastAsia"/>
                    </w:rPr>
                    <w:t>重点防渗区</w:t>
                  </w:r>
                </w:p>
              </w:tc>
              <w:tc>
                <w:tcPr>
                  <w:tcW w:w="1701" w:type="pct"/>
                  <w:vAlign w:val="center"/>
                </w:tcPr>
                <w:p w14:paraId="42143D9E">
                  <w:pPr>
                    <w:pStyle w:val="52"/>
                  </w:pPr>
                  <w:r>
                    <w:rPr>
                      <w:rFonts w:hint="eastAsia"/>
                    </w:rPr>
                    <w:t>按照</w:t>
                  </w:r>
                  <w:bookmarkStart w:id="82" w:name="_Hlk220500546"/>
                  <w:r>
                    <w:rPr>
                      <w:rFonts w:hint="eastAsia"/>
                    </w:rPr>
                    <w:t>《危险废物贮存污染控制标准》（GB18597-2023）</w:t>
                  </w:r>
                  <w:bookmarkEnd w:id="82"/>
                  <w:r>
                    <w:rPr>
                      <w:rFonts w:hint="eastAsia"/>
                    </w:rPr>
                    <w:t>要求执行</w:t>
                  </w:r>
                  <w:bookmarkStart w:id="83" w:name="_Hlk220500626"/>
                  <w:r>
                    <w:rPr>
                      <w:rFonts w:hint="eastAsia"/>
                    </w:rPr>
                    <w:t>，至少1m厚黏土层（渗透系数不大于10</w:t>
                  </w:r>
                  <w:r>
                    <w:rPr>
                      <w:rFonts w:hint="eastAsia"/>
                      <w:vertAlign w:val="superscript"/>
                    </w:rPr>
                    <w:t>-7</w:t>
                  </w:r>
                  <w:r>
                    <w:rPr>
                      <w:rFonts w:hint="eastAsia"/>
                    </w:rPr>
                    <w:t>cm/s），或至少2mm厚高密度聚乙烯膜等人工防渗材料（渗透系数不大于10</w:t>
                  </w:r>
                  <w:r>
                    <w:rPr>
                      <w:rFonts w:hint="eastAsia"/>
                      <w:vertAlign w:val="superscript"/>
                    </w:rPr>
                    <w:t>-10</w:t>
                  </w:r>
                  <w:r>
                    <w:rPr>
                      <w:rFonts w:hint="eastAsia"/>
                    </w:rPr>
                    <w:t>m/s），或其他防渗性能等效的材料</w:t>
                  </w:r>
                  <w:bookmarkEnd w:id="83"/>
                </w:p>
              </w:tc>
              <w:tc>
                <w:tcPr>
                  <w:tcW w:w="2001" w:type="pct"/>
                  <w:vAlign w:val="center"/>
                </w:tcPr>
                <w:p w14:paraId="1D8CC119">
                  <w:pPr>
                    <w:pStyle w:val="52"/>
                  </w:pPr>
                  <w:r>
                    <w:rPr>
                      <w:rFonts w:hint="eastAsia" w:ascii="宋体" w:hAnsi="宋体" w:cs="宋体"/>
                    </w:rPr>
                    <w:t>①</w:t>
                  </w:r>
                  <w:r>
                    <w:t>环氧树脂漆两道；</w:t>
                  </w:r>
                  <w:r>
                    <w:rPr>
                      <w:rFonts w:hint="eastAsia" w:ascii="宋体" w:hAnsi="宋体" w:cs="宋体"/>
                    </w:rPr>
                    <w:t>②</w:t>
                  </w:r>
                  <w:r>
                    <w:t>70mm厚C30防渗混凝土；</w:t>
                  </w:r>
                  <w:r>
                    <w:rPr>
                      <w:rFonts w:hint="eastAsia" w:ascii="宋体" w:hAnsi="宋体" w:cs="宋体"/>
                    </w:rPr>
                    <w:t>③</w:t>
                  </w:r>
                  <w:r>
                    <w:t>300mm厚C15混凝土垫层；</w:t>
                  </w:r>
                  <w:r>
                    <w:rPr>
                      <w:rFonts w:hint="eastAsia" w:ascii="宋体" w:hAnsi="宋体" w:cs="宋体"/>
                    </w:rPr>
                    <w:t>④</w:t>
                  </w:r>
                  <w:r>
                    <w:t>150mm厚3:7灰土；</w:t>
                  </w:r>
                  <w:r>
                    <w:rPr>
                      <w:rFonts w:hint="eastAsia" w:ascii="宋体" w:hAnsi="宋体" w:cs="宋体"/>
                    </w:rPr>
                    <w:t>⑤</w:t>
                  </w:r>
                  <w:r>
                    <w:t>素土夯实</w:t>
                  </w:r>
                </w:p>
              </w:tc>
            </w:tr>
            <w:tr w14:paraId="3A222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618" w:type="pct"/>
                  <w:vAlign w:val="center"/>
                </w:tcPr>
                <w:p w14:paraId="01CE072C">
                  <w:pPr>
                    <w:pStyle w:val="52"/>
                  </w:pPr>
                  <w:r>
                    <w:rPr>
                      <w:rFonts w:hint="eastAsia"/>
                    </w:rPr>
                    <w:t>洗车废水沉淀池，全封闭厂房等</w:t>
                  </w:r>
                </w:p>
              </w:tc>
              <w:tc>
                <w:tcPr>
                  <w:tcW w:w="680" w:type="pct"/>
                  <w:vAlign w:val="center"/>
                </w:tcPr>
                <w:p w14:paraId="57F5D26A">
                  <w:pPr>
                    <w:pStyle w:val="52"/>
                  </w:pPr>
                  <w:r>
                    <w:rPr>
                      <w:rFonts w:hint="eastAsia"/>
                    </w:rPr>
                    <w:t>一般防渗区</w:t>
                  </w:r>
                </w:p>
              </w:tc>
              <w:tc>
                <w:tcPr>
                  <w:tcW w:w="1701" w:type="pct"/>
                  <w:vAlign w:val="center"/>
                </w:tcPr>
                <w:p w14:paraId="0C960587">
                  <w:pPr>
                    <w:pStyle w:val="52"/>
                    <w:rPr>
                      <w:rFonts w:hint="eastAsia" w:ascii="宋体" w:hAnsi="宋体" w:cs="宋体"/>
                      <w:kern w:val="0"/>
                      <w:szCs w:val="22"/>
                      <w:lang w:val="zh-CN" w:bidi="zh-CN"/>
                    </w:rPr>
                  </w:pPr>
                  <w:r>
                    <w:rPr>
                      <w:rFonts w:ascii="宋体" w:hAnsi="宋体" w:cs="宋体"/>
                      <w:kern w:val="0"/>
                      <w:szCs w:val="22"/>
                      <w:lang w:val="zh-CN" w:bidi="zh-CN"/>
                    </w:rPr>
                    <w:t>等效黏土防渗层</w:t>
                  </w:r>
                  <w:r>
                    <w:rPr>
                      <w:rFonts w:eastAsia="Times New Roman" w:cs="宋体"/>
                      <w:kern w:val="0"/>
                      <w:szCs w:val="22"/>
                      <w:lang w:val="zh-CN" w:bidi="zh-CN"/>
                    </w:rPr>
                    <w:t>Mb≥1.5m</w:t>
                  </w:r>
                  <w:r>
                    <w:rPr>
                      <w:rFonts w:ascii="宋体" w:hAnsi="宋体" w:cs="宋体"/>
                      <w:kern w:val="0"/>
                      <w:szCs w:val="22"/>
                      <w:lang w:val="zh-CN" w:bidi="zh-CN"/>
                    </w:rPr>
                    <w:t>，</w:t>
                  </w:r>
                  <w:r>
                    <w:rPr>
                      <w:rFonts w:eastAsia="Times New Roman" w:cs="宋体"/>
                      <w:kern w:val="0"/>
                      <w:szCs w:val="22"/>
                      <w:lang w:val="zh-CN" w:bidi="zh-CN"/>
                    </w:rPr>
                    <w:t>K≤1×10</w:t>
                  </w:r>
                  <w:r>
                    <w:rPr>
                      <w:rFonts w:eastAsia="Times New Roman" w:cs="宋体"/>
                      <w:kern w:val="0"/>
                      <w:position w:val="7"/>
                      <w:sz w:val="14"/>
                      <w:szCs w:val="22"/>
                      <w:lang w:val="zh-CN" w:bidi="zh-CN"/>
                    </w:rPr>
                    <w:t>-7</w:t>
                  </w:r>
                  <w:r>
                    <w:rPr>
                      <w:rFonts w:eastAsia="Times New Roman" w:cs="宋体"/>
                      <w:kern w:val="0"/>
                      <w:szCs w:val="22"/>
                      <w:lang w:val="zh-CN" w:bidi="zh-CN"/>
                    </w:rPr>
                    <w:t>cm/s</w:t>
                  </w:r>
                  <w:r>
                    <w:rPr>
                      <w:rFonts w:hint="eastAsia" w:ascii="宋体" w:hAnsi="宋体" w:cs="宋体"/>
                      <w:kern w:val="0"/>
                      <w:szCs w:val="22"/>
                      <w:lang w:val="zh-CN" w:bidi="zh-CN"/>
                    </w:rPr>
                    <w:t>，或参照GB16889执行</w:t>
                  </w:r>
                </w:p>
              </w:tc>
              <w:tc>
                <w:tcPr>
                  <w:tcW w:w="2001" w:type="pct"/>
                  <w:vAlign w:val="center"/>
                </w:tcPr>
                <w:p w14:paraId="725ECE6D">
                  <w:pPr>
                    <w:pStyle w:val="52"/>
                  </w:pPr>
                  <w:r>
                    <w:rPr>
                      <w:rFonts w:hint="eastAsia"/>
                    </w:rPr>
                    <w:t>抗渗混凝土面层（包括钢筋混凝土、钢纤维混凝土）中掺水泥及渗透结晶型防水剂，其下铺砌砂石基层，原土夯实达到防渗的目的</w:t>
                  </w:r>
                </w:p>
              </w:tc>
            </w:tr>
            <w:tr w14:paraId="028B0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jc w:val="center"/>
              </w:trPr>
              <w:tc>
                <w:tcPr>
                  <w:tcW w:w="618" w:type="pct"/>
                  <w:vAlign w:val="center"/>
                </w:tcPr>
                <w:p w14:paraId="4B956D9E">
                  <w:pPr>
                    <w:pStyle w:val="52"/>
                  </w:pPr>
                  <w:r>
                    <w:rPr>
                      <w:rFonts w:hint="eastAsia"/>
                    </w:rPr>
                    <w:t>其他区域</w:t>
                  </w:r>
                </w:p>
              </w:tc>
              <w:tc>
                <w:tcPr>
                  <w:tcW w:w="680" w:type="pct"/>
                  <w:vAlign w:val="center"/>
                </w:tcPr>
                <w:p w14:paraId="3E9B196B">
                  <w:pPr>
                    <w:pStyle w:val="52"/>
                  </w:pPr>
                  <w:r>
                    <w:rPr>
                      <w:rFonts w:hint="eastAsia"/>
                    </w:rPr>
                    <w:t>简单防渗区</w:t>
                  </w:r>
                </w:p>
              </w:tc>
              <w:tc>
                <w:tcPr>
                  <w:tcW w:w="1701" w:type="pct"/>
                  <w:vAlign w:val="center"/>
                </w:tcPr>
                <w:p w14:paraId="5F2B0199">
                  <w:pPr>
                    <w:pStyle w:val="52"/>
                    <w:rPr>
                      <w:rFonts w:hint="eastAsia" w:ascii="宋体" w:hAnsi="宋体" w:cs="宋体"/>
                      <w:kern w:val="0"/>
                      <w:szCs w:val="22"/>
                      <w:lang w:val="zh-CN" w:bidi="zh-CN"/>
                    </w:rPr>
                  </w:pPr>
                  <w:r>
                    <w:rPr>
                      <w:rFonts w:hint="eastAsia"/>
                    </w:rPr>
                    <w:t>一般地面硬化</w:t>
                  </w:r>
                </w:p>
              </w:tc>
              <w:tc>
                <w:tcPr>
                  <w:tcW w:w="2001" w:type="pct"/>
                  <w:vAlign w:val="center"/>
                </w:tcPr>
                <w:p w14:paraId="0FE941B9">
                  <w:pPr>
                    <w:pStyle w:val="52"/>
                  </w:pPr>
                  <w:r>
                    <w:rPr>
                      <w:rFonts w:hint="eastAsia"/>
                    </w:rPr>
                    <w:t>对厂区地面进行混凝土硬化</w:t>
                  </w:r>
                </w:p>
              </w:tc>
            </w:tr>
          </w:tbl>
          <w:p w14:paraId="29E59CEC">
            <w:pPr>
              <w:pStyle w:val="72"/>
              <w:spacing w:line="440" w:lineRule="exact"/>
              <w:ind w:firstLine="480"/>
              <w:rPr>
                <w:sz w:val="24"/>
                <w:szCs w:val="22"/>
              </w:rPr>
            </w:pPr>
            <w:r>
              <w:rPr>
                <w:sz w:val="24"/>
                <w:szCs w:val="22"/>
                <w:lang w:bidi="ar"/>
              </w:rPr>
              <w:t>通过采取上述</w:t>
            </w:r>
            <w:r>
              <w:rPr>
                <w:rFonts w:hint="eastAsia"/>
                <w:sz w:val="24"/>
                <w:szCs w:val="22"/>
                <w:lang w:bidi="ar"/>
              </w:rPr>
              <w:t>源头控制及分区防渗措施</w:t>
            </w:r>
            <w:r>
              <w:rPr>
                <w:sz w:val="24"/>
                <w:szCs w:val="22"/>
                <w:lang w:bidi="ar"/>
              </w:rPr>
              <w:t>，可以把本项目对地下水</w:t>
            </w:r>
            <w:r>
              <w:rPr>
                <w:rFonts w:hint="eastAsia"/>
                <w:sz w:val="24"/>
                <w:szCs w:val="22"/>
                <w:lang w:bidi="ar"/>
              </w:rPr>
              <w:t>、土壤</w:t>
            </w:r>
            <w:r>
              <w:rPr>
                <w:sz w:val="24"/>
                <w:szCs w:val="22"/>
                <w:lang w:bidi="ar"/>
              </w:rPr>
              <w:t>的污染影响降低到最小，有效地保护</w:t>
            </w:r>
            <w:r>
              <w:rPr>
                <w:rFonts w:hint="eastAsia"/>
                <w:sz w:val="24"/>
                <w:szCs w:val="22"/>
                <w:lang w:bidi="ar"/>
              </w:rPr>
              <w:t>项目</w:t>
            </w:r>
            <w:r>
              <w:rPr>
                <w:sz w:val="24"/>
                <w:szCs w:val="22"/>
                <w:lang w:bidi="ar"/>
              </w:rPr>
              <w:t>所在区域地下水</w:t>
            </w:r>
            <w:r>
              <w:rPr>
                <w:rFonts w:hint="eastAsia"/>
                <w:sz w:val="24"/>
                <w:szCs w:val="22"/>
                <w:lang w:bidi="ar"/>
              </w:rPr>
              <w:t>和土壤</w:t>
            </w:r>
            <w:r>
              <w:rPr>
                <w:sz w:val="24"/>
                <w:szCs w:val="22"/>
                <w:lang w:bidi="ar"/>
              </w:rPr>
              <w:t>资源。</w:t>
            </w:r>
            <w:r>
              <w:rPr>
                <w:rFonts w:hint="eastAsia"/>
                <w:sz w:val="24"/>
                <w:szCs w:val="22"/>
              </w:rPr>
              <w:t>因此，项目在正常运营情况下不存在地下水、土壤污染途径，不会对周围地下水环境和土壤造成较大影响。</w:t>
            </w:r>
          </w:p>
          <w:p w14:paraId="68C1D0FE">
            <w:pPr>
              <w:pStyle w:val="91"/>
              <w:spacing w:before="0" w:after="0" w:line="440" w:lineRule="exact"/>
            </w:pPr>
            <w:r>
              <w:rPr>
                <w:rFonts w:hint="eastAsia"/>
              </w:rPr>
              <w:t>六、运营期环境风险分析和防范措施</w:t>
            </w:r>
          </w:p>
          <w:p w14:paraId="6E7B8726">
            <w:pPr>
              <w:pStyle w:val="72"/>
              <w:spacing w:line="440" w:lineRule="exact"/>
              <w:ind w:firstLine="480"/>
              <w:rPr>
                <w:sz w:val="24"/>
                <w:lang w:bidi="ar"/>
              </w:rPr>
            </w:pPr>
            <w:r>
              <w:rPr>
                <w:rFonts w:hint="eastAsia"/>
                <w:sz w:val="24"/>
                <w:lang w:bidi="ar"/>
              </w:rPr>
              <w:t>1.环境风险物质识别</w:t>
            </w:r>
          </w:p>
          <w:p w14:paraId="13FCA5B5">
            <w:pPr>
              <w:pStyle w:val="72"/>
              <w:spacing w:line="440" w:lineRule="exact"/>
              <w:ind w:firstLine="480"/>
              <w:rPr>
                <w:sz w:val="24"/>
                <w:lang w:bidi="ar"/>
              </w:rPr>
            </w:pPr>
            <w:r>
              <w:rPr>
                <w:rFonts w:hint="eastAsia"/>
                <w:sz w:val="24"/>
                <w:lang w:bidi="ar"/>
              </w:rPr>
              <w:t>本项目生产过程中涉及的危险物质主要为危废贮存点废机油，最大存储量为0.1t，远小于该物质临界量（2500t），对周边环境影响较小。</w:t>
            </w:r>
          </w:p>
          <w:p w14:paraId="5E6DCF9E">
            <w:pPr>
              <w:pStyle w:val="72"/>
              <w:spacing w:line="440" w:lineRule="exact"/>
              <w:ind w:firstLine="480"/>
              <w:rPr>
                <w:sz w:val="24"/>
                <w:lang w:bidi="ar"/>
              </w:rPr>
            </w:pPr>
            <w:r>
              <w:rPr>
                <w:rFonts w:hint="eastAsia"/>
                <w:sz w:val="24"/>
                <w:lang w:bidi="ar"/>
              </w:rPr>
              <w:t>2.环境风险识别</w:t>
            </w:r>
          </w:p>
          <w:p w14:paraId="35C2C973">
            <w:pPr>
              <w:pStyle w:val="72"/>
              <w:spacing w:line="440" w:lineRule="exact"/>
              <w:ind w:firstLine="480"/>
              <w:rPr>
                <w:sz w:val="24"/>
                <w:lang w:bidi="ar"/>
              </w:rPr>
            </w:pPr>
            <w:r>
              <w:rPr>
                <w:rFonts w:hint="eastAsia"/>
                <w:sz w:val="24"/>
                <w:lang w:bidi="ar"/>
              </w:rPr>
              <w:t>①可能的影响途径为事故状态下废机油泄漏，通过入渗途径引发土壤、水体污染。</w:t>
            </w:r>
          </w:p>
          <w:p w14:paraId="0CB70D95">
            <w:pPr>
              <w:pStyle w:val="72"/>
              <w:spacing w:line="440" w:lineRule="exact"/>
              <w:ind w:firstLine="480"/>
              <w:rPr>
                <w:sz w:val="24"/>
                <w:lang w:bidi="ar"/>
              </w:rPr>
            </w:pPr>
            <w:r>
              <w:rPr>
                <w:rFonts w:hint="eastAsia"/>
                <w:sz w:val="24"/>
                <w:lang w:bidi="ar"/>
              </w:rPr>
              <w:t>②火灾等事故造成的次生污染。</w:t>
            </w:r>
          </w:p>
          <w:p w14:paraId="6590C792">
            <w:pPr>
              <w:pStyle w:val="72"/>
              <w:spacing w:line="440" w:lineRule="exact"/>
              <w:ind w:firstLine="480"/>
              <w:rPr>
                <w:sz w:val="24"/>
                <w:lang w:bidi="ar"/>
              </w:rPr>
            </w:pPr>
            <w:r>
              <w:rPr>
                <w:rFonts w:hint="eastAsia"/>
                <w:sz w:val="24"/>
                <w:lang w:bidi="ar"/>
              </w:rPr>
              <w:t>3.环境风险事故影响分析</w:t>
            </w:r>
          </w:p>
          <w:p w14:paraId="7E451FF3">
            <w:pPr>
              <w:pStyle w:val="72"/>
              <w:spacing w:line="440" w:lineRule="exact"/>
              <w:ind w:firstLine="480"/>
              <w:rPr>
                <w:sz w:val="24"/>
                <w:lang w:bidi="ar"/>
              </w:rPr>
            </w:pPr>
            <w:r>
              <w:rPr>
                <w:rFonts w:hint="eastAsia"/>
                <w:sz w:val="24"/>
                <w:lang w:bidi="ar"/>
              </w:rPr>
              <w:t>①火灾事故影响</w:t>
            </w:r>
          </w:p>
          <w:p w14:paraId="3CE7AD68">
            <w:pPr>
              <w:pStyle w:val="72"/>
              <w:spacing w:line="440" w:lineRule="exact"/>
              <w:ind w:firstLine="480"/>
              <w:rPr>
                <w:sz w:val="24"/>
                <w:lang w:bidi="ar"/>
              </w:rPr>
            </w:pPr>
            <w:r>
              <w:rPr>
                <w:rFonts w:hint="eastAsia"/>
                <w:sz w:val="24"/>
                <w:lang w:bidi="ar"/>
              </w:rPr>
              <w:t>火灾事故影响主要是烟雾、热辐射，主要是暂时性的破坏，生态环境还可以恢复。此外，发生火灾可能导致危险废物以及消防废水外泄影响周边环境。由于本项目危险物质存在量较小，因此在采取严格的环境风险防范及应急措施情况下，可以有效降低环境影响。</w:t>
            </w:r>
          </w:p>
          <w:p w14:paraId="1EF439A3">
            <w:pPr>
              <w:pStyle w:val="95"/>
              <w:spacing w:line="440" w:lineRule="exact"/>
              <w:ind w:firstLine="480"/>
              <w:rPr>
                <w:sz w:val="24"/>
                <w:lang w:bidi="ar"/>
              </w:rPr>
            </w:pPr>
            <w:r>
              <w:rPr>
                <w:rFonts w:hint="eastAsia"/>
                <w:sz w:val="24"/>
                <w:lang w:bidi="ar"/>
              </w:rPr>
              <w:t>建设单位应重视环保及消防措施建设，除了配备必要的消防应急措施外，还应加强生产车间及危废暂存点的通风设施建设，保证良好通风；在生产车间内及危废贮存点等墙壁张贴相应警告标志，平时加强对相应设施的维护、检修，确保设备正常运行。</w:t>
            </w:r>
          </w:p>
          <w:p w14:paraId="1A53E74D">
            <w:pPr>
              <w:pStyle w:val="95"/>
              <w:spacing w:line="440" w:lineRule="exact"/>
              <w:ind w:firstLine="480"/>
              <w:rPr>
                <w:sz w:val="24"/>
                <w:szCs w:val="32"/>
              </w:rPr>
            </w:pPr>
            <w:r>
              <w:rPr>
                <w:rFonts w:hint="eastAsia"/>
                <w:sz w:val="24"/>
                <w:szCs w:val="32"/>
              </w:rPr>
              <w:t>②废机油等泄漏影响分析</w:t>
            </w:r>
          </w:p>
          <w:p w14:paraId="1FDD3A95">
            <w:pPr>
              <w:pStyle w:val="95"/>
              <w:spacing w:line="440" w:lineRule="exact"/>
              <w:ind w:firstLine="480"/>
              <w:rPr>
                <w:sz w:val="24"/>
                <w:szCs w:val="32"/>
              </w:rPr>
            </w:pPr>
            <w:r>
              <w:rPr>
                <w:sz w:val="24"/>
                <w:szCs w:val="32"/>
              </w:rPr>
              <w:t>废机油泄漏会入渗污染地下水</w:t>
            </w:r>
            <w:r>
              <w:rPr>
                <w:rFonts w:hint="eastAsia"/>
                <w:sz w:val="24"/>
                <w:szCs w:val="32"/>
              </w:rPr>
              <w:t>及土壤</w:t>
            </w:r>
            <w:r>
              <w:rPr>
                <w:sz w:val="24"/>
                <w:szCs w:val="32"/>
              </w:rPr>
              <w:t>，可能对周边地表水体环境质量造成影响。为了更好</w:t>
            </w:r>
            <w:r>
              <w:rPr>
                <w:rFonts w:hint="eastAsia"/>
                <w:sz w:val="24"/>
                <w:szCs w:val="32"/>
              </w:rPr>
              <w:t>地</w:t>
            </w:r>
            <w:r>
              <w:rPr>
                <w:sz w:val="24"/>
                <w:szCs w:val="32"/>
              </w:rPr>
              <w:t>保护周边环境，建设单位须加强对危险废物暂存间的运行管理，防止废机油泄漏污染水体。</w:t>
            </w:r>
            <w:r>
              <w:rPr>
                <w:rFonts w:hint="eastAsia"/>
                <w:sz w:val="24"/>
                <w:szCs w:val="32"/>
              </w:rPr>
              <w:t>由于项目废机油暂存量较少，泄漏后环境影响较小。</w:t>
            </w:r>
          </w:p>
          <w:p w14:paraId="051D3628">
            <w:pPr>
              <w:pStyle w:val="95"/>
              <w:spacing w:line="440" w:lineRule="exact"/>
              <w:ind w:firstLine="480"/>
              <w:rPr>
                <w:sz w:val="24"/>
                <w:szCs w:val="32"/>
              </w:rPr>
            </w:pPr>
            <w:r>
              <w:rPr>
                <w:rFonts w:hint="eastAsia"/>
                <w:sz w:val="24"/>
                <w:szCs w:val="32"/>
              </w:rPr>
              <w:t>4.环境风险防范及应急措施</w:t>
            </w:r>
          </w:p>
          <w:p w14:paraId="4CB34FB5">
            <w:pPr>
              <w:pStyle w:val="95"/>
              <w:spacing w:line="440" w:lineRule="exact"/>
              <w:ind w:firstLine="480"/>
              <w:rPr>
                <w:sz w:val="24"/>
                <w:szCs w:val="32"/>
              </w:rPr>
            </w:pPr>
            <w:r>
              <w:rPr>
                <w:rFonts w:hint="eastAsia"/>
                <w:sz w:val="24"/>
                <w:szCs w:val="32"/>
              </w:rPr>
              <w:t>针对本项目环境风险，评价提出如下风险防范措施要求：</w:t>
            </w:r>
          </w:p>
          <w:p w14:paraId="1605AEEB">
            <w:pPr>
              <w:pStyle w:val="95"/>
              <w:spacing w:line="440" w:lineRule="exact"/>
              <w:ind w:firstLine="480"/>
              <w:rPr>
                <w:sz w:val="24"/>
                <w:szCs w:val="32"/>
                <w:lang w:val="zh-CN" w:bidi="ar"/>
              </w:rPr>
            </w:pPr>
            <w:r>
              <w:rPr>
                <w:rFonts w:hint="eastAsia"/>
                <w:sz w:val="24"/>
                <w:szCs w:val="32"/>
                <w:lang w:val="zh-CN" w:bidi="ar"/>
              </w:rPr>
              <w:t>①</w:t>
            </w:r>
            <w:r>
              <w:rPr>
                <w:sz w:val="24"/>
                <w:szCs w:val="32"/>
                <w:lang w:val="zh-CN" w:bidi="ar"/>
              </w:rPr>
              <w:t>在</w:t>
            </w:r>
            <w:r>
              <w:rPr>
                <w:rFonts w:hint="eastAsia"/>
                <w:sz w:val="24"/>
                <w:szCs w:val="32"/>
              </w:rPr>
              <w:t>危废贮存点</w:t>
            </w:r>
            <w:r>
              <w:rPr>
                <w:sz w:val="24"/>
                <w:szCs w:val="32"/>
                <w:lang w:val="zh-CN" w:bidi="ar"/>
              </w:rPr>
              <w:t>内储存容器外围建设围堰，确保一旦倾翻发生泄漏事故，液体</w:t>
            </w:r>
            <w:r>
              <w:rPr>
                <w:rFonts w:hint="eastAsia"/>
                <w:sz w:val="24"/>
                <w:szCs w:val="32"/>
                <w:lang w:bidi="ar"/>
              </w:rPr>
              <w:t>及消防废水</w:t>
            </w:r>
            <w:r>
              <w:rPr>
                <w:sz w:val="24"/>
                <w:szCs w:val="32"/>
                <w:lang w:val="zh-CN" w:bidi="ar"/>
              </w:rPr>
              <w:t>在围堰内，不外流，避免物料损失和污染环境。</w:t>
            </w:r>
          </w:p>
          <w:p w14:paraId="731430E1">
            <w:pPr>
              <w:pStyle w:val="95"/>
              <w:spacing w:line="440" w:lineRule="exact"/>
              <w:ind w:firstLine="480"/>
              <w:rPr>
                <w:sz w:val="24"/>
                <w:szCs w:val="32"/>
                <w:lang w:bidi="ar"/>
              </w:rPr>
            </w:pPr>
            <w:r>
              <w:rPr>
                <w:rFonts w:hint="eastAsia"/>
                <w:sz w:val="24"/>
                <w:szCs w:val="32"/>
                <w:lang w:val="zh-CN" w:bidi="ar"/>
              </w:rPr>
              <w:t>②</w:t>
            </w:r>
            <w:r>
              <w:rPr>
                <w:sz w:val="24"/>
                <w:szCs w:val="32"/>
                <w:lang w:val="zh-CN" w:bidi="ar"/>
              </w:rPr>
              <w:t>操作时严格遵守操作规程。</w:t>
            </w:r>
            <w:r>
              <w:rPr>
                <w:rFonts w:hint="eastAsia"/>
                <w:sz w:val="24"/>
                <w:szCs w:val="32"/>
                <w:lang w:bidi="ar"/>
              </w:rPr>
              <w:t>产生的危险废物及时清运，减少危险废物在厂内暂存量。</w:t>
            </w:r>
          </w:p>
          <w:p w14:paraId="68A41AD3">
            <w:pPr>
              <w:pStyle w:val="95"/>
              <w:spacing w:line="440" w:lineRule="exact"/>
              <w:ind w:firstLine="480"/>
              <w:rPr>
                <w:sz w:val="24"/>
                <w:szCs w:val="32"/>
                <w:lang w:val="zh-CN" w:bidi="ar"/>
              </w:rPr>
            </w:pPr>
            <w:r>
              <w:rPr>
                <w:rFonts w:hint="eastAsia"/>
                <w:sz w:val="24"/>
                <w:szCs w:val="32"/>
                <w:lang w:val="zh-CN" w:bidi="ar"/>
              </w:rPr>
              <w:t>③</w:t>
            </w:r>
            <w:r>
              <w:rPr>
                <w:sz w:val="24"/>
                <w:szCs w:val="32"/>
                <w:lang w:val="zh-CN" w:bidi="ar"/>
              </w:rPr>
              <w:t>做好日常例行检查，发现泄漏及其它问题，及时处理。</w:t>
            </w:r>
          </w:p>
          <w:p w14:paraId="7AA610DA">
            <w:pPr>
              <w:pStyle w:val="95"/>
              <w:spacing w:line="440" w:lineRule="exact"/>
              <w:ind w:firstLine="480"/>
              <w:rPr>
                <w:sz w:val="24"/>
              </w:rPr>
            </w:pPr>
            <w:r>
              <w:rPr>
                <w:rFonts w:hint="eastAsia"/>
                <w:sz w:val="24"/>
                <w:szCs w:val="22"/>
                <w:lang w:val="zh-CN" w:bidi="ar"/>
              </w:rPr>
              <w:t>④</w:t>
            </w:r>
            <w:r>
              <w:rPr>
                <w:sz w:val="24"/>
                <w:szCs w:val="22"/>
                <w:lang w:val="zh-CN" w:bidi="ar"/>
              </w:rPr>
              <w:t>严格落实防渗技术要求，将危废贮存点作为</w:t>
            </w:r>
            <w:r>
              <w:rPr>
                <w:rFonts w:hint="eastAsia"/>
                <w:sz w:val="24"/>
                <w:szCs w:val="22"/>
                <w:lang w:val="zh-CN" w:bidi="ar"/>
              </w:rPr>
              <w:t>重点</w:t>
            </w:r>
            <w:r>
              <w:rPr>
                <w:sz w:val="24"/>
                <w:szCs w:val="22"/>
                <w:lang w:val="zh-CN" w:bidi="ar"/>
              </w:rPr>
              <w:t>防渗区</w:t>
            </w:r>
            <w:r>
              <w:rPr>
                <w:rFonts w:hint="eastAsia"/>
                <w:sz w:val="24"/>
                <w:szCs w:val="22"/>
                <w:lang w:val="zh-CN" w:bidi="ar"/>
              </w:rPr>
              <w:t>，</w:t>
            </w:r>
            <w:r>
              <w:rPr>
                <w:rFonts w:hint="eastAsia"/>
                <w:sz w:val="24"/>
                <w:szCs w:val="28"/>
              </w:rPr>
              <w:t>按《危险废物贮存污染控制标准》（GB18597-2023）要求进行建设，防渗层为至少2mm厚高密度聚乙烯膜等人工防渗材料（渗透系数不大于10</w:t>
            </w:r>
            <w:r>
              <w:rPr>
                <w:rFonts w:hint="eastAsia"/>
                <w:sz w:val="24"/>
                <w:szCs w:val="28"/>
                <w:vertAlign w:val="superscript"/>
              </w:rPr>
              <w:t>-10</w:t>
            </w:r>
            <w:r>
              <w:rPr>
                <w:rFonts w:hint="eastAsia"/>
                <w:sz w:val="24"/>
                <w:szCs w:val="28"/>
              </w:rPr>
              <w:t>cm/s）或其他防渗性能等效的材料</w:t>
            </w:r>
            <w:r>
              <w:rPr>
                <w:rFonts w:hint="eastAsia"/>
                <w:sz w:val="24"/>
              </w:rPr>
              <w:t>。</w:t>
            </w:r>
          </w:p>
          <w:p w14:paraId="4FE1733B">
            <w:pPr>
              <w:pStyle w:val="95"/>
              <w:spacing w:line="440" w:lineRule="exact"/>
              <w:ind w:firstLine="480"/>
              <w:rPr>
                <w:sz w:val="24"/>
              </w:rPr>
            </w:pPr>
          </w:p>
          <w:p w14:paraId="170E77FA">
            <w:pPr>
              <w:pStyle w:val="95"/>
              <w:spacing w:line="440" w:lineRule="exact"/>
              <w:ind w:firstLine="480"/>
              <w:rPr>
                <w:sz w:val="24"/>
              </w:rPr>
            </w:pPr>
          </w:p>
          <w:p w14:paraId="211D679F">
            <w:pPr>
              <w:pStyle w:val="95"/>
              <w:spacing w:line="440" w:lineRule="exact"/>
              <w:ind w:firstLine="480"/>
              <w:rPr>
                <w:sz w:val="24"/>
              </w:rPr>
            </w:pPr>
          </w:p>
          <w:p w14:paraId="001D0247">
            <w:pPr>
              <w:pStyle w:val="95"/>
              <w:spacing w:line="440" w:lineRule="exact"/>
              <w:ind w:firstLine="480"/>
              <w:rPr>
                <w:sz w:val="24"/>
              </w:rPr>
            </w:pPr>
          </w:p>
          <w:p w14:paraId="73ED0427">
            <w:pPr>
              <w:pStyle w:val="95"/>
              <w:spacing w:line="440" w:lineRule="exact"/>
              <w:ind w:firstLine="480"/>
              <w:rPr>
                <w:sz w:val="24"/>
              </w:rPr>
            </w:pPr>
          </w:p>
          <w:p w14:paraId="66C54C5F">
            <w:pPr>
              <w:pStyle w:val="95"/>
              <w:spacing w:line="440" w:lineRule="exact"/>
              <w:ind w:firstLine="480"/>
              <w:rPr>
                <w:sz w:val="24"/>
              </w:rPr>
            </w:pPr>
          </w:p>
          <w:p w14:paraId="3A0FB8A5">
            <w:pPr>
              <w:pStyle w:val="95"/>
              <w:spacing w:line="440" w:lineRule="exact"/>
              <w:ind w:firstLine="480"/>
              <w:rPr>
                <w:sz w:val="24"/>
              </w:rPr>
            </w:pPr>
          </w:p>
          <w:p w14:paraId="082B6D82">
            <w:pPr>
              <w:pStyle w:val="95"/>
              <w:spacing w:line="440" w:lineRule="exact"/>
              <w:ind w:firstLine="480"/>
              <w:rPr>
                <w:sz w:val="24"/>
              </w:rPr>
            </w:pPr>
          </w:p>
          <w:p w14:paraId="0514C65C">
            <w:pPr>
              <w:pStyle w:val="95"/>
              <w:spacing w:line="440" w:lineRule="exact"/>
              <w:ind w:firstLine="480"/>
              <w:rPr>
                <w:sz w:val="24"/>
              </w:rPr>
            </w:pPr>
          </w:p>
          <w:p w14:paraId="090A5865">
            <w:pPr>
              <w:pStyle w:val="95"/>
              <w:spacing w:line="440" w:lineRule="exact"/>
              <w:ind w:firstLine="480"/>
              <w:rPr>
                <w:sz w:val="24"/>
              </w:rPr>
            </w:pPr>
          </w:p>
          <w:p w14:paraId="6CEDCB2B">
            <w:pPr>
              <w:pStyle w:val="95"/>
              <w:spacing w:line="440" w:lineRule="exact"/>
              <w:ind w:firstLine="480"/>
              <w:rPr>
                <w:sz w:val="24"/>
              </w:rPr>
            </w:pPr>
          </w:p>
          <w:p w14:paraId="79981E76">
            <w:pPr>
              <w:pStyle w:val="95"/>
              <w:spacing w:line="440" w:lineRule="exact"/>
              <w:ind w:firstLine="480"/>
              <w:rPr>
                <w:sz w:val="24"/>
              </w:rPr>
            </w:pPr>
          </w:p>
          <w:p w14:paraId="5BD5A028">
            <w:pPr>
              <w:pStyle w:val="95"/>
              <w:spacing w:line="440" w:lineRule="exact"/>
              <w:ind w:firstLine="480"/>
              <w:rPr>
                <w:sz w:val="24"/>
              </w:rPr>
            </w:pPr>
          </w:p>
          <w:p w14:paraId="2D6E1226">
            <w:pPr>
              <w:pStyle w:val="95"/>
              <w:spacing w:line="440" w:lineRule="exact"/>
              <w:ind w:firstLine="480"/>
              <w:rPr>
                <w:sz w:val="24"/>
              </w:rPr>
            </w:pPr>
          </w:p>
          <w:p w14:paraId="72BAF9B1">
            <w:pPr>
              <w:pStyle w:val="95"/>
              <w:spacing w:line="440" w:lineRule="exact"/>
              <w:ind w:firstLine="480"/>
              <w:rPr>
                <w:sz w:val="24"/>
              </w:rPr>
            </w:pPr>
          </w:p>
          <w:p w14:paraId="0A09FCDB">
            <w:pPr>
              <w:pStyle w:val="95"/>
              <w:spacing w:line="440" w:lineRule="exact"/>
              <w:ind w:firstLine="480"/>
              <w:rPr>
                <w:sz w:val="24"/>
              </w:rPr>
            </w:pPr>
          </w:p>
          <w:p w14:paraId="3C361348">
            <w:pPr>
              <w:pStyle w:val="95"/>
              <w:spacing w:line="440" w:lineRule="exact"/>
              <w:ind w:firstLine="480"/>
              <w:rPr>
                <w:sz w:val="24"/>
              </w:rPr>
            </w:pPr>
          </w:p>
          <w:p w14:paraId="018E9411">
            <w:pPr>
              <w:pStyle w:val="95"/>
              <w:spacing w:line="440" w:lineRule="exact"/>
              <w:ind w:firstLine="480"/>
              <w:rPr>
                <w:sz w:val="24"/>
              </w:rPr>
            </w:pPr>
          </w:p>
          <w:p w14:paraId="55D2FAA9">
            <w:pPr>
              <w:pStyle w:val="95"/>
              <w:spacing w:line="440" w:lineRule="exact"/>
              <w:ind w:firstLine="480"/>
              <w:rPr>
                <w:sz w:val="24"/>
              </w:rPr>
            </w:pPr>
          </w:p>
          <w:p w14:paraId="19E6FEDD">
            <w:pPr>
              <w:pStyle w:val="95"/>
              <w:spacing w:line="440" w:lineRule="exact"/>
              <w:ind w:firstLine="480"/>
              <w:rPr>
                <w:sz w:val="24"/>
                <w:szCs w:val="32"/>
                <w:lang w:val="zh-CN" w:bidi="ar"/>
              </w:rPr>
            </w:pPr>
          </w:p>
        </w:tc>
      </w:tr>
    </w:tbl>
    <w:p w14:paraId="2ABDF9BF">
      <w:pPr>
        <w:sectPr>
          <w:footerReference r:id="rId6" w:type="default"/>
          <w:pgSz w:w="11907" w:h="16840"/>
          <w:pgMar w:top="1701" w:right="1531" w:bottom="2127" w:left="1531" w:header="851" w:footer="1247" w:gutter="0"/>
          <w:cols w:space="720" w:num="1"/>
          <w:docGrid w:linePitch="312" w:charSpace="0"/>
        </w:sectPr>
      </w:pPr>
    </w:p>
    <w:p w14:paraId="5522D007">
      <w:pPr>
        <w:pStyle w:val="15"/>
        <w:jc w:val="center"/>
        <w:outlineLvl w:val="0"/>
        <w:rPr>
          <w:rFonts w:ascii="Times New Roman" w:hAnsi="Times New Roman"/>
          <w:snapToGrid w:val="0"/>
          <w:sz w:val="30"/>
          <w:szCs w:val="30"/>
        </w:rPr>
      </w:pPr>
      <w:r>
        <w:rPr>
          <w:rFonts w:hint="eastAsia" w:ascii="Times New Roman" w:hAnsi="Times New Roman"/>
          <w:snapToGrid w:val="0"/>
          <w:sz w:val="30"/>
          <w:szCs w:val="30"/>
        </w:rPr>
        <w:t>五、</w:t>
      </w:r>
      <w:bookmarkStart w:id="84" w:name="_Hlk54167917"/>
      <w:r>
        <w:rPr>
          <w:rFonts w:hint="eastAsia" w:ascii="Times New Roman" w:hAnsi="Times New Roman"/>
          <w:snapToGrid w:val="0"/>
          <w:sz w:val="30"/>
          <w:szCs w:val="30"/>
        </w:rPr>
        <w:t>环境保护措施监督检查清单</w:t>
      </w:r>
      <w:bookmarkEnd w:id="84"/>
    </w:p>
    <w:tbl>
      <w:tblPr>
        <w:tblStyle w:val="2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589"/>
        <w:gridCol w:w="704"/>
        <w:gridCol w:w="1968"/>
        <w:gridCol w:w="701"/>
        <w:gridCol w:w="2954"/>
        <w:gridCol w:w="1908"/>
      </w:tblGrid>
      <w:tr w14:paraId="6FEFD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tcBorders>
              <w:tl2br w:val="single" w:color="auto" w:sz="4" w:space="0"/>
            </w:tcBorders>
          </w:tcPr>
          <w:p w14:paraId="33938CDD">
            <w:pPr>
              <w:adjustRightInd w:val="0"/>
              <w:snapToGrid w:val="0"/>
              <w:ind w:firstLine="420"/>
              <w:jc w:val="right"/>
              <w:rPr>
                <w:rFonts w:cs="宋体"/>
                <w:szCs w:val="21"/>
              </w:rPr>
            </w:pPr>
            <w:r>
              <w:rPr>
                <w:rFonts w:hint="eastAsia" w:cs="宋体"/>
                <w:szCs w:val="21"/>
              </w:rPr>
              <w:t>内容</w:t>
            </w:r>
          </w:p>
          <w:p w14:paraId="3E8FB87A">
            <w:pPr>
              <w:adjustRightInd w:val="0"/>
              <w:snapToGrid w:val="0"/>
              <w:rPr>
                <w:rFonts w:cs="宋体"/>
                <w:szCs w:val="21"/>
              </w:rPr>
            </w:pPr>
            <w:r>
              <w:rPr>
                <w:rFonts w:hint="eastAsia" w:cs="宋体"/>
                <w:szCs w:val="21"/>
              </w:rPr>
              <w:t>要素</w:t>
            </w:r>
          </w:p>
        </w:tc>
        <w:tc>
          <w:tcPr>
            <w:tcW w:w="1115" w:type="pct"/>
            <w:vAlign w:val="center"/>
          </w:tcPr>
          <w:p w14:paraId="2AA4F105">
            <w:pPr>
              <w:adjustRightInd w:val="0"/>
              <w:snapToGrid w:val="0"/>
              <w:jc w:val="center"/>
              <w:rPr>
                <w:rFonts w:cs="宋体"/>
                <w:szCs w:val="21"/>
              </w:rPr>
            </w:pPr>
            <w:r>
              <w:rPr>
                <w:rFonts w:hint="eastAsia" w:cs="宋体"/>
                <w:szCs w:val="21"/>
              </w:rPr>
              <w:t>排放口（编号、</w:t>
            </w:r>
          </w:p>
          <w:p w14:paraId="14BF1859">
            <w:pPr>
              <w:adjustRightInd w:val="0"/>
              <w:snapToGrid w:val="0"/>
              <w:jc w:val="center"/>
              <w:rPr>
                <w:rFonts w:cs="宋体"/>
                <w:szCs w:val="21"/>
              </w:rPr>
            </w:pPr>
            <w:r>
              <w:rPr>
                <w:rFonts w:hint="eastAsia" w:cs="宋体"/>
                <w:szCs w:val="21"/>
              </w:rPr>
              <w:t>名称）/污染源</w:t>
            </w:r>
          </w:p>
        </w:tc>
        <w:tc>
          <w:tcPr>
            <w:tcW w:w="397" w:type="pct"/>
            <w:vAlign w:val="center"/>
          </w:tcPr>
          <w:p w14:paraId="0215C569">
            <w:pPr>
              <w:adjustRightInd w:val="0"/>
              <w:snapToGrid w:val="0"/>
              <w:jc w:val="center"/>
              <w:rPr>
                <w:rFonts w:cs="宋体"/>
                <w:szCs w:val="21"/>
              </w:rPr>
            </w:pPr>
            <w:r>
              <w:rPr>
                <w:rFonts w:hint="eastAsia" w:cs="宋体"/>
                <w:szCs w:val="21"/>
              </w:rPr>
              <w:t>污染物项目</w:t>
            </w:r>
          </w:p>
        </w:tc>
        <w:tc>
          <w:tcPr>
            <w:tcW w:w="1674" w:type="pct"/>
            <w:vAlign w:val="center"/>
          </w:tcPr>
          <w:p w14:paraId="1842EDAB">
            <w:pPr>
              <w:adjustRightInd w:val="0"/>
              <w:snapToGrid w:val="0"/>
              <w:jc w:val="center"/>
              <w:rPr>
                <w:rFonts w:cs="宋体"/>
                <w:szCs w:val="21"/>
              </w:rPr>
            </w:pPr>
            <w:r>
              <w:rPr>
                <w:rFonts w:hint="eastAsia" w:cs="宋体"/>
                <w:szCs w:val="21"/>
              </w:rPr>
              <w:t>环境保护措施</w:t>
            </w:r>
          </w:p>
        </w:tc>
        <w:tc>
          <w:tcPr>
            <w:tcW w:w="1081" w:type="pct"/>
            <w:vAlign w:val="center"/>
          </w:tcPr>
          <w:p w14:paraId="5AA46627">
            <w:pPr>
              <w:adjustRightInd w:val="0"/>
              <w:snapToGrid w:val="0"/>
              <w:jc w:val="center"/>
              <w:rPr>
                <w:rFonts w:cs="宋体"/>
                <w:szCs w:val="21"/>
              </w:rPr>
            </w:pPr>
            <w:r>
              <w:rPr>
                <w:rFonts w:hint="eastAsia" w:cs="宋体"/>
                <w:szCs w:val="21"/>
              </w:rPr>
              <w:t>执行标准</w:t>
            </w:r>
          </w:p>
        </w:tc>
      </w:tr>
      <w:tr w14:paraId="58A8DB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23" w:hRule="atLeast"/>
          <w:jc w:val="center"/>
        </w:trPr>
        <w:tc>
          <w:tcPr>
            <w:tcW w:w="334" w:type="pct"/>
            <w:vMerge w:val="restart"/>
            <w:vAlign w:val="center"/>
          </w:tcPr>
          <w:p w14:paraId="600CABB3">
            <w:pPr>
              <w:adjustRightInd w:val="0"/>
              <w:snapToGrid w:val="0"/>
              <w:jc w:val="center"/>
              <w:rPr>
                <w:rFonts w:cs="宋体"/>
                <w:szCs w:val="21"/>
              </w:rPr>
            </w:pPr>
            <w:r>
              <w:rPr>
                <w:rFonts w:hint="eastAsia" w:cs="宋体"/>
                <w:szCs w:val="21"/>
              </w:rPr>
              <w:t>大气环境</w:t>
            </w:r>
          </w:p>
        </w:tc>
        <w:tc>
          <w:tcPr>
            <w:tcW w:w="399" w:type="pct"/>
            <w:vMerge w:val="restart"/>
            <w:vAlign w:val="center"/>
          </w:tcPr>
          <w:p w14:paraId="6123EDBB">
            <w:pPr>
              <w:adjustRightInd w:val="0"/>
              <w:snapToGrid w:val="0"/>
              <w:jc w:val="center"/>
              <w:rPr>
                <w:rFonts w:cs="宋体"/>
                <w:szCs w:val="21"/>
              </w:rPr>
            </w:pPr>
            <w:r>
              <w:rPr>
                <w:rFonts w:hint="eastAsia" w:cs="宋体"/>
                <w:szCs w:val="21"/>
              </w:rPr>
              <w:t>有组织</w:t>
            </w:r>
          </w:p>
        </w:tc>
        <w:tc>
          <w:tcPr>
            <w:tcW w:w="1115" w:type="pct"/>
            <w:vAlign w:val="center"/>
          </w:tcPr>
          <w:p w14:paraId="3A641ADE">
            <w:pPr>
              <w:adjustRightInd w:val="0"/>
              <w:snapToGrid w:val="0"/>
              <w:jc w:val="center"/>
              <w:rPr>
                <w:rFonts w:cs="宋体"/>
                <w:szCs w:val="21"/>
              </w:rPr>
            </w:pPr>
            <w:r>
              <w:rPr>
                <w:rFonts w:hint="eastAsia" w:cs="宋体"/>
                <w:szCs w:val="21"/>
              </w:rPr>
              <w:t>骨料上料、输送、搅拌、包装废气排气筒DA001</w:t>
            </w:r>
          </w:p>
        </w:tc>
        <w:tc>
          <w:tcPr>
            <w:tcW w:w="397" w:type="pct"/>
            <w:vAlign w:val="center"/>
          </w:tcPr>
          <w:p w14:paraId="2D677AC2">
            <w:pPr>
              <w:adjustRightInd w:val="0"/>
              <w:snapToGrid w:val="0"/>
              <w:jc w:val="center"/>
              <w:rPr>
                <w:rFonts w:cs="宋体"/>
                <w:szCs w:val="21"/>
              </w:rPr>
            </w:pPr>
            <w:r>
              <w:rPr>
                <w:rFonts w:hint="eastAsia" w:cs="宋体"/>
                <w:szCs w:val="21"/>
              </w:rPr>
              <w:t>颗粒物</w:t>
            </w:r>
          </w:p>
        </w:tc>
        <w:tc>
          <w:tcPr>
            <w:tcW w:w="1674" w:type="pct"/>
            <w:vAlign w:val="center"/>
          </w:tcPr>
          <w:p w14:paraId="75DD4295">
            <w:pPr>
              <w:adjustRightInd w:val="0"/>
              <w:snapToGrid w:val="0"/>
              <w:jc w:val="center"/>
              <w:rPr>
                <w:rFonts w:cs="宋体"/>
                <w:szCs w:val="21"/>
              </w:rPr>
            </w:pPr>
            <w:r>
              <w:rPr>
                <w:rFonts w:hint="eastAsia" w:cs="宋体"/>
                <w:szCs w:val="21"/>
              </w:rPr>
              <w:t>废气收集后进入除尘器处理后废气经15m高排气筒排出</w:t>
            </w:r>
          </w:p>
        </w:tc>
        <w:tc>
          <w:tcPr>
            <w:tcW w:w="1081" w:type="pct"/>
            <w:vMerge w:val="restart"/>
            <w:vAlign w:val="center"/>
          </w:tcPr>
          <w:p w14:paraId="445053BA">
            <w:pPr>
              <w:adjustRightInd w:val="0"/>
              <w:snapToGrid w:val="0"/>
              <w:jc w:val="center"/>
              <w:rPr>
                <w:rFonts w:cs="宋体"/>
                <w:szCs w:val="21"/>
              </w:rPr>
            </w:pPr>
            <w:r>
              <w:rPr>
                <w:rFonts w:hint="eastAsia" w:cs="宋体"/>
                <w:szCs w:val="21"/>
              </w:rPr>
              <w:t>《水泥工业大气污染物排放标准》（DB14/3176-2024）表1排放限值要求，即颗粒物10mg/m</w:t>
            </w:r>
            <w:r>
              <w:rPr>
                <w:rFonts w:hint="eastAsia" w:cs="宋体"/>
                <w:szCs w:val="21"/>
                <w:vertAlign w:val="superscript"/>
              </w:rPr>
              <w:t>3</w:t>
            </w:r>
          </w:p>
        </w:tc>
      </w:tr>
      <w:tr w14:paraId="55D386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59" w:hRule="atLeast"/>
          <w:jc w:val="center"/>
        </w:trPr>
        <w:tc>
          <w:tcPr>
            <w:tcW w:w="334" w:type="pct"/>
            <w:vMerge w:val="continue"/>
            <w:vAlign w:val="center"/>
          </w:tcPr>
          <w:p w14:paraId="60F2769C">
            <w:pPr>
              <w:adjustRightInd w:val="0"/>
              <w:snapToGrid w:val="0"/>
              <w:jc w:val="center"/>
              <w:rPr>
                <w:rFonts w:cs="宋体"/>
                <w:szCs w:val="21"/>
              </w:rPr>
            </w:pPr>
          </w:p>
        </w:tc>
        <w:tc>
          <w:tcPr>
            <w:tcW w:w="399" w:type="pct"/>
            <w:vMerge w:val="continue"/>
            <w:vAlign w:val="center"/>
          </w:tcPr>
          <w:p w14:paraId="50BD23C0">
            <w:pPr>
              <w:adjustRightInd w:val="0"/>
              <w:snapToGrid w:val="0"/>
              <w:jc w:val="center"/>
              <w:rPr>
                <w:rFonts w:cs="宋体"/>
                <w:szCs w:val="21"/>
              </w:rPr>
            </w:pPr>
          </w:p>
        </w:tc>
        <w:tc>
          <w:tcPr>
            <w:tcW w:w="1115" w:type="pct"/>
            <w:vAlign w:val="center"/>
          </w:tcPr>
          <w:p w14:paraId="031157DE">
            <w:pPr>
              <w:adjustRightInd w:val="0"/>
              <w:snapToGrid w:val="0"/>
              <w:jc w:val="center"/>
              <w:rPr>
                <w:rFonts w:cs="宋体"/>
                <w:szCs w:val="21"/>
              </w:rPr>
            </w:pPr>
            <w:r>
              <w:rPr>
                <w:rFonts w:hint="eastAsia" w:cs="宋体"/>
                <w:szCs w:val="21"/>
              </w:rPr>
              <w:t>水泥仓排气筒DA002</w:t>
            </w:r>
          </w:p>
        </w:tc>
        <w:tc>
          <w:tcPr>
            <w:tcW w:w="397" w:type="pct"/>
            <w:vAlign w:val="center"/>
          </w:tcPr>
          <w:p w14:paraId="4B648E54">
            <w:pPr>
              <w:adjustRightInd w:val="0"/>
              <w:snapToGrid w:val="0"/>
              <w:jc w:val="center"/>
              <w:rPr>
                <w:rFonts w:cs="宋体"/>
                <w:szCs w:val="21"/>
              </w:rPr>
            </w:pPr>
            <w:r>
              <w:rPr>
                <w:rFonts w:hint="eastAsia" w:cs="宋体"/>
                <w:szCs w:val="21"/>
              </w:rPr>
              <w:t>颗粒物</w:t>
            </w:r>
          </w:p>
        </w:tc>
        <w:tc>
          <w:tcPr>
            <w:tcW w:w="1674" w:type="pct"/>
            <w:vAlign w:val="center"/>
          </w:tcPr>
          <w:p w14:paraId="6BB50C93">
            <w:pPr>
              <w:adjustRightInd w:val="0"/>
              <w:snapToGrid w:val="0"/>
              <w:jc w:val="center"/>
              <w:rPr>
                <w:rFonts w:cs="宋体"/>
                <w:szCs w:val="21"/>
              </w:rPr>
            </w:pPr>
            <w:r>
              <w:rPr>
                <w:rFonts w:hint="eastAsia" w:cs="宋体"/>
                <w:szCs w:val="21"/>
              </w:rPr>
              <w:t>仓顶配套除尘器，处理后废气经15m高排气筒排出</w:t>
            </w:r>
          </w:p>
        </w:tc>
        <w:tc>
          <w:tcPr>
            <w:tcW w:w="1081" w:type="pct"/>
            <w:vMerge w:val="continue"/>
            <w:vAlign w:val="center"/>
          </w:tcPr>
          <w:p w14:paraId="1BB04F00">
            <w:pPr>
              <w:adjustRightInd w:val="0"/>
              <w:snapToGrid w:val="0"/>
              <w:jc w:val="center"/>
              <w:rPr>
                <w:rFonts w:cs="宋体"/>
                <w:szCs w:val="21"/>
              </w:rPr>
            </w:pPr>
          </w:p>
        </w:tc>
      </w:tr>
      <w:tr w14:paraId="1AEBC1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 w:hRule="atLeast"/>
          <w:jc w:val="center"/>
        </w:trPr>
        <w:tc>
          <w:tcPr>
            <w:tcW w:w="334" w:type="pct"/>
            <w:vMerge w:val="continue"/>
            <w:vAlign w:val="center"/>
          </w:tcPr>
          <w:p w14:paraId="2EDD70A4">
            <w:pPr>
              <w:adjustRightInd w:val="0"/>
              <w:snapToGrid w:val="0"/>
              <w:jc w:val="center"/>
              <w:rPr>
                <w:rFonts w:cs="宋体"/>
                <w:szCs w:val="21"/>
              </w:rPr>
            </w:pPr>
          </w:p>
        </w:tc>
        <w:tc>
          <w:tcPr>
            <w:tcW w:w="399" w:type="pct"/>
            <w:vMerge w:val="continue"/>
            <w:vAlign w:val="center"/>
          </w:tcPr>
          <w:p w14:paraId="00371DDF">
            <w:pPr>
              <w:adjustRightInd w:val="0"/>
              <w:snapToGrid w:val="0"/>
              <w:jc w:val="center"/>
              <w:rPr>
                <w:rFonts w:cs="宋体"/>
                <w:szCs w:val="21"/>
              </w:rPr>
            </w:pPr>
          </w:p>
        </w:tc>
        <w:tc>
          <w:tcPr>
            <w:tcW w:w="1115" w:type="pct"/>
            <w:vAlign w:val="center"/>
          </w:tcPr>
          <w:p w14:paraId="5D81A2C4">
            <w:pPr>
              <w:adjustRightInd w:val="0"/>
              <w:snapToGrid w:val="0"/>
              <w:jc w:val="center"/>
              <w:rPr>
                <w:rFonts w:cs="宋体"/>
                <w:szCs w:val="21"/>
              </w:rPr>
            </w:pPr>
            <w:r>
              <w:rPr>
                <w:rFonts w:hint="eastAsia" w:cs="宋体"/>
                <w:szCs w:val="21"/>
              </w:rPr>
              <w:t>粉煤灰（矿渣粉）仓排气筒DA003</w:t>
            </w:r>
          </w:p>
        </w:tc>
        <w:tc>
          <w:tcPr>
            <w:tcW w:w="397" w:type="pct"/>
            <w:vAlign w:val="center"/>
          </w:tcPr>
          <w:p w14:paraId="514E203B">
            <w:pPr>
              <w:adjustRightInd w:val="0"/>
              <w:snapToGrid w:val="0"/>
              <w:jc w:val="center"/>
              <w:rPr>
                <w:rFonts w:cs="宋体"/>
                <w:szCs w:val="21"/>
              </w:rPr>
            </w:pPr>
            <w:r>
              <w:rPr>
                <w:rFonts w:hint="eastAsia" w:cs="宋体"/>
                <w:szCs w:val="21"/>
              </w:rPr>
              <w:t>颗粒物</w:t>
            </w:r>
          </w:p>
        </w:tc>
        <w:tc>
          <w:tcPr>
            <w:tcW w:w="1674" w:type="pct"/>
          </w:tcPr>
          <w:p w14:paraId="3D37564B">
            <w:pPr>
              <w:adjustRightInd w:val="0"/>
              <w:snapToGrid w:val="0"/>
              <w:jc w:val="center"/>
              <w:rPr>
                <w:rFonts w:cs="宋体"/>
                <w:szCs w:val="21"/>
              </w:rPr>
            </w:pPr>
            <w:r>
              <w:rPr>
                <w:rFonts w:hint="eastAsia" w:cs="宋体"/>
                <w:szCs w:val="21"/>
              </w:rPr>
              <w:t>仓顶配套除尘器，处理后废气经15m高排气筒排出</w:t>
            </w:r>
          </w:p>
        </w:tc>
        <w:tc>
          <w:tcPr>
            <w:tcW w:w="1081" w:type="pct"/>
            <w:vMerge w:val="continue"/>
            <w:vAlign w:val="center"/>
          </w:tcPr>
          <w:p w14:paraId="0EF65371">
            <w:pPr>
              <w:adjustRightInd w:val="0"/>
              <w:snapToGrid w:val="0"/>
              <w:jc w:val="center"/>
              <w:rPr>
                <w:rFonts w:cs="宋体"/>
                <w:szCs w:val="21"/>
              </w:rPr>
            </w:pPr>
          </w:p>
        </w:tc>
      </w:tr>
      <w:tr w14:paraId="58B767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2" w:hRule="atLeast"/>
          <w:jc w:val="center"/>
        </w:trPr>
        <w:tc>
          <w:tcPr>
            <w:tcW w:w="334" w:type="pct"/>
            <w:vMerge w:val="continue"/>
            <w:vAlign w:val="center"/>
          </w:tcPr>
          <w:p w14:paraId="616B7F8D">
            <w:pPr>
              <w:adjustRightInd w:val="0"/>
              <w:snapToGrid w:val="0"/>
              <w:jc w:val="center"/>
              <w:rPr>
                <w:rFonts w:cs="宋体"/>
                <w:szCs w:val="21"/>
              </w:rPr>
            </w:pPr>
          </w:p>
        </w:tc>
        <w:tc>
          <w:tcPr>
            <w:tcW w:w="399" w:type="pct"/>
            <w:vMerge w:val="restart"/>
            <w:vAlign w:val="center"/>
          </w:tcPr>
          <w:p w14:paraId="74093091">
            <w:pPr>
              <w:adjustRightInd w:val="0"/>
              <w:snapToGrid w:val="0"/>
              <w:jc w:val="center"/>
              <w:rPr>
                <w:rFonts w:cs="宋体"/>
                <w:szCs w:val="21"/>
              </w:rPr>
            </w:pPr>
            <w:r>
              <w:rPr>
                <w:rFonts w:hint="eastAsia" w:cs="宋体"/>
                <w:szCs w:val="21"/>
              </w:rPr>
              <w:t>无组织</w:t>
            </w:r>
          </w:p>
        </w:tc>
        <w:tc>
          <w:tcPr>
            <w:tcW w:w="1115" w:type="pct"/>
            <w:vAlign w:val="center"/>
          </w:tcPr>
          <w:p w14:paraId="1F991D8B">
            <w:pPr>
              <w:adjustRightInd w:val="0"/>
              <w:snapToGrid w:val="0"/>
              <w:jc w:val="center"/>
              <w:rPr>
                <w:rFonts w:cs="宋体"/>
                <w:szCs w:val="21"/>
              </w:rPr>
            </w:pPr>
            <w:r>
              <w:rPr>
                <w:rFonts w:hint="eastAsia"/>
              </w:rPr>
              <w:t>原料储存</w:t>
            </w:r>
          </w:p>
        </w:tc>
        <w:tc>
          <w:tcPr>
            <w:tcW w:w="397" w:type="pct"/>
            <w:vAlign w:val="center"/>
          </w:tcPr>
          <w:p w14:paraId="500F2281">
            <w:pPr>
              <w:adjustRightInd w:val="0"/>
              <w:snapToGrid w:val="0"/>
              <w:jc w:val="center"/>
              <w:rPr>
                <w:rFonts w:cs="宋体"/>
                <w:szCs w:val="21"/>
              </w:rPr>
            </w:pPr>
            <w:r>
              <w:rPr>
                <w:rFonts w:hint="eastAsia" w:cs="宋体"/>
                <w:szCs w:val="21"/>
              </w:rPr>
              <w:t>颗粒物</w:t>
            </w:r>
          </w:p>
        </w:tc>
        <w:tc>
          <w:tcPr>
            <w:tcW w:w="1674" w:type="pct"/>
            <w:vAlign w:val="center"/>
          </w:tcPr>
          <w:p w14:paraId="6FAB93DD">
            <w:pPr>
              <w:adjustRightInd w:val="0"/>
              <w:snapToGrid w:val="0"/>
              <w:rPr>
                <w:rFonts w:cs="宋体"/>
                <w:szCs w:val="21"/>
              </w:rPr>
            </w:pPr>
            <w:r>
              <w:rPr>
                <w:rFonts w:hint="eastAsia"/>
              </w:rPr>
              <w:t>原料堆存区位于全封闭厂房内，设覆盖堆存区的喷雾抑尘设施，卸料配套移动雾炮抑尘</w:t>
            </w:r>
          </w:p>
        </w:tc>
        <w:tc>
          <w:tcPr>
            <w:tcW w:w="1081" w:type="pct"/>
            <w:vMerge w:val="restart"/>
            <w:vAlign w:val="center"/>
          </w:tcPr>
          <w:p w14:paraId="24547FCC">
            <w:pPr>
              <w:adjustRightInd w:val="0"/>
              <w:snapToGrid w:val="0"/>
              <w:jc w:val="center"/>
              <w:rPr>
                <w:rFonts w:cs="宋体"/>
                <w:szCs w:val="21"/>
              </w:rPr>
            </w:pPr>
            <w:r>
              <w:rPr>
                <w:rFonts w:hint="eastAsia" w:cs="宋体"/>
                <w:szCs w:val="21"/>
              </w:rPr>
              <w:t>厂区内无组织排放颗粒物参照执行《水泥工业大气污染物排放标准》（DB14/3176-2024）表2限值要求，企业边界无组织排放颗粒物参照执行《水泥工业大气污染物排放标准》（GB4915-2013）表3排放限值要求</w:t>
            </w:r>
          </w:p>
        </w:tc>
      </w:tr>
      <w:tr w14:paraId="210B0E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35" w:hRule="atLeast"/>
          <w:jc w:val="center"/>
        </w:trPr>
        <w:tc>
          <w:tcPr>
            <w:tcW w:w="334" w:type="pct"/>
            <w:vMerge w:val="continue"/>
            <w:vAlign w:val="center"/>
          </w:tcPr>
          <w:p w14:paraId="0F1D1534">
            <w:pPr>
              <w:adjustRightInd w:val="0"/>
              <w:snapToGrid w:val="0"/>
              <w:jc w:val="center"/>
              <w:rPr>
                <w:rFonts w:cs="宋体"/>
                <w:szCs w:val="21"/>
              </w:rPr>
            </w:pPr>
          </w:p>
        </w:tc>
        <w:tc>
          <w:tcPr>
            <w:tcW w:w="399" w:type="pct"/>
            <w:vMerge w:val="continue"/>
            <w:vAlign w:val="center"/>
          </w:tcPr>
          <w:p w14:paraId="69C31985">
            <w:pPr>
              <w:adjustRightInd w:val="0"/>
              <w:snapToGrid w:val="0"/>
              <w:jc w:val="center"/>
              <w:rPr>
                <w:rFonts w:cs="宋体"/>
                <w:szCs w:val="21"/>
              </w:rPr>
            </w:pPr>
          </w:p>
        </w:tc>
        <w:tc>
          <w:tcPr>
            <w:tcW w:w="1115" w:type="pct"/>
            <w:vAlign w:val="center"/>
          </w:tcPr>
          <w:p w14:paraId="7CB6F4E8">
            <w:pPr>
              <w:adjustRightInd w:val="0"/>
              <w:snapToGrid w:val="0"/>
              <w:jc w:val="center"/>
            </w:pPr>
            <w:r>
              <w:rPr>
                <w:rFonts w:hint="eastAsia"/>
              </w:rPr>
              <w:t>输送转载</w:t>
            </w:r>
          </w:p>
        </w:tc>
        <w:tc>
          <w:tcPr>
            <w:tcW w:w="397" w:type="pct"/>
            <w:vAlign w:val="center"/>
          </w:tcPr>
          <w:p w14:paraId="11DE5036">
            <w:pPr>
              <w:adjustRightInd w:val="0"/>
              <w:snapToGrid w:val="0"/>
              <w:jc w:val="center"/>
              <w:rPr>
                <w:rFonts w:cs="宋体"/>
                <w:szCs w:val="21"/>
              </w:rPr>
            </w:pPr>
            <w:r>
              <w:rPr>
                <w:rFonts w:hint="eastAsia" w:cs="宋体"/>
                <w:szCs w:val="21"/>
              </w:rPr>
              <w:t>颗粒物</w:t>
            </w:r>
          </w:p>
        </w:tc>
        <w:tc>
          <w:tcPr>
            <w:tcW w:w="1674" w:type="pct"/>
            <w:vAlign w:val="center"/>
          </w:tcPr>
          <w:p w14:paraId="18B7D8B3">
            <w:pPr>
              <w:adjustRightInd w:val="0"/>
              <w:snapToGrid w:val="0"/>
              <w:jc w:val="center"/>
            </w:pPr>
            <w:r>
              <w:rPr>
                <w:rFonts w:hint="eastAsia"/>
              </w:rPr>
              <w:t>运输皮带及提升机均要求全封闭；水泥、粉煤灰等粉状物料均采用螺旋输送器输送</w:t>
            </w:r>
          </w:p>
        </w:tc>
        <w:tc>
          <w:tcPr>
            <w:tcW w:w="1081" w:type="pct"/>
            <w:vMerge w:val="continue"/>
            <w:vAlign w:val="center"/>
          </w:tcPr>
          <w:p w14:paraId="6000FD87">
            <w:pPr>
              <w:adjustRightInd w:val="0"/>
              <w:snapToGrid w:val="0"/>
              <w:jc w:val="center"/>
              <w:rPr>
                <w:rFonts w:cs="宋体"/>
                <w:szCs w:val="21"/>
              </w:rPr>
            </w:pPr>
          </w:p>
        </w:tc>
      </w:tr>
      <w:tr w14:paraId="028900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334" w:type="pct"/>
            <w:vMerge w:val="continue"/>
            <w:vAlign w:val="center"/>
          </w:tcPr>
          <w:p w14:paraId="402D3C95">
            <w:pPr>
              <w:adjustRightInd w:val="0"/>
              <w:snapToGrid w:val="0"/>
              <w:jc w:val="center"/>
              <w:rPr>
                <w:rFonts w:cs="宋体"/>
                <w:szCs w:val="21"/>
              </w:rPr>
            </w:pPr>
          </w:p>
        </w:tc>
        <w:tc>
          <w:tcPr>
            <w:tcW w:w="399" w:type="pct"/>
            <w:vMerge w:val="continue"/>
            <w:vAlign w:val="center"/>
          </w:tcPr>
          <w:p w14:paraId="2279E97C">
            <w:pPr>
              <w:adjustRightInd w:val="0"/>
              <w:snapToGrid w:val="0"/>
              <w:jc w:val="center"/>
              <w:rPr>
                <w:rFonts w:cs="宋体"/>
                <w:szCs w:val="21"/>
              </w:rPr>
            </w:pPr>
          </w:p>
        </w:tc>
        <w:tc>
          <w:tcPr>
            <w:tcW w:w="1115" w:type="pct"/>
            <w:vAlign w:val="center"/>
          </w:tcPr>
          <w:p w14:paraId="39FF0D38">
            <w:pPr>
              <w:adjustRightInd w:val="0"/>
              <w:snapToGrid w:val="0"/>
              <w:jc w:val="center"/>
              <w:rPr>
                <w:rFonts w:cs="宋体"/>
                <w:szCs w:val="21"/>
              </w:rPr>
            </w:pPr>
            <w:r>
              <w:rPr>
                <w:rFonts w:hint="eastAsia" w:cs="宋体"/>
                <w:szCs w:val="21"/>
              </w:rPr>
              <w:t>道路运输</w:t>
            </w:r>
          </w:p>
        </w:tc>
        <w:tc>
          <w:tcPr>
            <w:tcW w:w="397" w:type="pct"/>
            <w:vAlign w:val="center"/>
          </w:tcPr>
          <w:p w14:paraId="08AAE8A6">
            <w:pPr>
              <w:adjustRightInd w:val="0"/>
              <w:snapToGrid w:val="0"/>
              <w:jc w:val="center"/>
              <w:rPr>
                <w:rFonts w:cs="宋体"/>
                <w:szCs w:val="21"/>
              </w:rPr>
            </w:pPr>
            <w:r>
              <w:rPr>
                <w:rFonts w:hint="eastAsia" w:cs="宋体"/>
                <w:szCs w:val="21"/>
              </w:rPr>
              <w:t>颗粒物</w:t>
            </w:r>
          </w:p>
        </w:tc>
        <w:tc>
          <w:tcPr>
            <w:tcW w:w="1674" w:type="pct"/>
            <w:vAlign w:val="center"/>
          </w:tcPr>
          <w:p w14:paraId="1FABF0D6">
            <w:pPr>
              <w:adjustRightInd w:val="0"/>
              <w:snapToGrid w:val="0"/>
              <w:rPr>
                <w:rFonts w:cs="宋体"/>
                <w:szCs w:val="21"/>
              </w:rPr>
            </w:pPr>
            <w:r>
              <w:rPr>
                <w:rFonts w:hint="eastAsia" w:cs="宋体"/>
                <w:szCs w:val="21"/>
              </w:rPr>
              <w:t>厂区出入口设1座洗车平台，车辆进出厂区时对车身、轮胎进行冲洗；运输车辆采用固定苫盖车辆运输；运输道路及时清扫，并设洒水车定期洒水</w:t>
            </w:r>
          </w:p>
        </w:tc>
        <w:tc>
          <w:tcPr>
            <w:tcW w:w="1081" w:type="pct"/>
            <w:vMerge w:val="continue"/>
            <w:vAlign w:val="center"/>
          </w:tcPr>
          <w:p w14:paraId="224314FD">
            <w:pPr>
              <w:adjustRightInd w:val="0"/>
              <w:snapToGrid w:val="0"/>
              <w:jc w:val="center"/>
              <w:rPr>
                <w:rFonts w:cs="宋体"/>
                <w:szCs w:val="21"/>
              </w:rPr>
            </w:pPr>
          </w:p>
        </w:tc>
      </w:tr>
      <w:tr w14:paraId="2D952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restart"/>
            <w:vAlign w:val="center"/>
          </w:tcPr>
          <w:p w14:paraId="5CD8CF7B">
            <w:pPr>
              <w:adjustRightInd w:val="0"/>
              <w:snapToGrid w:val="0"/>
              <w:jc w:val="center"/>
              <w:rPr>
                <w:rFonts w:cs="宋体"/>
                <w:szCs w:val="21"/>
              </w:rPr>
            </w:pPr>
            <w:r>
              <w:rPr>
                <w:rFonts w:hint="eastAsia" w:cs="宋体"/>
                <w:szCs w:val="21"/>
              </w:rPr>
              <w:t>地表水环境</w:t>
            </w:r>
          </w:p>
        </w:tc>
        <w:tc>
          <w:tcPr>
            <w:tcW w:w="1115" w:type="pct"/>
            <w:vMerge w:val="restart"/>
            <w:vAlign w:val="center"/>
          </w:tcPr>
          <w:p w14:paraId="049C9BAC">
            <w:pPr>
              <w:adjustRightInd w:val="0"/>
              <w:snapToGrid w:val="0"/>
              <w:jc w:val="center"/>
              <w:rPr>
                <w:rFonts w:cs="宋体"/>
                <w:szCs w:val="21"/>
              </w:rPr>
            </w:pPr>
            <w:r>
              <w:rPr>
                <w:rFonts w:hint="eastAsia" w:cs="宋体"/>
                <w:szCs w:val="21"/>
              </w:rPr>
              <w:t>生活污水</w:t>
            </w:r>
          </w:p>
        </w:tc>
        <w:tc>
          <w:tcPr>
            <w:tcW w:w="397" w:type="pct"/>
            <w:vAlign w:val="center"/>
          </w:tcPr>
          <w:p w14:paraId="070CD4E1">
            <w:pPr>
              <w:adjustRightInd w:val="0"/>
              <w:snapToGrid w:val="0"/>
              <w:jc w:val="center"/>
              <w:rPr>
                <w:rFonts w:cs="宋体"/>
                <w:szCs w:val="21"/>
              </w:rPr>
            </w:pPr>
            <w:r>
              <w:rPr>
                <w:szCs w:val="21"/>
              </w:rPr>
              <w:t>COD</w:t>
            </w:r>
          </w:p>
        </w:tc>
        <w:tc>
          <w:tcPr>
            <w:tcW w:w="1674" w:type="pct"/>
            <w:vMerge w:val="restart"/>
            <w:vAlign w:val="center"/>
          </w:tcPr>
          <w:p w14:paraId="124F627B">
            <w:pPr>
              <w:adjustRightInd w:val="0"/>
              <w:snapToGrid w:val="0"/>
              <w:jc w:val="center"/>
              <w:rPr>
                <w:rFonts w:cs="宋体"/>
                <w:szCs w:val="21"/>
              </w:rPr>
            </w:pPr>
            <w:r>
              <w:rPr>
                <w:rFonts w:hint="eastAsia"/>
              </w:rPr>
              <w:t>厂区不设食堂和宿舍，生活污水经化粪池处理后定时清掏，农田施肥</w:t>
            </w:r>
          </w:p>
        </w:tc>
        <w:tc>
          <w:tcPr>
            <w:tcW w:w="1081" w:type="pct"/>
            <w:vMerge w:val="restart"/>
            <w:vAlign w:val="center"/>
          </w:tcPr>
          <w:p w14:paraId="0A81B8A4">
            <w:pPr>
              <w:adjustRightInd w:val="0"/>
              <w:snapToGrid w:val="0"/>
              <w:jc w:val="center"/>
              <w:rPr>
                <w:rFonts w:cs="宋体"/>
                <w:szCs w:val="21"/>
              </w:rPr>
            </w:pPr>
            <w:r>
              <w:rPr>
                <w:rFonts w:hint="eastAsia" w:cs="宋体"/>
                <w:szCs w:val="21"/>
              </w:rPr>
              <w:t>不外排</w:t>
            </w:r>
          </w:p>
        </w:tc>
      </w:tr>
      <w:tr w14:paraId="1D4484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continue"/>
            <w:vAlign w:val="center"/>
          </w:tcPr>
          <w:p w14:paraId="4E451D34">
            <w:pPr>
              <w:adjustRightInd w:val="0"/>
              <w:snapToGrid w:val="0"/>
              <w:jc w:val="center"/>
              <w:rPr>
                <w:rFonts w:cs="宋体"/>
                <w:szCs w:val="21"/>
              </w:rPr>
            </w:pPr>
          </w:p>
        </w:tc>
        <w:tc>
          <w:tcPr>
            <w:tcW w:w="1115" w:type="pct"/>
            <w:vMerge w:val="continue"/>
            <w:vAlign w:val="center"/>
          </w:tcPr>
          <w:p w14:paraId="4C7E36DF">
            <w:pPr>
              <w:adjustRightInd w:val="0"/>
              <w:snapToGrid w:val="0"/>
              <w:jc w:val="center"/>
              <w:rPr>
                <w:rFonts w:cs="宋体"/>
                <w:szCs w:val="21"/>
              </w:rPr>
            </w:pPr>
          </w:p>
        </w:tc>
        <w:tc>
          <w:tcPr>
            <w:tcW w:w="397" w:type="pct"/>
            <w:vAlign w:val="center"/>
          </w:tcPr>
          <w:p w14:paraId="210BE0D4">
            <w:pPr>
              <w:adjustRightInd w:val="0"/>
              <w:snapToGrid w:val="0"/>
              <w:jc w:val="center"/>
              <w:rPr>
                <w:rFonts w:cs="宋体"/>
                <w:szCs w:val="21"/>
              </w:rPr>
            </w:pPr>
            <w:r>
              <w:rPr>
                <w:szCs w:val="21"/>
              </w:rPr>
              <w:t>BOD</w:t>
            </w:r>
            <w:r>
              <w:rPr>
                <w:szCs w:val="21"/>
                <w:vertAlign w:val="subscript"/>
              </w:rPr>
              <w:t>5</w:t>
            </w:r>
          </w:p>
        </w:tc>
        <w:tc>
          <w:tcPr>
            <w:tcW w:w="1674" w:type="pct"/>
            <w:vMerge w:val="continue"/>
            <w:vAlign w:val="center"/>
          </w:tcPr>
          <w:p w14:paraId="5FBCFA5B">
            <w:pPr>
              <w:adjustRightInd w:val="0"/>
              <w:snapToGrid w:val="0"/>
              <w:jc w:val="center"/>
              <w:rPr>
                <w:rFonts w:cs="宋体"/>
                <w:szCs w:val="21"/>
              </w:rPr>
            </w:pPr>
          </w:p>
        </w:tc>
        <w:tc>
          <w:tcPr>
            <w:tcW w:w="1081" w:type="pct"/>
            <w:vMerge w:val="continue"/>
            <w:vAlign w:val="center"/>
          </w:tcPr>
          <w:p w14:paraId="6FDD70FD">
            <w:pPr>
              <w:adjustRightInd w:val="0"/>
              <w:snapToGrid w:val="0"/>
              <w:jc w:val="center"/>
              <w:rPr>
                <w:rFonts w:cs="宋体"/>
                <w:szCs w:val="21"/>
              </w:rPr>
            </w:pPr>
          </w:p>
        </w:tc>
      </w:tr>
      <w:tr w14:paraId="4CB33B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continue"/>
            <w:vAlign w:val="center"/>
          </w:tcPr>
          <w:p w14:paraId="689781C9">
            <w:pPr>
              <w:adjustRightInd w:val="0"/>
              <w:snapToGrid w:val="0"/>
              <w:jc w:val="center"/>
              <w:rPr>
                <w:rFonts w:cs="宋体"/>
                <w:szCs w:val="21"/>
              </w:rPr>
            </w:pPr>
          </w:p>
        </w:tc>
        <w:tc>
          <w:tcPr>
            <w:tcW w:w="1115" w:type="pct"/>
            <w:vMerge w:val="continue"/>
            <w:vAlign w:val="center"/>
          </w:tcPr>
          <w:p w14:paraId="175AE239">
            <w:pPr>
              <w:adjustRightInd w:val="0"/>
              <w:snapToGrid w:val="0"/>
              <w:jc w:val="center"/>
              <w:rPr>
                <w:rFonts w:cs="宋体"/>
                <w:szCs w:val="21"/>
              </w:rPr>
            </w:pPr>
          </w:p>
        </w:tc>
        <w:tc>
          <w:tcPr>
            <w:tcW w:w="397" w:type="pct"/>
            <w:vAlign w:val="center"/>
          </w:tcPr>
          <w:p w14:paraId="14A57542">
            <w:pPr>
              <w:adjustRightInd w:val="0"/>
              <w:snapToGrid w:val="0"/>
              <w:jc w:val="center"/>
              <w:rPr>
                <w:rFonts w:cs="宋体"/>
                <w:szCs w:val="21"/>
              </w:rPr>
            </w:pPr>
            <w:r>
              <w:rPr>
                <w:szCs w:val="21"/>
              </w:rPr>
              <w:t>SS</w:t>
            </w:r>
          </w:p>
        </w:tc>
        <w:tc>
          <w:tcPr>
            <w:tcW w:w="1674" w:type="pct"/>
            <w:vMerge w:val="continue"/>
            <w:vAlign w:val="center"/>
          </w:tcPr>
          <w:p w14:paraId="2A902292">
            <w:pPr>
              <w:adjustRightInd w:val="0"/>
              <w:snapToGrid w:val="0"/>
              <w:jc w:val="center"/>
              <w:rPr>
                <w:rFonts w:cs="宋体"/>
                <w:szCs w:val="21"/>
              </w:rPr>
            </w:pPr>
          </w:p>
        </w:tc>
        <w:tc>
          <w:tcPr>
            <w:tcW w:w="1081" w:type="pct"/>
            <w:vMerge w:val="continue"/>
            <w:vAlign w:val="center"/>
          </w:tcPr>
          <w:p w14:paraId="768AFA5A">
            <w:pPr>
              <w:adjustRightInd w:val="0"/>
              <w:snapToGrid w:val="0"/>
              <w:jc w:val="center"/>
              <w:rPr>
                <w:rFonts w:cs="宋体"/>
                <w:szCs w:val="21"/>
              </w:rPr>
            </w:pPr>
          </w:p>
        </w:tc>
      </w:tr>
      <w:tr w14:paraId="2E5500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continue"/>
            <w:vAlign w:val="center"/>
          </w:tcPr>
          <w:p w14:paraId="12F2A13E">
            <w:pPr>
              <w:adjustRightInd w:val="0"/>
              <w:snapToGrid w:val="0"/>
              <w:jc w:val="center"/>
              <w:rPr>
                <w:rFonts w:cs="宋体"/>
                <w:szCs w:val="21"/>
              </w:rPr>
            </w:pPr>
          </w:p>
        </w:tc>
        <w:tc>
          <w:tcPr>
            <w:tcW w:w="1115" w:type="pct"/>
            <w:vMerge w:val="continue"/>
            <w:vAlign w:val="center"/>
          </w:tcPr>
          <w:p w14:paraId="01208438">
            <w:pPr>
              <w:adjustRightInd w:val="0"/>
              <w:snapToGrid w:val="0"/>
              <w:jc w:val="center"/>
              <w:rPr>
                <w:rFonts w:cs="宋体"/>
                <w:szCs w:val="21"/>
              </w:rPr>
            </w:pPr>
          </w:p>
        </w:tc>
        <w:tc>
          <w:tcPr>
            <w:tcW w:w="397" w:type="pct"/>
            <w:vAlign w:val="center"/>
          </w:tcPr>
          <w:p w14:paraId="577D10C3">
            <w:pPr>
              <w:adjustRightInd w:val="0"/>
              <w:snapToGrid w:val="0"/>
              <w:jc w:val="center"/>
              <w:rPr>
                <w:rFonts w:cs="宋体"/>
                <w:szCs w:val="21"/>
              </w:rPr>
            </w:pPr>
            <w:r>
              <w:rPr>
                <w:szCs w:val="21"/>
              </w:rPr>
              <w:t>氨氮</w:t>
            </w:r>
          </w:p>
        </w:tc>
        <w:tc>
          <w:tcPr>
            <w:tcW w:w="1674" w:type="pct"/>
            <w:vMerge w:val="continue"/>
            <w:vAlign w:val="center"/>
          </w:tcPr>
          <w:p w14:paraId="73F9006C">
            <w:pPr>
              <w:adjustRightInd w:val="0"/>
              <w:snapToGrid w:val="0"/>
              <w:jc w:val="center"/>
              <w:rPr>
                <w:rFonts w:cs="宋体"/>
                <w:szCs w:val="21"/>
              </w:rPr>
            </w:pPr>
          </w:p>
        </w:tc>
        <w:tc>
          <w:tcPr>
            <w:tcW w:w="1081" w:type="pct"/>
            <w:vMerge w:val="continue"/>
            <w:vAlign w:val="center"/>
          </w:tcPr>
          <w:p w14:paraId="32923701">
            <w:pPr>
              <w:adjustRightInd w:val="0"/>
              <w:snapToGrid w:val="0"/>
              <w:jc w:val="center"/>
              <w:rPr>
                <w:rFonts w:cs="宋体"/>
                <w:szCs w:val="21"/>
              </w:rPr>
            </w:pPr>
          </w:p>
        </w:tc>
      </w:tr>
      <w:tr w14:paraId="61C3BA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continue"/>
            <w:vAlign w:val="center"/>
          </w:tcPr>
          <w:p w14:paraId="0DF942C6">
            <w:pPr>
              <w:adjustRightInd w:val="0"/>
              <w:snapToGrid w:val="0"/>
              <w:jc w:val="center"/>
              <w:rPr>
                <w:rFonts w:cs="宋体"/>
                <w:szCs w:val="21"/>
              </w:rPr>
            </w:pPr>
          </w:p>
        </w:tc>
        <w:tc>
          <w:tcPr>
            <w:tcW w:w="1115" w:type="pct"/>
            <w:vAlign w:val="center"/>
          </w:tcPr>
          <w:p w14:paraId="2E834D45">
            <w:pPr>
              <w:adjustRightInd w:val="0"/>
              <w:snapToGrid w:val="0"/>
              <w:jc w:val="center"/>
              <w:rPr>
                <w:rFonts w:cs="宋体"/>
                <w:szCs w:val="21"/>
              </w:rPr>
            </w:pPr>
            <w:r>
              <w:rPr>
                <w:rFonts w:hint="eastAsia" w:cs="宋体"/>
                <w:szCs w:val="21"/>
              </w:rPr>
              <w:t>车辆冲洗废水</w:t>
            </w:r>
          </w:p>
        </w:tc>
        <w:tc>
          <w:tcPr>
            <w:tcW w:w="397" w:type="pct"/>
            <w:vAlign w:val="center"/>
          </w:tcPr>
          <w:p w14:paraId="7E381167">
            <w:pPr>
              <w:adjustRightInd w:val="0"/>
              <w:snapToGrid w:val="0"/>
              <w:jc w:val="center"/>
              <w:rPr>
                <w:szCs w:val="21"/>
              </w:rPr>
            </w:pPr>
            <w:r>
              <w:rPr>
                <w:rFonts w:hint="eastAsia"/>
                <w:szCs w:val="21"/>
              </w:rPr>
              <w:t>S</w:t>
            </w:r>
            <w:r>
              <w:rPr>
                <w:szCs w:val="21"/>
              </w:rPr>
              <w:t>S</w:t>
            </w:r>
          </w:p>
        </w:tc>
        <w:tc>
          <w:tcPr>
            <w:tcW w:w="1674" w:type="pct"/>
            <w:vAlign w:val="center"/>
          </w:tcPr>
          <w:p w14:paraId="4800853E">
            <w:pPr>
              <w:adjustRightInd w:val="0"/>
              <w:snapToGrid w:val="0"/>
              <w:jc w:val="center"/>
              <w:rPr>
                <w:rFonts w:cs="宋体"/>
                <w:szCs w:val="21"/>
              </w:rPr>
            </w:pPr>
            <w:bookmarkStart w:id="85" w:name="OLE_LINK70"/>
            <w:r>
              <w:rPr>
                <w:rFonts w:hint="eastAsia"/>
              </w:rPr>
              <w:t>厂区进出口设</w:t>
            </w:r>
            <w:r>
              <w:t>1</w:t>
            </w:r>
            <w:r>
              <w:rPr>
                <w:rFonts w:hint="eastAsia"/>
              </w:rPr>
              <w:t>座洗车平台，对出厂车辆进行冲洗，洗车平台旁设一座5</w:t>
            </w:r>
            <w:r>
              <w:t>m</w:t>
            </w:r>
            <w:r>
              <w:rPr>
                <w:vertAlign w:val="superscript"/>
              </w:rPr>
              <w:t>3</w:t>
            </w:r>
            <w:r>
              <w:rPr>
                <w:rFonts w:hint="eastAsia"/>
              </w:rPr>
              <w:t>三级沉淀池，对洗车废水进行沉淀后回用</w:t>
            </w:r>
            <w:bookmarkEnd w:id="85"/>
          </w:p>
        </w:tc>
        <w:tc>
          <w:tcPr>
            <w:tcW w:w="1081" w:type="pct"/>
            <w:vMerge w:val="continue"/>
            <w:vAlign w:val="center"/>
          </w:tcPr>
          <w:p w14:paraId="570479DB">
            <w:pPr>
              <w:adjustRightInd w:val="0"/>
              <w:snapToGrid w:val="0"/>
              <w:jc w:val="center"/>
              <w:rPr>
                <w:rFonts w:cs="宋体"/>
                <w:szCs w:val="21"/>
              </w:rPr>
            </w:pPr>
          </w:p>
        </w:tc>
      </w:tr>
      <w:tr w14:paraId="08B208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continue"/>
            <w:vAlign w:val="center"/>
          </w:tcPr>
          <w:p w14:paraId="2CDE2D56">
            <w:pPr>
              <w:adjustRightInd w:val="0"/>
              <w:snapToGrid w:val="0"/>
              <w:jc w:val="center"/>
              <w:rPr>
                <w:rFonts w:cs="宋体"/>
                <w:szCs w:val="21"/>
              </w:rPr>
            </w:pPr>
          </w:p>
        </w:tc>
        <w:tc>
          <w:tcPr>
            <w:tcW w:w="1115" w:type="pct"/>
            <w:vAlign w:val="center"/>
          </w:tcPr>
          <w:p w14:paraId="627DFA95">
            <w:pPr>
              <w:adjustRightInd w:val="0"/>
              <w:snapToGrid w:val="0"/>
              <w:jc w:val="center"/>
              <w:rPr>
                <w:rFonts w:cs="宋体"/>
                <w:szCs w:val="21"/>
              </w:rPr>
            </w:pPr>
            <w:r>
              <w:rPr>
                <w:rFonts w:hint="eastAsia" w:cs="宋体"/>
                <w:szCs w:val="21"/>
              </w:rPr>
              <w:t>初期雨水</w:t>
            </w:r>
          </w:p>
        </w:tc>
        <w:tc>
          <w:tcPr>
            <w:tcW w:w="397" w:type="pct"/>
            <w:vAlign w:val="center"/>
          </w:tcPr>
          <w:p w14:paraId="160304C4">
            <w:pPr>
              <w:adjustRightInd w:val="0"/>
              <w:snapToGrid w:val="0"/>
              <w:jc w:val="center"/>
              <w:rPr>
                <w:szCs w:val="21"/>
              </w:rPr>
            </w:pPr>
            <w:r>
              <w:rPr>
                <w:rFonts w:hint="eastAsia"/>
                <w:szCs w:val="21"/>
              </w:rPr>
              <w:t>SS</w:t>
            </w:r>
          </w:p>
        </w:tc>
        <w:tc>
          <w:tcPr>
            <w:tcW w:w="1674" w:type="pct"/>
            <w:vAlign w:val="center"/>
          </w:tcPr>
          <w:p w14:paraId="0CDA967E">
            <w:pPr>
              <w:adjustRightInd w:val="0"/>
              <w:snapToGrid w:val="0"/>
              <w:jc w:val="center"/>
            </w:pPr>
            <w:r>
              <w:rPr>
                <w:rFonts w:hint="eastAsia"/>
              </w:rPr>
              <w:t>设置1座初期雨水收集池收集初期雨水，初期雨水用于厂区抑尘洒水</w:t>
            </w:r>
          </w:p>
        </w:tc>
        <w:tc>
          <w:tcPr>
            <w:tcW w:w="1081" w:type="pct"/>
            <w:vMerge w:val="continue"/>
            <w:vAlign w:val="center"/>
          </w:tcPr>
          <w:p w14:paraId="38CC1799">
            <w:pPr>
              <w:adjustRightInd w:val="0"/>
              <w:snapToGrid w:val="0"/>
              <w:jc w:val="center"/>
              <w:rPr>
                <w:rFonts w:cs="宋体"/>
                <w:szCs w:val="21"/>
              </w:rPr>
            </w:pPr>
          </w:p>
        </w:tc>
      </w:tr>
      <w:tr w14:paraId="50394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11" w:hRule="atLeast"/>
          <w:jc w:val="center"/>
        </w:trPr>
        <w:tc>
          <w:tcPr>
            <w:tcW w:w="733" w:type="pct"/>
            <w:gridSpan w:val="2"/>
            <w:vMerge w:val="restart"/>
            <w:vAlign w:val="center"/>
          </w:tcPr>
          <w:p w14:paraId="30F9E7C9">
            <w:pPr>
              <w:pStyle w:val="52"/>
            </w:pPr>
            <w:r>
              <w:rPr>
                <w:rFonts w:hint="eastAsia"/>
              </w:rPr>
              <w:t>声环境</w:t>
            </w:r>
          </w:p>
        </w:tc>
        <w:tc>
          <w:tcPr>
            <w:tcW w:w="1115" w:type="pct"/>
            <w:vAlign w:val="center"/>
          </w:tcPr>
          <w:p w14:paraId="7E3DC79B">
            <w:pPr>
              <w:adjustRightInd w:val="0"/>
              <w:snapToGrid w:val="0"/>
              <w:jc w:val="center"/>
              <w:rPr>
                <w:rFonts w:cs="宋体"/>
                <w:szCs w:val="21"/>
              </w:rPr>
            </w:pPr>
            <w:r>
              <w:rPr>
                <w:rFonts w:hint="eastAsia"/>
              </w:rPr>
              <w:t>搅拌机、斗提机、包装机</w:t>
            </w:r>
            <w:r>
              <w:rPr>
                <w:rFonts w:hint="eastAsia" w:cs="宋体"/>
                <w:szCs w:val="21"/>
              </w:rPr>
              <w:t>、</w:t>
            </w:r>
            <w:r>
              <w:rPr>
                <w:rFonts w:hint="eastAsia"/>
              </w:rPr>
              <w:t>风机等设备</w:t>
            </w:r>
          </w:p>
        </w:tc>
        <w:tc>
          <w:tcPr>
            <w:tcW w:w="397" w:type="pct"/>
            <w:vMerge w:val="restart"/>
            <w:vAlign w:val="center"/>
          </w:tcPr>
          <w:p w14:paraId="231F915A">
            <w:pPr>
              <w:adjustRightInd w:val="0"/>
              <w:snapToGrid w:val="0"/>
              <w:jc w:val="center"/>
              <w:rPr>
                <w:rFonts w:cs="宋体"/>
                <w:szCs w:val="21"/>
              </w:rPr>
            </w:pPr>
            <w:r>
              <w:rPr>
                <w:rFonts w:hint="eastAsia" w:cs="宋体"/>
                <w:szCs w:val="21"/>
              </w:rPr>
              <w:t>噪声</w:t>
            </w:r>
          </w:p>
        </w:tc>
        <w:tc>
          <w:tcPr>
            <w:tcW w:w="1674" w:type="pct"/>
            <w:vAlign w:val="center"/>
          </w:tcPr>
          <w:p w14:paraId="0D17EFE8">
            <w:pPr>
              <w:adjustRightInd w:val="0"/>
              <w:snapToGrid w:val="0"/>
              <w:jc w:val="center"/>
              <w:rPr>
                <w:rFonts w:cs="宋体"/>
                <w:szCs w:val="21"/>
              </w:rPr>
            </w:pPr>
            <w:r>
              <w:rPr>
                <w:rFonts w:hint="eastAsia" w:cs="宋体"/>
                <w:szCs w:val="21"/>
              </w:rPr>
              <w:t>选用低噪声设备，减振、建筑隔声</w:t>
            </w:r>
          </w:p>
        </w:tc>
        <w:tc>
          <w:tcPr>
            <w:tcW w:w="1081" w:type="pct"/>
            <w:vAlign w:val="center"/>
          </w:tcPr>
          <w:p w14:paraId="6A5B5253">
            <w:pPr>
              <w:pStyle w:val="52"/>
            </w:pPr>
            <w:r>
              <w:rPr>
                <w:rFonts w:hint="eastAsia"/>
              </w:rPr>
              <w:t>《工业企业厂界环境噪声排放标准》（</w:t>
            </w:r>
            <w:r>
              <w:t>GB12348-2008</w:t>
            </w:r>
            <w:r>
              <w:rPr>
                <w:rFonts w:hint="eastAsia"/>
              </w:rPr>
              <w:t>）</w:t>
            </w:r>
          </w:p>
          <w:p w14:paraId="4C721916">
            <w:pPr>
              <w:pStyle w:val="52"/>
            </w:pPr>
            <w:r>
              <w:rPr>
                <w:rFonts w:hint="eastAsia"/>
              </w:rPr>
              <w:t>2类标准</w:t>
            </w:r>
          </w:p>
        </w:tc>
      </w:tr>
      <w:tr w14:paraId="70A12D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continue"/>
            <w:vAlign w:val="center"/>
          </w:tcPr>
          <w:p w14:paraId="3F5EE5DE">
            <w:pPr>
              <w:pStyle w:val="52"/>
            </w:pPr>
          </w:p>
        </w:tc>
        <w:tc>
          <w:tcPr>
            <w:tcW w:w="1115" w:type="pct"/>
            <w:vAlign w:val="center"/>
          </w:tcPr>
          <w:p w14:paraId="36A55D5A">
            <w:pPr>
              <w:adjustRightInd w:val="0"/>
              <w:snapToGrid w:val="0"/>
              <w:jc w:val="center"/>
              <w:rPr>
                <w:rFonts w:cs="宋体"/>
                <w:szCs w:val="21"/>
              </w:rPr>
            </w:pPr>
            <w:r>
              <w:rPr>
                <w:rFonts w:hint="eastAsia" w:cs="宋体"/>
                <w:szCs w:val="21"/>
              </w:rPr>
              <w:t>运输车辆</w:t>
            </w:r>
          </w:p>
        </w:tc>
        <w:tc>
          <w:tcPr>
            <w:tcW w:w="397" w:type="pct"/>
            <w:vMerge w:val="continue"/>
            <w:vAlign w:val="center"/>
          </w:tcPr>
          <w:p w14:paraId="00FB0829">
            <w:pPr>
              <w:adjustRightInd w:val="0"/>
              <w:snapToGrid w:val="0"/>
              <w:jc w:val="center"/>
              <w:rPr>
                <w:rFonts w:cs="宋体"/>
                <w:szCs w:val="21"/>
              </w:rPr>
            </w:pPr>
          </w:p>
        </w:tc>
        <w:tc>
          <w:tcPr>
            <w:tcW w:w="1674" w:type="pct"/>
            <w:vAlign w:val="center"/>
          </w:tcPr>
          <w:p w14:paraId="3974C4CB">
            <w:pPr>
              <w:adjustRightInd w:val="0"/>
              <w:snapToGrid w:val="0"/>
              <w:rPr>
                <w:rFonts w:cs="宋体"/>
                <w:szCs w:val="21"/>
              </w:rPr>
            </w:pPr>
            <w:r>
              <w:rPr>
                <w:rFonts w:hint="eastAsia" w:cs="宋体"/>
                <w:szCs w:val="21"/>
              </w:rPr>
              <w:t>评价要求运输车辆禁止超载、超速，途经人员集中区域时控制车速，禁止鸣笛</w:t>
            </w:r>
          </w:p>
        </w:tc>
        <w:tc>
          <w:tcPr>
            <w:tcW w:w="1081" w:type="pct"/>
            <w:vAlign w:val="center"/>
          </w:tcPr>
          <w:p w14:paraId="4FAE668E">
            <w:pPr>
              <w:adjustRightInd w:val="0"/>
              <w:snapToGrid w:val="0"/>
              <w:jc w:val="center"/>
              <w:rPr>
                <w:rFonts w:cs="宋体"/>
                <w:szCs w:val="21"/>
              </w:rPr>
            </w:pPr>
            <w:r>
              <w:rPr>
                <w:rFonts w:hint="eastAsia" w:cs="宋体"/>
                <w:szCs w:val="21"/>
              </w:rPr>
              <w:t>/</w:t>
            </w:r>
          </w:p>
        </w:tc>
      </w:tr>
      <w:tr w14:paraId="53772B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Align w:val="center"/>
          </w:tcPr>
          <w:p w14:paraId="725A7DA1">
            <w:pPr>
              <w:pStyle w:val="52"/>
            </w:pPr>
            <w:r>
              <w:rPr>
                <w:rFonts w:hint="eastAsia"/>
              </w:rPr>
              <w:t>电磁辐射</w:t>
            </w:r>
          </w:p>
        </w:tc>
        <w:tc>
          <w:tcPr>
            <w:tcW w:w="4267" w:type="pct"/>
            <w:gridSpan w:val="4"/>
            <w:vAlign w:val="center"/>
          </w:tcPr>
          <w:p w14:paraId="1492814D">
            <w:pPr>
              <w:adjustRightInd w:val="0"/>
              <w:snapToGrid w:val="0"/>
              <w:jc w:val="center"/>
              <w:rPr>
                <w:rFonts w:cs="宋体"/>
                <w:szCs w:val="21"/>
              </w:rPr>
            </w:pPr>
            <w:r>
              <w:rPr>
                <w:rFonts w:hint="eastAsia" w:cs="宋体"/>
                <w:szCs w:val="21"/>
              </w:rPr>
              <w:t>/</w:t>
            </w:r>
          </w:p>
        </w:tc>
      </w:tr>
      <w:tr w14:paraId="42497C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restart"/>
            <w:vAlign w:val="center"/>
          </w:tcPr>
          <w:p w14:paraId="1DCDE1F7">
            <w:pPr>
              <w:pStyle w:val="52"/>
            </w:pPr>
            <w:r>
              <w:rPr>
                <w:rFonts w:hint="eastAsia"/>
              </w:rPr>
              <w:t>固体废物</w:t>
            </w:r>
          </w:p>
        </w:tc>
        <w:tc>
          <w:tcPr>
            <w:tcW w:w="1115" w:type="pct"/>
            <w:vAlign w:val="center"/>
          </w:tcPr>
          <w:p w14:paraId="7E62873C">
            <w:pPr>
              <w:adjustRightInd w:val="0"/>
              <w:snapToGrid w:val="0"/>
              <w:jc w:val="center"/>
              <w:rPr>
                <w:rFonts w:cs="宋体"/>
                <w:szCs w:val="21"/>
              </w:rPr>
            </w:pPr>
            <w:r>
              <w:rPr>
                <w:rFonts w:hint="eastAsia" w:cs="宋体"/>
                <w:szCs w:val="21"/>
              </w:rPr>
              <w:t>生活垃圾</w:t>
            </w:r>
          </w:p>
        </w:tc>
        <w:tc>
          <w:tcPr>
            <w:tcW w:w="2071" w:type="pct"/>
            <w:gridSpan w:val="2"/>
            <w:vAlign w:val="center"/>
          </w:tcPr>
          <w:p w14:paraId="24EB0614">
            <w:pPr>
              <w:adjustRightInd w:val="0"/>
              <w:snapToGrid w:val="0"/>
              <w:spacing w:line="260" w:lineRule="exact"/>
              <w:jc w:val="center"/>
              <w:rPr>
                <w:rFonts w:cs="宋体"/>
                <w:szCs w:val="21"/>
              </w:rPr>
            </w:pPr>
            <w:r>
              <w:rPr>
                <w:rFonts w:hint="eastAsia"/>
              </w:rPr>
              <w:t>设置封闭式垃圾箱，收集后由环卫部门统一处理</w:t>
            </w:r>
          </w:p>
        </w:tc>
        <w:tc>
          <w:tcPr>
            <w:tcW w:w="1081" w:type="pct"/>
            <w:vMerge w:val="restart"/>
            <w:vAlign w:val="center"/>
          </w:tcPr>
          <w:p w14:paraId="6754FBB7">
            <w:pPr>
              <w:adjustRightInd w:val="0"/>
              <w:snapToGrid w:val="0"/>
              <w:spacing w:line="260" w:lineRule="exact"/>
              <w:jc w:val="center"/>
              <w:rPr>
                <w:rFonts w:cs="宋体"/>
                <w:szCs w:val="21"/>
              </w:rPr>
            </w:pPr>
            <w:r>
              <w:rPr>
                <w:rFonts w:hint="eastAsia"/>
                <w:szCs w:val="25"/>
              </w:rPr>
              <w:t>合理处置，厂区贮存过程应满足防渗漏、防雨淋、防扬尘等环境保护要求</w:t>
            </w:r>
          </w:p>
        </w:tc>
      </w:tr>
      <w:tr w14:paraId="799E72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continue"/>
            <w:vAlign w:val="center"/>
          </w:tcPr>
          <w:p w14:paraId="182C30B2">
            <w:pPr>
              <w:pStyle w:val="52"/>
            </w:pPr>
          </w:p>
        </w:tc>
        <w:tc>
          <w:tcPr>
            <w:tcW w:w="1115" w:type="pct"/>
            <w:vAlign w:val="center"/>
          </w:tcPr>
          <w:p w14:paraId="7254D84E">
            <w:pPr>
              <w:adjustRightInd w:val="0"/>
              <w:snapToGrid w:val="0"/>
              <w:jc w:val="center"/>
              <w:rPr>
                <w:rFonts w:cs="宋体"/>
                <w:szCs w:val="21"/>
              </w:rPr>
            </w:pPr>
            <w:r>
              <w:rPr>
                <w:rFonts w:hint="eastAsia" w:cs="宋体"/>
                <w:szCs w:val="21"/>
              </w:rPr>
              <w:t>除尘灰</w:t>
            </w:r>
          </w:p>
        </w:tc>
        <w:tc>
          <w:tcPr>
            <w:tcW w:w="2071" w:type="pct"/>
            <w:gridSpan w:val="2"/>
            <w:vAlign w:val="center"/>
          </w:tcPr>
          <w:p w14:paraId="3BFB18A7">
            <w:pPr>
              <w:adjustRightInd w:val="0"/>
              <w:snapToGrid w:val="0"/>
              <w:spacing w:line="260" w:lineRule="exact"/>
              <w:jc w:val="center"/>
              <w:rPr>
                <w:rFonts w:cs="宋体"/>
                <w:szCs w:val="21"/>
              </w:rPr>
            </w:pPr>
            <w:r>
              <w:rPr>
                <w:rFonts w:hint="eastAsia"/>
              </w:rPr>
              <w:t>定期清理，回用于生产</w:t>
            </w:r>
          </w:p>
        </w:tc>
        <w:tc>
          <w:tcPr>
            <w:tcW w:w="1081" w:type="pct"/>
            <w:vMerge w:val="continue"/>
            <w:vAlign w:val="center"/>
          </w:tcPr>
          <w:p w14:paraId="2AEDA34C">
            <w:pPr>
              <w:adjustRightInd w:val="0"/>
              <w:snapToGrid w:val="0"/>
              <w:spacing w:line="260" w:lineRule="exact"/>
              <w:jc w:val="center"/>
              <w:rPr>
                <w:rFonts w:cs="宋体"/>
                <w:szCs w:val="21"/>
              </w:rPr>
            </w:pPr>
          </w:p>
        </w:tc>
      </w:tr>
      <w:tr w14:paraId="7B72F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continue"/>
            <w:vAlign w:val="center"/>
          </w:tcPr>
          <w:p w14:paraId="4E92D533">
            <w:pPr>
              <w:pStyle w:val="52"/>
            </w:pPr>
          </w:p>
        </w:tc>
        <w:tc>
          <w:tcPr>
            <w:tcW w:w="1115" w:type="pct"/>
            <w:vAlign w:val="center"/>
          </w:tcPr>
          <w:p w14:paraId="7209E369">
            <w:pPr>
              <w:adjustRightInd w:val="0"/>
              <w:snapToGrid w:val="0"/>
              <w:jc w:val="center"/>
              <w:rPr>
                <w:rFonts w:cs="宋体"/>
                <w:szCs w:val="21"/>
              </w:rPr>
            </w:pPr>
            <w:r>
              <w:rPr>
                <w:rFonts w:hint="eastAsia"/>
              </w:rPr>
              <w:t>洗车平台、初期雨水池底泥</w:t>
            </w:r>
          </w:p>
        </w:tc>
        <w:tc>
          <w:tcPr>
            <w:tcW w:w="2071" w:type="pct"/>
            <w:gridSpan w:val="2"/>
            <w:vAlign w:val="center"/>
          </w:tcPr>
          <w:p w14:paraId="006623D7">
            <w:pPr>
              <w:adjustRightInd w:val="0"/>
              <w:snapToGrid w:val="0"/>
              <w:spacing w:line="260" w:lineRule="exact"/>
              <w:jc w:val="center"/>
            </w:pPr>
            <w:bookmarkStart w:id="86" w:name="OLE_LINK69"/>
            <w:r>
              <w:rPr>
                <w:rFonts w:hint="eastAsia"/>
              </w:rPr>
              <w:t>定期清理，晾干后</w:t>
            </w:r>
            <w:bookmarkEnd w:id="86"/>
            <w:r>
              <w:rPr>
                <w:rFonts w:hint="eastAsia"/>
              </w:rPr>
              <w:t>外售</w:t>
            </w:r>
          </w:p>
        </w:tc>
        <w:tc>
          <w:tcPr>
            <w:tcW w:w="1081" w:type="pct"/>
            <w:vMerge w:val="continue"/>
            <w:vAlign w:val="center"/>
          </w:tcPr>
          <w:p w14:paraId="6979A9C6">
            <w:pPr>
              <w:adjustRightInd w:val="0"/>
              <w:snapToGrid w:val="0"/>
              <w:spacing w:line="260" w:lineRule="exact"/>
              <w:jc w:val="center"/>
              <w:rPr>
                <w:rFonts w:cs="宋体"/>
                <w:szCs w:val="21"/>
              </w:rPr>
            </w:pPr>
          </w:p>
        </w:tc>
      </w:tr>
      <w:tr w14:paraId="23EBDE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Merge w:val="continue"/>
            <w:vAlign w:val="center"/>
          </w:tcPr>
          <w:p w14:paraId="03EFF8C2">
            <w:pPr>
              <w:pStyle w:val="52"/>
            </w:pPr>
          </w:p>
        </w:tc>
        <w:tc>
          <w:tcPr>
            <w:tcW w:w="1115" w:type="pct"/>
            <w:vAlign w:val="center"/>
          </w:tcPr>
          <w:p w14:paraId="2826CB39">
            <w:pPr>
              <w:adjustRightInd w:val="0"/>
              <w:snapToGrid w:val="0"/>
              <w:jc w:val="center"/>
              <w:rPr>
                <w:rFonts w:cs="宋体"/>
                <w:szCs w:val="21"/>
              </w:rPr>
            </w:pPr>
            <w:r>
              <w:rPr>
                <w:rFonts w:hint="eastAsia"/>
              </w:rPr>
              <w:t>废活性炭、废机油、废油桶、含油抹布等</w:t>
            </w:r>
          </w:p>
        </w:tc>
        <w:tc>
          <w:tcPr>
            <w:tcW w:w="2071" w:type="pct"/>
            <w:gridSpan w:val="2"/>
            <w:vAlign w:val="center"/>
          </w:tcPr>
          <w:p w14:paraId="734F0BA4">
            <w:pPr>
              <w:adjustRightInd w:val="0"/>
              <w:snapToGrid w:val="0"/>
              <w:spacing w:line="260" w:lineRule="exact"/>
              <w:jc w:val="center"/>
              <w:rPr>
                <w:rFonts w:cs="宋体"/>
                <w:szCs w:val="21"/>
              </w:rPr>
            </w:pPr>
            <w:r>
              <w:rPr>
                <w:rFonts w:hint="eastAsia" w:cs="宋体"/>
                <w:szCs w:val="21"/>
              </w:rPr>
              <w:t>新建1座1</w:t>
            </w:r>
            <w:r>
              <w:rPr>
                <w:rFonts w:cs="宋体"/>
                <w:szCs w:val="21"/>
              </w:rPr>
              <w:t>0</w:t>
            </w:r>
            <w:r>
              <w:rPr>
                <w:rFonts w:hint="eastAsia" w:cs="宋体"/>
                <w:szCs w:val="21"/>
              </w:rPr>
              <w:t>m</w:t>
            </w:r>
            <w:r>
              <w:rPr>
                <w:rFonts w:cs="宋体"/>
                <w:szCs w:val="21"/>
                <w:vertAlign w:val="superscript"/>
              </w:rPr>
              <w:t>2</w:t>
            </w:r>
            <w:r>
              <w:rPr>
                <w:rFonts w:hint="eastAsia" w:cs="宋体"/>
                <w:szCs w:val="21"/>
              </w:rPr>
              <w:t>危废贮存点，危险废物在厂区暂存，定期交由资质单位处置</w:t>
            </w:r>
          </w:p>
        </w:tc>
        <w:tc>
          <w:tcPr>
            <w:tcW w:w="1081" w:type="pct"/>
            <w:vAlign w:val="center"/>
          </w:tcPr>
          <w:p w14:paraId="3A7E8CC9">
            <w:pPr>
              <w:adjustRightInd w:val="0"/>
              <w:snapToGrid w:val="0"/>
              <w:spacing w:line="260" w:lineRule="exact"/>
              <w:jc w:val="center"/>
              <w:rPr>
                <w:rFonts w:cs="宋体"/>
                <w:szCs w:val="21"/>
              </w:rPr>
            </w:pPr>
            <w:r>
              <w:rPr>
                <w:rFonts w:hint="eastAsia" w:cs="宋体"/>
                <w:szCs w:val="21"/>
              </w:rPr>
              <w:t>《危险废物贮存污染控制标准》（GB18597-2023）</w:t>
            </w:r>
          </w:p>
        </w:tc>
      </w:tr>
      <w:tr w14:paraId="6AF0A7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Align w:val="center"/>
          </w:tcPr>
          <w:p w14:paraId="2ACD3C86">
            <w:pPr>
              <w:pStyle w:val="52"/>
            </w:pPr>
            <w:r>
              <w:rPr>
                <w:rFonts w:hint="eastAsia"/>
              </w:rPr>
              <w:t>土壤及地下水污染防治措施</w:t>
            </w:r>
          </w:p>
        </w:tc>
        <w:tc>
          <w:tcPr>
            <w:tcW w:w="4267" w:type="pct"/>
            <w:gridSpan w:val="4"/>
            <w:vAlign w:val="center"/>
          </w:tcPr>
          <w:p w14:paraId="1E97B32E">
            <w:pPr>
              <w:pStyle w:val="53"/>
              <w:adjustRightInd w:val="0"/>
              <w:snapToGrid w:val="0"/>
              <w:ind w:firstLine="0" w:firstLineChars="0"/>
              <w:jc w:val="left"/>
            </w:pPr>
            <w:r>
              <w:rPr>
                <w:rFonts w:hint="eastAsia" w:cs="宋体"/>
                <w:szCs w:val="21"/>
              </w:rPr>
              <w:t>①源头控制：</w:t>
            </w:r>
            <w:r>
              <w:rPr>
                <w:rFonts w:hint="eastAsia"/>
              </w:rPr>
              <w:t>厂区进出口设置一座洗车平台，对出厂车辆的轮胎、车厢进行清洗，洗车平台旁设置一座5m</w:t>
            </w:r>
            <w:r>
              <w:rPr>
                <w:rFonts w:hint="eastAsia"/>
                <w:vertAlign w:val="superscript"/>
              </w:rPr>
              <w:t>3</w:t>
            </w:r>
            <w:r>
              <w:rPr>
                <w:rFonts w:hint="eastAsia"/>
              </w:rPr>
              <w:t>的三级沉淀池，对洗车废水进行沉淀后回用；确保厂区现有1座1</w:t>
            </w:r>
            <w:r>
              <w:t>0</w:t>
            </w:r>
            <w:r>
              <w:rPr>
                <w:rFonts w:hint="eastAsia"/>
              </w:rPr>
              <w:t>m</w:t>
            </w:r>
            <w:r>
              <w:rPr>
                <w:rFonts w:hint="eastAsia"/>
                <w:vertAlign w:val="superscript"/>
              </w:rPr>
              <w:t>2</w:t>
            </w:r>
            <w:r>
              <w:rPr>
                <w:rFonts w:hint="eastAsia"/>
              </w:rPr>
              <w:t>的危险废物贮存点满足《危险废物贮存污染控制标准》（GB18597-2023）和分区防渗指标要求。</w:t>
            </w:r>
          </w:p>
          <w:p w14:paraId="3CC19EAA">
            <w:pPr>
              <w:pStyle w:val="53"/>
              <w:adjustRightInd w:val="0"/>
              <w:snapToGrid w:val="0"/>
              <w:ind w:firstLine="0" w:firstLineChars="0"/>
              <w:jc w:val="left"/>
              <w:rPr>
                <w:rFonts w:cs="宋体"/>
                <w:szCs w:val="21"/>
              </w:rPr>
            </w:pPr>
            <w:r>
              <w:rPr>
                <w:rFonts w:hint="eastAsia" w:cs="宋体"/>
                <w:szCs w:val="21"/>
              </w:rPr>
              <w:t>②危废贮存点为重点防渗区，按照《危险废物贮存污染控制标准》（GB18597-2023）要求执行，至少1m厚黏土层（渗透系数不大于10</w:t>
            </w:r>
            <w:r>
              <w:rPr>
                <w:rFonts w:hint="eastAsia" w:cs="宋体"/>
                <w:szCs w:val="21"/>
                <w:vertAlign w:val="superscript"/>
              </w:rPr>
              <w:t>-7</w:t>
            </w:r>
            <w:r>
              <w:rPr>
                <w:rFonts w:hint="eastAsia" w:cs="宋体"/>
                <w:szCs w:val="21"/>
              </w:rPr>
              <w:t>cm/s），或至少2mm厚高密度聚乙烯膜等人工防渗材料（渗透系数不大于10</w:t>
            </w:r>
            <w:r>
              <w:rPr>
                <w:rFonts w:hint="eastAsia" w:cs="宋体"/>
                <w:szCs w:val="21"/>
                <w:vertAlign w:val="superscript"/>
              </w:rPr>
              <w:t>-10</w:t>
            </w:r>
            <w:r>
              <w:rPr>
                <w:rFonts w:hint="eastAsia" w:cs="宋体"/>
                <w:szCs w:val="21"/>
              </w:rPr>
              <w:t>m/s），或其他防渗性能等效的材料</w:t>
            </w:r>
            <w:r>
              <w:rPr>
                <w:rFonts w:hint="eastAsia"/>
                <w:szCs w:val="21"/>
              </w:rPr>
              <w:t>；</w:t>
            </w:r>
            <w:r>
              <w:rPr>
                <w:rFonts w:hint="eastAsia" w:cs="宋体"/>
                <w:szCs w:val="21"/>
              </w:rPr>
              <w:t>洗车废水沉淀池，全封闭厂房等为一般防渗区，</w:t>
            </w:r>
            <w:r>
              <w:t>等效黏土防渗层Mb≥1.5m</w:t>
            </w:r>
            <w:r>
              <w:rPr>
                <w:rFonts w:hint="eastAsia"/>
                <w:szCs w:val="21"/>
              </w:rPr>
              <w:t>，</w:t>
            </w:r>
            <w:r>
              <w:rPr>
                <w:szCs w:val="21"/>
              </w:rPr>
              <w:t>渗透系数≤1×10</w:t>
            </w:r>
            <w:r>
              <w:rPr>
                <w:szCs w:val="21"/>
                <w:vertAlign w:val="superscript"/>
              </w:rPr>
              <w:t>-7</w:t>
            </w:r>
            <w:r>
              <w:rPr>
                <w:szCs w:val="21"/>
              </w:rPr>
              <w:t>cm/s</w:t>
            </w:r>
            <w:r>
              <w:rPr>
                <w:rFonts w:hint="eastAsia"/>
                <w:szCs w:val="21"/>
              </w:rPr>
              <w:t>或参照GB16889执行</w:t>
            </w:r>
            <w:r>
              <w:rPr>
                <w:rFonts w:hint="eastAsia" w:cs="宋体"/>
                <w:szCs w:val="21"/>
              </w:rPr>
              <w:t>；厂内道路等为简单防渗区，进行一般地面硬化防渗。</w:t>
            </w:r>
          </w:p>
        </w:tc>
      </w:tr>
      <w:tr w14:paraId="11E493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Align w:val="center"/>
          </w:tcPr>
          <w:p w14:paraId="2D441454">
            <w:pPr>
              <w:pStyle w:val="52"/>
            </w:pPr>
            <w:r>
              <w:rPr>
                <w:rFonts w:hint="eastAsia"/>
              </w:rPr>
              <w:t>生态保护</w:t>
            </w:r>
          </w:p>
          <w:p w14:paraId="27CCA645">
            <w:pPr>
              <w:pStyle w:val="52"/>
            </w:pPr>
            <w:r>
              <w:rPr>
                <w:rFonts w:hint="eastAsia"/>
              </w:rPr>
              <w:t>措施</w:t>
            </w:r>
          </w:p>
        </w:tc>
        <w:tc>
          <w:tcPr>
            <w:tcW w:w="4267" w:type="pct"/>
            <w:gridSpan w:val="4"/>
            <w:vAlign w:val="center"/>
          </w:tcPr>
          <w:p w14:paraId="7113710B">
            <w:pPr>
              <w:adjustRightInd w:val="0"/>
              <w:snapToGrid w:val="0"/>
              <w:jc w:val="center"/>
              <w:rPr>
                <w:rFonts w:cs="宋体"/>
                <w:szCs w:val="21"/>
              </w:rPr>
            </w:pPr>
            <w:r>
              <w:rPr>
                <w:rFonts w:hint="eastAsia" w:cs="宋体"/>
                <w:szCs w:val="21"/>
              </w:rPr>
              <w:t>场地及路面硬化，布置绿化，种植行道树</w:t>
            </w:r>
          </w:p>
        </w:tc>
      </w:tr>
      <w:tr w14:paraId="38B0C8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Align w:val="center"/>
          </w:tcPr>
          <w:p w14:paraId="0909F356">
            <w:pPr>
              <w:pStyle w:val="52"/>
              <w:rPr>
                <w:spacing w:val="-8"/>
              </w:rPr>
            </w:pPr>
            <w:r>
              <w:rPr>
                <w:rFonts w:hint="eastAsia"/>
                <w:spacing w:val="-8"/>
              </w:rPr>
              <w:t>环境风险</w:t>
            </w:r>
          </w:p>
          <w:p w14:paraId="5DC8E07D">
            <w:pPr>
              <w:pStyle w:val="52"/>
              <w:rPr>
                <w:spacing w:val="-8"/>
              </w:rPr>
            </w:pPr>
            <w:r>
              <w:rPr>
                <w:rFonts w:hint="eastAsia"/>
                <w:spacing w:val="-8"/>
              </w:rPr>
              <w:t>防范措施</w:t>
            </w:r>
          </w:p>
        </w:tc>
        <w:tc>
          <w:tcPr>
            <w:tcW w:w="4267" w:type="pct"/>
            <w:gridSpan w:val="4"/>
            <w:vAlign w:val="center"/>
          </w:tcPr>
          <w:p w14:paraId="7E5908BA">
            <w:pPr>
              <w:pStyle w:val="53"/>
              <w:adjustRightInd w:val="0"/>
              <w:snapToGrid w:val="0"/>
              <w:ind w:firstLine="0" w:firstLineChars="0"/>
              <w:rPr>
                <w:rFonts w:cs="宋体"/>
                <w:szCs w:val="21"/>
              </w:rPr>
            </w:pPr>
            <w:r>
              <w:rPr>
                <w:rFonts w:hint="eastAsia" w:cs="宋体"/>
                <w:szCs w:val="21"/>
              </w:rPr>
              <w:t>①在危废贮存点内储存容器外围建设围堰，确保一旦倾翻发生泄漏事故，液体在围堰内，不外流。</w:t>
            </w:r>
            <w:bookmarkStart w:id="87" w:name="OLE_LINK8"/>
            <w:r>
              <w:rPr>
                <w:rFonts w:hint="eastAsia" w:cs="宋体"/>
                <w:szCs w:val="21"/>
              </w:rPr>
              <w:t>②</w:t>
            </w:r>
            <w:bookmarkEnd w:id="87"/>
            <w:r>
              <w:rPr>
                <w:rFonts w:hint="eastAsia" w:cs="宋体"/>
                <w:szCs w:val="21"/>
              </w:rPr>
              <w:t>操作时严格遵守操作规程。③做好日常例行检查，发现泄漏及其它问题，及时处理。④将危废贮存点作为重点防渗区，严格落实防渗技术要求。</w:t>
            </w:r>
          </w:p>
        </w:tc>
      </w:tr>
      <w:tr w14:paraId="023702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33" w:type="pct"/>
            <w:gridSpan w:val="2"/>
            <w:vAlign w:val="center"/>
          </w:tcPr>
          <w:p w14:paraId="7100E7D8">
            <w:pPr>
              <w:pStyle w:val="52"/>
            </w:pPr>
            <w:r>
              <w:rPr>
                <w:rFonts w:hint="eastAsia"/>
              </w:rPr>
              <w:t>其他环境</w:t>
            </w:r>
          </w:p>
          <w:p w14:paraId="4ACB3A4F">
            <w:pPr>
              <w:pStyle w:val="52"/>
            </w:pPr>
            <w:r>
              <w:rPr>
                <w:rFonts w:hint="eastAsia"/>
              </w:rPr>
              <w:t>管理要求</w:t>
            </w:r>
          </w:p>
        </w:tc>
        <w:tc>
          <w:tcPr>
            <w:tcW w:w="4267" w:type="pct"/>
            <w:gridSpan w:val="4"/>
            <w:vAlign w:val="center"/>
          </w:tcPr>
          <w:p w14:paraId="7188D7D1">
            <w:pPr>
              <w:adjustRightInd w:val="0"/>
              <w:snapToGrid w:val="0"/>
              <w:jc w:val="left"/>
              <w:rPr>
                <w:rFonts w:cs="宋体"/>
                <w:szCs w:val="21"/>
              </w:rPr>
            </w:pPr>
            <w:r>
              <w:rPr>
                <w:rFonts w:hint="eastAsia" w:cs="宋体"/>
                <w:szCs w:val="21"/>
              </w:rPr>
              <w:t>①建立完善的环境管理制度，建立完善的环境监测制度。</w:t>
            </w:r>
          </w:p>
          <w:p w14:paraId="29CC5514">
            <w:pPr>
              <w:adjustRightInd w:val="0"/>
              <w:snapToGrid w:val="0"/>
              <w:jc w:val="left"/>
              <w:rPr>
                <w:rFonts w:cs="宋体"/>
                <w:szCs w:val="21"/>
              </w:rPr>
            </w:pPr>
            <w:r>
              <w:rPr>
                <w:rFonts w:hint="eastAsia" w:cs="宋体"/>
                <w:szCs w:val="21"/>
              </w:rPr>
              <w:t>②按照环境监测计划对项目废气、厂界噪声等定期进行监测。</w:t>
            </w:r>
          </w:p>
          <w:p w14:paraId="1EE8A653">
            <w:pPr>
              <w:adjustRightInd w:val="0"/>
              <w:snapToGrid w:val="0"/>
              <w:jc w:val="left"/>
              <w:rPr>
                <w:rFonts w:cs="宋体"/>
                <w:szCs w:val="21"/>
              </w:rPr>
            </w:pPr>
            <w:r>
              <w:rPr>
                <w:rFonts w:hint="eastAsia" w:cs="宋体"/>
                <w:szCs w:val="21"/>
              </w:rPr>
              <w:t>③废气排气筒预留监测口并设立相应标志牌。</w:t>
            </w:r>
          </w:p>
          <w:p w14:paraId="5E41919F">
            <w:pPr>
              <w:adjustRightInd w:val="0"/>
              <w:snapToGrid w:val="0"/>
              <w:jc w:val="left"/>
              <w:rPr>
                <w:rFonts w:cs="宋体"/>
                <w:szCs w:val="21"/>
              </w:rPr>
            </w:pPr>
            <w:r>
              <w:rPr>
                <w:rFonts w:hint="eastAsia" w:cs="宋体"/>
                <w:szCs w:val="21"/>
              </w:rPr>
              <w:t>④按照《排污单位污染物排放口监测点位设置技术规范》（</w:t>
            </w:r>
            <w:r>
              <w:rPr>
                <w:rFonts w:cs="宋体"/>
                <w:szCs w:val="21"/>
              </w:rPr>
              <w:t>HJ1405</w:t>
            </w:r>
            <w:r>
              <w:rPr>
                <w:rFonts w:hint="eastAsia" w:cs="宋体"/>
                <w:szCs w:val="21"/>
              </w:rPr>
              <w:t>-</w:t>
            </w:r>
            <w:r>
              <w:rPr>
                <w:rFonts w:cs="宋体"/>
                <w:szCs w:val="21"/>
              </w:rPr>
              <w:t>2024</w:t>
            </w:r>
            <w:r>
              <w:rPr>
                <w:rFonts w:hint="eastAsia" w:cs="宋体"/>
                <w:szCs w:val="21"/>
              </w:rPr>
              <w:t>）要求设置采样口。</w:t>
            </w:r>
          </w:p>
          <w:p w14:paraId="147C67F1">
            <w:pPr>
              <w:adjustRightInd w:val="0"/>
              <w:snapToGrid w:val="0"/>
              <w:jc w:val="left"/>
              <w:rPr>
                <w:rFonts w:cs="宋体"/>
                <w:szCs w:val="21"/>
              </w:rPr>
            </w:pPr>
            <w:r>
              <w:rPr>
                <w:rFonts w:hint="eastAsia" w:cs="宋体"/>
                <w:szCs w:val="21"/>
              </w:rPr>
              <w:t>⑤危险废物贮存库设立相应标志牌。</w:t>
            </w:r>
          </w:p>
          <w:p w14:paraId="03AC409A">
            <w:pPr>
              <w:adjustRightInd w:val="0"/>
              <w:snapToGrid w:val="0"/>
              <w:jc w:val="left"/>
              <w:rPr>
                <w:rFonts w:cs="宋体"/>
                <w:szCs w:val="21"/>
              </w:rPr>
            </w:pPr>
            <w:r>
              <w:rPr>
                <w:rFonts w:hint="eastAsia" w:cs="宋体"/>
                <w:szCs w:val="21"/>
              </w:rPr>
              <w:t>⑥落实“三同时”要求，项目配套建设环境保护设施应依法申请项目竣工环境保护验收，验收合格后方可投入生产运行。</w:t>
            </w:r>
          </w:p>
        </w:tc>
      </w:tr>
    </w:tbl>
    <w:p w14:paraId="136114B4">
      <w:pPr>
        <w:pStyle w:val="15"/>
        <w:jc w:val="center"/>
        <w:rPr>
          <w:rFonts w:ascii="Times New Roman" w:hAnsi="Times New Roman"/>
          <w:snapToGrid w:val="0"/>
          <w:sz w:val="30"/>
          <w:szCs w:val="30"/>
        </w:rPr>
      </w:pPr>
      <w:r>
        <w:rPr>
          <w:rFonts w:ascii="Times New Roman" w:hAnsi="Times New Roman"/>
          <w:snapToGrid w:val="0"/>
        </w:rPr>
        <w:br w:type="page"/>
      </w:r>
    </w:p>
    <w:p w14:paraId="0E63FC1C">
      <w:pPr>
        <w:pStyle w:val="15"/>
        <w:jc w:val="center"/>
        <w:outlineLvl w:val="0"/>
        <w:rPr>
          <w:rFonts w:ascii="Times New Roman" w:hAnsi="Times New Roman"/>
          <w:snapToGrid w:val="0"/>
          <w:sz w:val="30"/>
          <w:szCs w:val="30"/>
        </w:rPr>
      </w:pPr>
      <w:r>
        <w:rPr>
          <w:rFonts w:hint="eastAsia" w:ascii="Times New Roman" w:hAnsi="Times New Roman"/>
          <w:snapToGrid w:val="0"/>
          <w:sz w:val="30"/>
          <w:szCs w:val="30"/>
        </w:rPr>
        <w:t>六、结论</w:t>
      </w:r>
    </w:p>
    <w:tbl>
      <w:tblPr>
        <w:tblStyle w:val="20"/>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CE8C6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2CCB89ED">
            <w:pPr>
              <w:spacing w:line="360" w:lineRule="auto"/>
              <w:ind w:firstLine="420" w:firstLineChars="200"/>
            </w:pPr>
          </w:p>
          <w:p w14:paraId="17771514">
            <w:pPr>
              <w:spacing w:line="360" w:lineRule="auto"/>
              <w:ind w:firstLine="420" w:firstLineChars="200"/>
            </w:pPr>
          </w:p>
          <w:p w14:paraId="4E705AC9">
            <w:pPr>
              <w:spacing w:line="360" w:lineRule="auto"/>
              <w:ind w:firstLine="420" w:firstLineChars="200"/>
            </w:pPr>
          </w:p>
          <w:p w14:paraId="4757A58A">
            <w:pPr>
              <w:pStyle w:val="19"/>
              <w:ind w:firstLine="480"/>
            </w:pPr>
          </w:p>
          <w:p w14:paraId="087674C8">
            <w:pPr>
              <w:spacing w:line="360" w:lineRule="auto"/>
              <w:ind w:firstLine="420" w:firstLineChars="200"/>
            </w:pPr>
          </w:p>
          <w:p w14:paraId="436AC15F">
            <w:pPr>
              <w:spacing w:line="360" w:lineRule="auto"/>
              <w:ind w:firstLine="420" w:firstLineChars="200"/>
            </w:pPr>
          </w:p>
          <w:p w14:paraId="7189337F">
            <w:pPr>
              <w:spacing w:line="360" w:lineRule="auto"/>
              <w:ind w:firstLine="420" w:firstLineChars="200"/>
            </w:pPr>
          </w:p>
          <w:p w14:paraId="3789951C">
            <w:pPr>
              <w:spacing w:line="360" w:lineRule="auto"/>
              <w:ind w:firstLine="420" w:firstLineChars="200"/>
            </w:pPr>
          </w:p>
          <w:p w14:paraId="342A2452">
            <w:pPr>
              <w:spacing w:line="360" w:lineRule="auto"/>
              <w:ind w:firstLine="420" w:firstLineChars="200"/>
            </w:pPr>
          </w:p>
          <w:p w14:paraId="4FC02CC3">
            <w:pPr>
              <w:spacing w:line="360" w:lineRule="auto"/>
              <w:ind w:firstLine="420" w:firstLineChars="200"/>
            </w:pPr>
          </w:p>
          <w:p w14:paraId="1A821FEA">
            <w:pPr>
              <w:spacing w:line="360" w:lineRule="auto"/>
              <w:ind w:firstLine="420" w:firstLineChars="200"/>
            </w:pPr>
          </w:p>
          <w:p w14:paraId="0D0F1D24">
            <w:pPr>
              <w:spacing w:line="360" w:lineRule="auto"/>
              <w:ind w:firstLine="420" w:firstLineChars="200"/>
            </w:pPr>
          </w:p>
          <w:p w14:paraId="17DDAC59">
            <w:pPr>
              <w:spacing w:line="360" w:lineRule="auto"/>
              <w:ind w:firstLine="420" w:firstLineChars="200"/>
            </w:pPr>
          </w:p>
          <w:p w14:paraId="2E2983A3">
            <w:pPr>
              <w:spacing w:line="440" w:lineRule="exact"/>
            </w:pPr>
          </w:p>
          <w:p w14:paraId="09ABCBA0">
            <w:pPr>
              <w:adjustRightInd w:val="0"/>
              <w:snapToGrid w:val="0"/>
              <w:ind w:firstLine="420"/>
              <w:jc w:val="left"/>
              <w:rPr>
                <w:rFonts w:cs="宋体"/>
                <w:sz w:val="24"/>
              </w:rPr>
            </w:pPr>
            <w:r>
              <w:rPr>
                <w:rFonts w:cs="宋体"/>
                <w:sz w:val="24"/>
              </w:rPr>
              <w:t>综上所述，</w:t>
            </w:r>
            <w:r>
              <w:rPr>
                <w:rFonts w:hint="eastAsia" w:cs="宋体"/>
                <w:sz w:val="24"/>
              </w:rPr>
              <w:t>本项目从环境保护角度分析是可行的。</w:t>
            </w:r>
          </w:p>
          <w:p w14:paraId="1EAF7093">
            <w:pPr>
              <w:spacing w:line="440" w:lineRule="exact"/>
              <w:ind w:firstLine="420" w:firstLineChars="200"/>
              <w:rPr>
                <w:szCs w:val="21"/>
              </w:rPr>
            </w:pPr>
          </w:p>
          <w:p w14:paraId="4B7E7AC3">
            <w:pPr>
              <w:spacing w:line="440" w:lineRule="exact"/>
              <w:ind w:firstLine="200"/>
              <w:rPr>
                <w:rFonts w:ascii="宋体" w:cs="宋体"/>
              </w:rPr>
            </w:pPr>
          </w:p>
          <w:p w14:paraId="4E386FFE">
            <w:pPr>
              <w:spacing w:line="360" w:lineRule="auto"/>
              <w:ind w:firstLine="480"/>
              <w:rPr>
                <w:rFonts w:ascii="宋体" w:cs="宋体"/>
              </w:rPr>
            </w:pPr>
          </w:p>
          <w:p w14:paraId="662D455A">
            <w:pPr>
              <w:spacing w:line="360" w:lineRule="auto"/>
              <w:ind w:firstLine="480"/>
              <w:rPr>
                <w:rFonts w:ascii="宋体" w:cs="宋体"/>
              </w:rPr>
            </w:pPr>
          </w:p>
          <w:p w14:paraId="71CA84FA">
            <w:pPr>
              <w:spacing w:line="360" w:lineRule="auto"/>
              <w:ind w:firstLine="480"/>
              <w:rPr>
                <w:rFonts w:ascii="宋体" w:cs="宋体"/>
              </w:rPr>
            </w:pPr>
          </w:p>
          <w:p w14:paraId="015C719F">
            <w:pPr>
              <w:spacing w:line="360" w:lineRule="auto"/>
              <w:ind w:firstLine="480"/>
              <w:rPr>
                <w:rFonts w:ascii="宋体" w:cs="宋体"/>
              </w:rPr>
            </w:pPr>
          </w:p>
          <w:p w14:paraId="527F8B8C">
            <w:pPr>
              <w:spacing w:line="360" w:lineRule="auto"/>
              <w:ind w:firstLine="480"/>
              <w:rPr>
                <w:rFonts w:ascii="宋体" w:cs="宋体"/>
              </w:rPr>
            </w:pPr>
          </w:p>
          <w:p w14:paraId="021948D7">
            <w:pPr>
              <w:spacing w:line="360" w:lineRule="auto"/>
              <w:ind w:firstLine="480"/>
              <w:rPr>
                <w:rFonts w:ascii="宋体" w:cs="宋体"/>
              </w:rPr>
            </w:pPr>
          </w:p>
          <w:p w14:paraId="1F0C09EB">
            <w:pPr>
              <w:spacing w:line="360" w:lineRule="auto"/>
              <w:ind w:firstLine="480"/>
              <w:rPr>
                <w:rFonts w:ascii="宋体" w:cs="宋体"/>
              </w:rPr>
            </w:pPr>
          </w:p>
          <w:p w14:paraId="2BE53D7D">
            <w:pPr>
              <w:spacing w:line="360" w:lineRule="auto"/>
              <w:ind w:firstLine="480"/>
              <w:rPr>
                <w:rFonts w:ascii="宋体" w:cs="宋体"/>
              </w:rPr>
            </w:pPr>
          </w:p>
          <w:p w14:paraId="1474A8F9">
            <w:pPr>
              <w:spacing w:line="360" w:lineRule="auto"/>
              <w:ind w:firstLine="480"/>
              <w:rPr>
                <w:rFonts w:ascii="宋体" w:cs="宋体"/>
              </w:rPr>
            </w:pPr>
          </w:p>
          <w:p w14:paraId="5A8313A6">
            <w:pPr>
              <w:spacing w:line="360" w:lineRule="auto"/>
              <w:ind w:firstLine="480"/>
              <w:rPr>
                <w:rFonts w:ascii="宋体" w:cs="宋体"/>
              </w:rPr>
            </w:pPr>
          </w:p>
          <w:p w14:paraId="7195B42C">
            <w:pPr>
              <w:spacing w:line="360" w:lineRule="auto"/>
              <w:ind w:firstLine="480"/>
              <w:rPr>
                <w:rFonts w:ascii="宋体" w:cs="宋体"/>
              </w:rPr>
            </w:pPr>
          </w:p>
          <w:p w14:paraId="172DF944">
            <w:pPr>
              <w:spacing w:line="360" w:lineRule="auto"/>
              <w:ind w:firstLine="480"/>
              <w:rPr>
                <w:rFonts w:ascii="宋体" w:cs="宋体"/>
              </w:rPr>
            </w:pPr>
          </w:p>
          <w:p w14:paraId="59C07427">
            <w:pPr>
              <w:pStyle w:val="18"/>
              <w:ind w:firstLine="210"/>
            </w:pPr>
          </w:p>
          <w:p w14:paraId="4734DCD3">
            <w:pPr>
              <w:pStyle w:val="18"/>
              <w:ind w:firstLine="210"/>
            </w:pPr>
          </w:p>
          <w:p w14:paraId="520870A1">
            <w:pPr>
              <w:pStyle w:val="18"/>
              <w:ind w:firstLine="210"/>
            </w:pPr>
          </w:p>
          <w:p w14:paraId="28D5B27F">
            <w:pPr>
              <w:pStyle w:val="18"/>
              <w:ind w:firstLine="210"/>
            </w:pPr>
          </w:p>
          <w:p w14:paraId="292D7C18">
            <w:pPr>
              <w:jc w:val="center"/>
              <w:rPr>
                <w:rFonts w:ascii="宋体" w:cs="宋体"/>
                <w:b/>
                <w:bCs/>
                <w:sz w:val="24"/>
                <w:szCs w:val="32"/>
              </w:rPr>
            </w:pPr>
            <w:r>
              <w:rPr>
                <w:rFonts w:hint="eastAsia" w:ascii="宋体" w:cs="宋体"/>
                <w:b/>
                <w:bCs/>
                <w:sz w:val="24"/>
                <w:szCs w:val="32"/>
              </w:rPr>
              <w:t>注 释</w:t>
            </w:r>
          </w:p>
          <w:p w14:paraId="50FE62E9">
            <w:pPr>
              <w:pStyle w:val="103"/>
              <w:spacing w:line="440" w:lineRule="exact"/>
              <w:ind w:firstLine="480"/>
              <w:rPr>
                <w:rFonts w:ascii="Times New Roman" w:hAnsi="Times New Roman"/>
                <w:sz w:val="24"/>
              </w:rPr>
            </w:pPr>
            <w:r>
              <w:rPr>
                <w:rFonts w:hint="eastAsia" w:ascii="Times New Roman" w:hAnsi="Times New Roman"/>
                <w:sz w:val="24"/>
              </w:rPr>
              <w:t>本报告表包括以下附图、附件及附表：</w:t>
            </w:r>
          </w:p>
          <w:p w14:paraId="4A255558">
            <w:pPr>
              <w:pStyle w:val="103"/>
              <w:spacing w:line="440" w:lineRule="exact"/>
              <w:ind w:firstLine="480"/>
              <w:rPr>
                <w:rFonts w:ascii="Times New Roman" w:hAnsi="Times New Roman"/>
                <w:sz w:val="24"/>
              </w:rPr>
            </w:pPr>
            <w:r>
              <w:rPr>
                <w:rFonts w:hint="eastAsia" w:ascii="Times New Roman" w:hAnsi="Times New Roman"/>
                <w:sz w:val="24"/>
              </w:rPr>
              <w:t>附图：</w:t>
            </w:r>
          </w:p>
          <w:p w14:paraId="1547DC80">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附图1</w:t>
            </w:r>
            <w:r>
              <w:rPr>
                <w:rFonts w:ascii="Times New Roman" w:hAnsi="Times New Roman"/>
                <w:color w:val="auto"/>
                <w:sz w:val="24"/>
              </w:rPr>
              <w:t xml:space="preserve">  </w:t>
            </w:r>
            <w:r>
              <w:rPr>
                <w:rFonts w:hint="eastAsia" w:ascii="Times New Roman" w:hAnsi="Times New Roman"/>
                <w:color w:val="auto"/>
                <w:sz w:val="24"/>
              </w:rPr>
              <w:t>交通位置图</w:t>
            </w:r>
          </w:p>
          <w:p w14:paraId="00E2D194">
            <w:pPr>
              <w:pStyle w:val="103"/>
              <w:spacing w:line="440" w:lineRule="exact"/>
              <w:ind w:firstLine="480"/>
              <w:rPr>
                <w:rFonts w:ascii="Times New Roman" w:hAnsi="Times New Roman"/>
                <w:color w:val="auto"/>
                <w:sz w:val="24"/>
              </w:rPr>
            </w:pPr>
            <w:r>
              <w:rPr>
                <w:rFonts w:hint="eastAsia" w:ascii="Times New Roman" w:hAnsi="Times New Roman"/>
                <w:color w:val="auto"/>
                <w:sz w:val="24"/>
              </w:rPr>
              <w:t xml:space="preserve">附图2 </w:t>
            </w:r>
            <w:r>
              <w:rPr>
                <w:rFonts w:ascii="Times New Roman" w:hAnsi="Times New Roman"/>
                <w:color w:val="auto"/>
                <w:sz w:val="24"/>
              </w:rPr>
              <w:t xml:space="preserve"> </w:t>
            </w:r>
            <w:r>
              <w:rPr>
                <w:rFonts w:hint="eastAsia" w:ascii="Times New Roman" w:hAnsi="Times New Roman"/>
                <w:color w:val="auto"/>
                <w:sz w:val="24"/>
              </w:rPr>
              <w:t>四邻关系及环境保护目标图；</w:t>
            </w:r>
          </w:p>
          <w:p w14:paraId="188EBB4A">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附图3</w:t>
            </w:r>
            <w:r>
              <w:rPr>
                <w:rFonts w:ascii="Times New Roman" w:hAnsi="Times New Roman"/>
                <w:color w:val="auto"/>
                <w:sz w:val="24"/>
              </w:rPr>
              <w:t xml:space="preserve">  </w:t>
            </w:r>
            <w:r>
              <w:rPr>
                <w:rFonts w:hint="eastAsia" w:ascii="Times New Roman" w:hAnsi="Times New Roman"/>
                <w:color w:val="auto"/>
                <w:sz w:val="24"/>
              </w:rPr>
              <w:t>阳泉市生态分区管控图；</w:t>
            </w:r>
          </w:p>
          <w:p w14:paraId="36B3B2EB">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附图4</w:t>
            </w:r>
            <w:r>
              <w:rPr>
                <w:rFonts w:ascii="Times New Roman" w:hAnsi="Times New Roman"/>
                <w:color w:val="auto"/>
                <w:sz w:val="24"/>
              </w:rPr>
              <w:t xml:space="preserve">  </w:t>
            </w:r>
            <w:r>
              <w:rPr>
                <w:rFonts w:hint="eastAsia" w:ascii="Times New Roman" w:hAnsi="Times New Roman"/>
                <w:color w:val="auto"/>
                <w:sz w:val="24"/>
              </w:rPr>
              <w:t>盂县国土空间</w:t>
            </w:r>
            <w:r>
              <w:rPr>
                <w:rFonts w:ascii="Times New Roman" w:hAnsi="Times New Roman"/>
                <w:color w:val="auto"/>
                <w:sz w:val="24"/>
              </w:rPr>
              <w:t>总体规划</w:t>
            </w:r>
            <w:r>
              <w:rPr>
                <w:rFonts w:hint="eastAsia" w:ascii="Times New Roman" w:hAnsi="Times New Roman"/>
                <w:color w:val="auto"/>
                <w:sz w:val="24"/>
              </w:rPr>
              <w:t>图；</w:t>
            </w:r>
          </w:p>
          <w:p w14:paraId="26E3A6B8">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附图5  项目土地利用现状图；</w:t>
            </w:r>
          </w:p>
          <w:p w14:paraId="067FABA0">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附图6 项目总平面布置图；</w:t>
            </w:r>
          </w:p>
          <w:p w14:paraId="6AE7D73D">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附图7  项目生产线平面布置图；</w:t>
            </w:r>
          </w:p>
          <w:p w14:paraId="5B392F40">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附图8  项目与娘子关泉域位置关系图；</w:t>
            </w:r>
          </w:p>
          <w:p w14:paraId="3BD6A043">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附图9  项目与孙家庄镇水源地的相对位置图；</w:t>
            </w:r>
          </w:p>
          <w:p w14:paraId="33CF0767">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附图10  项目与兴道水源地的相对位置图；</w:t>
            </w:r>
          </w:p>
          <w:p w14:paraId="285BC4D3">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附图11  地表水系图；</w:t>
            </w:r>
          </w:p>
          <w:p w14:paraId="639A944A">
            <w:pPr>
              <w:pStyle w:val="103"/>
              <w:spacing w:line="440" w:lineRule="exact"/>
              <w:ind w:firstLine="480"/>
              <w:rPr>
                <w:rFonts w:ascii="Times New Roman" w:hAnsi="Times New Roman"/>
                <w:color w:val="auto"/>
                <w:sz w:val="24"/>
              </w:rPr>
            </w:pPr>
            <w:r>
              <w:rPr>
                <w:rFonts w:hint="eastAsia" w:ascii="Times New Roman" w:hAnsi="Times New Roman"/>
                <w:color w:val="auto"/>
                <w:sz w:val="24"/>
              </w:rPr>
              <w:t>附图12  监测布点图；</w:t>
            </w:r>
          </w:p>
          <w:p w14:paraId="3C37B938">
            <w:pPr>
              <w:pStyle w:val="103"/>
              <w:spacing w:line="440" w:lineRule="exact"/>
              <w:ind w:firstLine="420"/>
              <w:rPr>
                <w:rFonts w:hint="eastAsia" w:hAnsi="宋体"/>
              </w:rPr>
            </w:pPr>
          </w:p>
          <w:p w14:paraId="40C9671F">
            <w:pPr>
              <w:pStyle w:val="103"/>
              <w:spacing w:line="440" w:lineRule="exact"/>
              <w:ind w:firstLine="480"/>
              <w:rPr>
                <w:rFonts w:ascii="Times New Roman" w:hAnsi="Times New Roman"/>
                <w:sz w:val="24"/>
              </w:rPr>
            </w:pPr>
            <w:r>
              <w:rPr>
                <w:rFonts w:hint="eastAsia" w:ascii="Times New Roman" w:hAnsi="Times New Roman"/>
                <w:sz w:val="24"/>
              </w:rPr>
              <w:t>附件：</w:t>
            </w:r>
          </w:p>
          <w:p w14:paraId="0985D892">
            <w:pPr>
              <w:pStyle w:val="103"/>
              <w:spacing w:line="440" w:lineRule="exact"/>
              <w:ind w:firstLine="480"/>
              <w:rPr>
                <w:rFonts w:ascii="Times New Roman" w:hAnsi="Times New Roman"/>
                <w:sz w:val="24"/>
              </w:rPr>
            </w:pPr>
            <w:r>
              <w:rPr>
                <w:rFonts w:hint="eastAsia" w:ascii="Times New Roman" w:hAnsi="Times New Roman"/>
                <w:sz w:val="24"/>
              </w:rPr>
              <w:t>附件1</w:t>
            </w:r>
            <w:r>
              <w:rPr>
                <w:rFonts w:ascii="Times New Roman" w:hAnsi="Times New Roman"/>
                <w:sz w:val="24"/>
              </w:rPr>
              <w:t xml:space="preserve">  </w:t>
            </w:r>
            <w:r>
              <w:rPr>
                <w:rFonts w:hint="eastAsia" w:ascii="Times New Roman" w:hAnsi="Times New Roman"/>
                <w:sz w:val="24"/>
              </w:rPr>
              <w:t>委托书；</w:t>
            </w:r>
          </w:p>
          <w:p w14:paraId="6ED21760">
            <w:pPr>
              <w:pStyle w:val="103"/>
              <w:spacing w:line="440" w:lineRule="exact"/>
              <w:ind w:firstLine="480"/>
              <w:rPr>
                <w:rFonts w:ascii="Times New Roman" w:hAnsi="Times New Roman"/>
                <w:sz w:val="24"/>
              </w:rPr>
            </w:pPr>
            <w:r>
              <w:rPr>
                <w:rFonts w:hint="eastAsia" w:ascii="Times New Roman" w:hAnsi="Times New Roman"/>
                <w:sz w:val="24"/>
              </w:rPr>
              <w:t>附件2  备案证；</w:t>
            </w:r>
          </w:p>
          <w:p w14:paraId="0CD7C2E0">
            <w:pPr>
              <w:pStyle w:val="103"/>
              <w:spacing w:line="440" w:lineRule="exact"/>
              <w:ind w:firstLine="480"/>
              <w:rPr>
                <w:rFonts w:ascii="Times New Roman" w:hAnsi="Times New Roman"/>
                <w:sz w:val="24"/>
              </w:rPr>
            </w:pPr>
            <w:r>
              <w:rPr>
                <w:rFonts w:hint="eastAsia" w:ascii="Times New Roman" w:hAnsi="Times New Roman"/>
                <w:sz w:val="24"/>
              </w:rPr>
              <w:t xml:space="preserve">附件3 </w:t>
            </w:r>
            <w:r>
              <w:rPr>
                <w:rFonts w:ascii="Times New Roman" w:hAnsi="Times New Roman"/>
                <w:sz w:val="24"/>
              </w:rPr>
              <w:t xml:space="preserve"> </w:t>
            </w:r>
            <w:r>
              <w:rPr>
                <w:rFonts w:hint="eastAsia" w:ascii="Times New Roman" w:hAnsi="Times New Roman"/>
                <w:sz w:val="24"/>
              </w:rPr>
              <w:t>租赁手续；</w:t>
            </w:r>
          </w:p>
          <w:p w14:paraId="4C5BCEBC">
            <w:pPr>
              <w:pStyle w:val="103"/>
              <w:spacing w:line="440" w:lineRule="exact"/>
              <w:ind w:firstLine="480"/>
              <w:rPr>
                <w:rFonts w:ascii="Times New Roman" w:hAnsi="Times New Roman"/>
                <w:sz w:val="24"/>
              </w:rPr>
            </w:pPr>
            <w:r>
              <w:rPr>
                <w:rFonts w:hint="eastAsia" w:ascii="Times New Roman" w:hAnsi="Times New Roman"/>
                <w:sz w:val="24"/>
              </w:rPr>
              <w:t>附件4</w:t>
            </w:r>
            <w:r>
              <w:rPr>
                <w:rFonts w:ascii="Times New Roman" w:hAnsi="Times New Roman"/>
                <w:sz w:val="24"/>
              </w:rPr>
              <w:t xml:space="preserve">  </w:t>
            </w:r>
            <w:r>
              <w:rPr>
                <w:rFonts w:hint="eastAsia" w:ascii="Times New Roman" w:hAnsi="Times New Roman"/>
                <w:sz w:val="24"/>
              </w:rPr>
              <w:t>引用监测报告；</w:t>
            </w:r>
          </w:p>
          <w:p w14:paraId="7916E772">
            <w:pPr>
              <w:pStyle w:val="103"/>
              <w:spacing w:line="440" w:lineRule="exact"/>
              <w:ind w:firstLine="480"/>
              <w:rPr>
                <w:rFonts w:ascii="Times New Roman" w:hAnsi="Times New Roman"/>
                <w:sz w:val="24"/>
              </w:rPr>
            </w:pPr>
            <w:r>
              <w:rPr>
                <w:rFonts w:hint="eastAsia" w:ascii="Times New Roman" w:hAnsi="Times New Roman"/>
                <w:sz w:val="24"/>
              </w:rPr>
              <w:t>附件5  分区管控核查文件；</w:t>
            </w:r>
          </w:p>
          <w:p w14:paraId="7EBA08DB">
            <w:pPr>
              <w:pStyle w:val="103"/>
              <w:spacing w:line="440" w:lineRule="exact"/>
              <w:ind w:firstLine="480"/>
              <w:rPr>
                <w:rFonts w:ascii="Times New Roman" w:hAnsi="Times New Roman"/>
                <w:sz w:val="24"/>
              </w:rPr>
            </w:pPr>
            <w:r>
              <w:rPr>
                <w:rFonts w:hint="eastAsia" w:ascii="Times New Roman" w:hAnsi="Times New Roman"/>
                <w:sz w:val="24"/>
              </w:rPr>
              <w:t>附件6  审查意见；</w:t>
            </w:r>
          </w:p>
          <w:p w14:paraId="41F2B0EB">
            <w:pPr>
              <w:pStyle w:val="103"/>
              <w:spacing w:line="440" w:lineRule="exact"/>
              <w:ind w:firstLine="480"/>
              <w:rPr>
                <w:rFonts w:ascii="Times New Roman" w:hAnsi="Times New Roman"/>
                <w:sz w:val="24"/>
              </w:rPr>
            </w:pPr>
            <w:r>
              <w:rPr>
                <w:rFonts w:hint="eastAsia" w:ascii="Times New Roman" w:hAnsi="Times New Roman"/>
                <w:sz w:val="24"/>
              </w:rPr>
              <w:t>附件7  总量核定意见；</w:t>
            </w:r>
          </w:p>
          <w:p w14:paraId="167A0EDA">
            <w:pPr>
              <w:pStyle w:val="18"/>
              <w:ind w:firstLine="0" w:firstLineChars="0"/>
            </w:pPr>
          </w:p>
          <w:p w14:paraId="63986EC0">
            <w:pPr>
              <w:pStyle w:val="18"/>
              <w:ind w:firstLine="0" w:firstLineChars="0"/>
            </w:pPr>
          </w:p>
          <w:p w14:paraId="69DDA65F">
            <w:pPr>
              <w:pStyle w:val="18"/>
              <w:ind w:firstLine="0" w:firstLineChars="0"/>
            </w:pPr>
          </w:p>
          <w:p w14:paraId="7744768E">
            <w:pPr>
              <w:pStyle w:val="18"/>
              <w:ind w:firstLine="0" w:firstLineChars="0"/>
            </w:pPr>
          </w:p>
          <w:p w14:paraId="188522F2">
            <w:pPr>
              <w:pStyle w:val="18"/>
              <w:ind w:firstLine="0" w:firstLineChars="0"/>
            </w:pPr>
          </w:p>
          <w:p w14:paraId="469A4D0B">
            <w:pPr>
              <w:pStyle w:val="18"/>
              <w:ind w:firstLine="0" w:firstLineChars="0"/>
            </w:pPr>
          </w:p>
          <w:p w14:paraId="288A8281">
            <w:pPr>
              <w:pStyle w:val="18"/>
              <w:ind w:firstLine="0" w:firstLineChars="0"/>
            </w:pPr>
          </w:p>
          <w:p w14:paraId="64BD4ABB">
            <w:pPr>
              <w:pStyle w:val="18"/>
              <w:ind w:firstLine="0" w:firstLineChars="0"/>
            </w:pPr>
          </w:p>
        </w:tc>
      </w:tr>
    </w:tbl>
    <w:p w14:paraId="191F31F0">
      <w:pPr>
        <w:pStyle w:val="15"/>
        <w:jc w:val="center"/>
        <w:outlineLvl w:val="0"/>
        <w:rPr>
          <w:rFonts w:hint="eastAsia"/>
        </w:rPr>
        <w:sectPr>
          <w:pgSz w:w="11906" w:h="16838"/>
          <w:pgMar w:top="1701" w:right="1531" w:bottom="1701" w:left="1531" w:header="851" w:footer="851" w:gutter="0"/>
          <w:cols w:space="720" w:num="1"/>
          <w:docGrid w:linePitch="312" w:charSpace="0"/>
        </w:sectPr>
      </w:pPr>
    </w:p>
    <w:p w14:paraId="5CCB9602">
      <w:pPr>
        <w:pStyle w:val="15"/>
        <w:adjustRightInd w:val="0"/>
        <w:snapToGrid w:val="0"/>
        <w:spacing w:before="0" w:beforeAutospacing="0" w:after="0" w:afterAutospacing="0" w:line="440" w:lineRule="exact"/>
        <w:ind w:firstLine="640"/>
        <w:outlineLvl w:val="0"/>
        <w:rPr>
          <w:rFonts w:ascii="Times New Roman" w:hAnsi="Times New Roman"/>
          <w:snapToGrid w:val="0"/>
          <w:sz w:val="32"/>
          <w:szCs w:val="32"/>
        </w:rPr>
      </w:pPr>
      <w:r>
        <w:rPr>
          <w:rFonts w:hint="eastAsia" w:ascii="Times New Roman" w:hAnsi="Times New Roman"/>
          <w:snapToGrid w:val="0"/>
          <w:sz w:val="32"/>
          <w:szCs w:val="32"/>
        </w:rPr>
        <w:t>附表</w:t>
      </w:r>
    </w:p>
    <w:p w14:paraId="0946B20E">
      <w:pPr>
        <w:pStyle w:val="15"/>
        <w:adjustRightInd w:val="0"/>
        <w:snapToGrid w:val="0"/>
        <w:spacing w:before="0" w:beforeAutospacing="0" w:after="0" w:afterAutospacing="0" w:line="440" w:lineRule="exact"/>
        <w:jc w:val="center"/>
        <w:outlineLvl w:val="0"/>
        <w:rPr>
          <w:rFonts w:ascii="Times New Roman" w:hAnsi="Times New Roman"/>
          <w:snapToGrid w:val="0"/>
          <w:sz w:val="38"/>
          <w:szCs w:val="38"/>
        </w:rPr>
      </w:pPr>
      <w:r>
        <w:rPr>
          <w:rFonts w:hint="eastAsia" w:ascii="Times New Roman" w:hAnsi="Times New Roman"/>
          <w:snapToGrid w:val="0"/>
          <w:sz w:val="38"/>
          <w:szCs w:val="38"/>
        </w:rPr>
        <w:t>建设项目污染物排放量汇总表</w:t>
      </w:r>
    </w:p>
    <w:tbl>
      <w:tblPr>
        <w:tblStyle w:val="20"/>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976"/>
        <w:gridCol w:w="2016"/>
        <w:gridCol w:w="1640"/>
        <w:gridCol w:w="1232"/>
        <w:gridCol w:w="1640"/>
        <w:gridCol w:w="1506"/>
        <w:gridCol w:w="1457"/>
        <w:gridCol w:w="1696"/>
        <w:gridCol w:w="1253"/>
      </w:tblGrid>
      <w:tr w14:paraId="4FB9E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c>
          <w:tcPr>
            <w:tcW w:w="364" w:type="pct"/>
            <w:tcBorders>
              <w:tl2br w:val="single" w:color="auto" w:sz="4" w:space="0"/>
            </w:tcBorders>
            <w:tcMar>
              <w:left w:w="28" w:type="dxa"/>
              <w:right w:w="28" w:type="dxa"/>
            </w:tcMar>
            <w:vAlign w:val="center"/>
          </w:tcPr>
          <w:p w14:paraId="78298911">
            <w:pPr>
              <w:pStyle w:val="35"/>
              <w:spacing w:beforeLines="0" w:afterLines="0" w:line="240" w:lineRule="auto"/>
              <w:jc w:val="right"/>
              <w:rPr>
                <w:rFonts w:ascii="Times New Roman" w:cs="宋体"/>
                <w:snapToGrid w:val="0"/>
                <w:spacing w:val="-6"/>
                <w:kern w:val="21"/>
                <w:szCs w:val="21"/>
              </w:rPr>
            </w:pPr>
            <w:r>
              <w:rPr>
                <w:rFonts w:hint="eastAsia" w:ascii="Times New Roman" w:cs="宋体"/>
                <w:snapToGrid w:val="0"/>
                <w:spacing w:val="-6"/>
                <w:kern w:val="21"/>
                <w:szCs w:val="21"/>
              </w:rPr>
              <w:t>项目</w:t>
            </w:r>
          </w:p>
          <w:p w14:paraId="6C7C440A">
            <w:pPr>
              <w:pStyle w:val="35"/>
              <w:spacing w:beforeLines="0" w:afterLines="0" w:line="240" w:lineRule="auto"/>
              <w:jc w:val="both"/>
              <w:rPr>
                <w:rFonts w:ascii="Times New Roman" w:cs="宋体"/>
                <w:snapToGrid w:val="0"/>
                <w:spacing w:val="-6"/>
                <w:kern w:val="21"/>
                <w:szCs w:val="21"/>
              </w:rPr>
            </w:pPr>
            <w:r>
              <w:rPr>
                <w:rFonts w:hint="eastAsia" w:ascii="Times New Roman" w:cs="宋体"/>
                <w:snapToGrid w:val="0"/>
                <w:spacing w:val="-6"/>
                <w:kern w:val="21"/>
                <w:szCs w:val="21"/>
              </w:rPr>
              <w:t>分类</w:t>
            </w:r>
          </w:p>
        </w:tc>
        <w:tc>
          <w:tcPr>
            <w:tcW w:w="751" w:type="pct"/>
            <w:tcMar>
              <w:left w:w="28" w:type="dxa"/>
              <w:right w:w="28" w:type="dxa"/>
            </w:tcMar>
            <w:vAlign w:val="center"/>
          </w:tcPr>
          <w:p w14:paraId="764B1F01">
            <w:pPr>
              <w:pStyle w:val="35"/>
              <w:spacing w:beforeLines="0" w:afterLines="0" w:line="240" w:lineRule="auto"/>
              <w:rPr>
                <w:rFonts w:ascii="Times New Roman" w:cs="宋体"/>
                <w:snapToGrid w:val="0"/>
                <w:spacing w:val="-6"/>
                <w:kern w:val="21"/>
                <w:szCs w:val="21"/>
              </w:rPr>
            </w:pPr>
            <w:r>
              <w:rPr>
                <w:rFonts w:hint="eastAsia" w:ascii="Times New Roman" w:cs="宋体"/>
                <w:snapToGrid w:val="0"/>
                <w:spacing w:val="-6"/>
                <w:kern w:val="21"/>
                <w:szCs w:val="21"/>
              </w:rPr>
              <w:t>污染物名称</w:t>
            </w:r>
          </w:p>
        </w:tc>
        <w:tc>
          <w:tcPr>
            <w:tcW w:w="611" w:type="pct"/>
            <w:tcMar>
              <w:left w:w="28" w:type="dxa"/>
              <w:right w:w="28" w:type="dxa"/>
            </w:tcMar>
            <w:vAlign w:val="center"/>
          </w:tcPr>
          <w:p w14:paraId="3AF14E71">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t>现有工程</w:t>
            </w:r>
          </w:p>
          <w:p w14:paraId="565B203D">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t>排放量（固</w:t>
            </w:r>
            <w:r>
              <w:rPr>
                <w:rFonts w:hint="eastAsia" w:ascii="Times New Roman"/>
                <w:snapToGrid w:val="0"/>
                <w:spacing w:val="-6"/>
                <w:kern w:val="21"/>
                <w:szCs w:val="21"/>
              </w:rPr>
              <w:t>体</w:t>
            </w:r>
            <w:r>
              <w:rPr>
                <w:rFonts w:ascii="Times New Roman"/>
                <w:snapToGrid w:val="0"/>
                <w:spacing w:val="-6"/>
                <w:kern w:val="21"/>
                <w:szCs w:val="21"/>
              </w:rPr>
              <w:t>废</w:t>
            </w:r>
            <w:r>
              <w:rPr>
                <w:rFonts w:hint="eastAsia" w:ascii="Times New Roman"/>
                <w:snapToGrid w:val="0"/>
                <w:spacing w:val="-6"/>
                <w:kern w:val="21"/>
                <w:szCs w:val="21"/>
              </w:rPr>
              <w:t>物</w:t>
            </w:r>
            <w:r>
              <w:rPr>
                <w:rFonts w:ascii="Times New Roman"/>
                <w:snapToGrid w:val="0"/>
                <w:spacing w:val="-6"/>
                <w:kern w:val="21"/>
                <w:szCs w:val="21"/>
              </w:rPr>
              <w:t>产生量）</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hint="eastAsia" w:ascii="Times New Roman" w:cs="宋体"/>
                <w:kern w:val="2"/>
                <w:szCs w:val="21"/>
              </w:rPr>
              <w:t>①</w:t>
            </w:r>
            <w:r>
              <w:rPr>
                <w:rFonts w:ascii="Times New Roman"/>
                <w:snapToGrid w:val="0"/>
                <w:spacing w:val="-6"/>
                <w:kern w:val="21"/>
                <w:szCs w:val="21"/>
              </w:rPr>
              <w:fldChar w:fldCharType="end"/>
            </w:r>
          </w:p>
        </w:tc>
        <w:tc>
          <w:tcPr>
            <w:tcW w:w="459" w:type="pct"/>
            <w:tcMar>
              <w:left w:w="28" w:type="dxa"/>
              <w:right w:w="28" w:type="dxa"/>
            </w:tcMar>
            <w:vAlign w:val="center"/>
          </w:tcPr>
          <w:p w14:paraId="00F0A02D">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t>现有工程</w:t>
            </w:r>
          </w:p>
          <w:p w14:paraId="2A3D93EC">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t>许可排放量</w:t>
            </w:r>
          </w:p>
          <w:p w14:paraId="176099B5">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fldChar w:fldCharType="begin"/>
            </w:r>
            <w:r>
              <w:rPr>
                <w:rFonts w:ascii="Times New Roman"/>
                <w:snapToGrid w:val="0"/>
                <w:spacing w:val="-6"/>
                <w:kern w:val="21"/>
                <w:szCs w:val="21"/>
              </w:rPr>
              <w:instrText xml:space="preserve"> = 2 \* GB3 \* MERGEFORMAT </w:instrText>
            </w:r>
            <w:r>
              <w:rPr>
                <w:rFonts w:ascii="Times New Roman"/>
                <w:snapToGrid w:val="0"/>
                <w:spacing w:val="-6"/>
                <w:kern w:val="21"/>
                <w:szCs w:val="21"/>
              </w:rPr>
              <w:fldChar w:fldCharType="separate"/>
            </w:r>
            <w:r>
              <w:rPr>
                <w:rFonts w:hint="eastAsia" w:ascii="Times New Roman" w:cs="宋体"/>
                <w:snapToGrid w:val="0"/>
                <w:spacing w:val="-6"/>
                <w:kern w:val="21"/>
                <w:szCs w:val="21"/>
              </w:rPr>
              <w:t>②</w:t>
            </w:r>
            <w:r>
              <w:rPr>
                <w:rFonts w:ascii="Times New Roman"/>
                <w:snapToGrid w:val="0"/>
                <w:spacing w:val="-6"/>
                <w:kern w:val="21"/>
                <w:szCs w:val="21"/>
              </w:rPr>
              <w:fldChar w:fldCharType="end"/>
            </w:r>
          </w:p>
        </w:tc>
        <w:tc>
          <w:tcPr>
            <w:tcW w:w="611" w:type="pct"/>
            <w:tcMar>
              <w:left w:w="28" w:type="dxa"/>
              <w:right w:w="28" w:type="dxa"/>
            </w:tcMar>
            <w:vAlign w:val="center"/>
          </w:tcPr>
          <w:p w14:paraId="6FF572FB">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t>在建工程</w:t>
            </w:r>
          </w:p>
          <w:p w14:paraId="3648EE8C">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t>排放量（固</w:t>
            </w:r>
            <w:r>
              <w:rPr>
                <w:rFonts w:hint="eastAsia" w:ascii="Times New Roman"/>
                <w:snapToGrid w:val="0"/>
                <w:spacing w:val="-6"/>
                <w:kern w:val="21"/>
                <w:szCs w:val="21"/>
              </w:rPr>
              <w:t>体</w:t>
            </w:r>
            <w:r>
              <w:rPr>
                <w:rFonts w:ascii="Times New Roman"/>
                <w:snapToGrid w:val="0"/>
                <w:spacing w:val="-6"/>
                <w:kern w:val="21"/>
                <w:szCs w:val="21"/>
              </w:rPr>
              <w:t>废</w:t>
            </w:r>
            <w:r>
              <w:rPr>
                <w:rFonts w:hint="eastAsia" w:ascii="Times New Roman"/>
                <w:snapToGrid w:val="0"/>
                <w:spacing w:val="-6"/>
                <w:kern w:val="21"/>
                <w:szCs w:val="21"/>
              </w:rPr>
              <w:t>物</w:t>
            </w:r>
            <w:r>
              <w:rPr>
                <w:rFonts w:ascii="Times New Roman"/>
                <w:snapToGrid w:val="0"/>
                <w:spacing w:val="-6"/>
                <w:kern w:val="21"/>
                <w:szCs w:val="21"/>
              </w:rPr>
              <w:t>产生量）</w:t>
            </w:r>
            <w:r>
              <w:rPr>
                <w:rFonts w:ascii="Times New Roman"/>
                <w:snapToGrid w:val="0"/>
                <w:spacing w:val="-6"/>
                <w:kern w:val="21"/>
                <w:szCs w:val="21"/>
              </w:rPr>
              <w:fldChar w:fldCharType="begin"/>
            </w:r>
            <w:r>
              <w:rPr>
                <w:rFonts w:ascii="Times New Roman"/>
                <w:snapToGrid w:val="0"/>
                <w:spacing w:val="-6"/>
                <w:kern w:val="21"/>
                <w:szCs w:val="21"/>
              </w:rPr>
              <w:instrText xml:space="preserve"> = 3 \* GB3 \* MERGEFORMAT </w:instrText>
            </w:r>
            <w:r>
              <w:rPr>
                <w:rFonts w:ascii="Times New Roman"/>
                <w:snapToGrid w:val="0"/>
                <w:spacing w:val="-6"/>
                <w:kern w:val="21"/>
                <w:szCs w:val="21"/>
              </w:rPr>
              <w:fldChar w:fldCharType="separate"/>
            </w:r>
            <w:r>
              <w:rPr>
                <w:rFonts w:hint="eastAsia" w:ascii="Times New Roman" w:cs="宋体"/>
                <w:kern w:val="2"/>
                <w:szCs w:val="21"/>
              </w:rPr>
              <w:t>③</w:t>
            </w:r>
            <w:r>
              <w:rPr>
                <w:rFonts w:ascii="Times New Roman"/>
                <w:snapToGrid w:val="0"/>
                <w:spacing w:val="-6"/>
                <w:kern w:val="21"/>
                <w:szCs w:val="21"/>
              </w:rPr>
              <w:fldChar w:fldCharType="end"/>
            </w:r>
          </w:p>
        </w:tc>
        <w:tc>
          <w:tcPr>
            <w:tcW w:w="561" w:type="pct"/>
            <w:tcMar>
              <w:left w:w="28" w:type="dxa"/>
              <w:right w:w="28" w:type="dxa"/>
            </w:tcMar>
            <w:vAlign w:val="center"/>
          </w:tcPr>
          <w:p w14:paraId="26F44D8C">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t>本项目</w:t>
            </w:r>
          </w:p>
          <w:p w14:paraId="054FC1CA">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t>排放量（固</w:t>
            </w:r>
            <w:r>
              <w:rPr>
                <w:rFonts w:hint="eastAsia" w:ascii="Times New Roman"/>
                <w:snapToGrid w:val="0"/>
                <w:spacing w:val="-6"/>
                <w:kern w:val="21"/>
                <w:szCs w:val="21"/>
              </w:rPr>
              <w:t>体</w:t>
            </w:r>
            <w:r>
              <w:rPr>
                <w:rFonts w:ascii="Times New Roman"/>
                <w:snapToGrid w:val="0"/>
                <w:spacing w:val="-6"/>
                <w:kern w:val="21"/>
                <w:szCs w:val="21"/>
              </w:rPr>
              <w:t>废</w:t>
            </w:r>
            <w:r>
              <w:rPr>
                <w:rFonts w:hint="eastAsia" w:ascii="Times New Roman"/>
                <w:snapToGrid w:val="0"/>
                <w:spacing w:val="-6"/>
                <w:kern w:val="21"/>
                <w:szCs w:val="21"/>
              </w:rPr>
              <w:t>物</w:t>
            </w:r>
            <w:r>
              <w:rPr>
                <w:rFonts w:ascii="Times New Roman"/>
                <w:snapToGrid w:val="0"/>
                <w:spacing w:val="-6"/>
                <w:kern w:val="21"/>
                <w:szCs w:val="21"/>
              </w:rPr>
              <w:t>产生量）</w:t>
            </w:r>
            <w:r>
              <w:rPr>
                <w:rFonts w:ascii="Times New Roman"/>
                <w:snapToGrid w:val="0"/>
                <w:spacing w:val="-6"/>
                <w:kern w:val="21"/>
                <w:szCs w:val="21"/>
              </w:rPr>
              <w:fldChar w:fldCharType="begin"/>
            </w:r>
            <w:r>
              <w:rPr>
                <w:rFonts w:ascii="Times New Roman"/>
                <w:snapToGrid w:val="0"/>
                <w:spacing w:val="-6"/>
                <w:kern w:val="21"/>
                <w:szCs w:val="21"/>
              </w:rPr>
              <w:instrText xml:space="preserve"> = 4 \* GB3 \* MERGEFORMAT </w:instrText>
            </w:r>
            <w:r>
              <w:rPr>
                <w:rFonts w:ascii="Times New Roman"/>
                <w:snapToGrid w:val="0"/>
                <w:spacing w:val="-6"/>
                <w:kern w:val="21"/>
                <w:szCs w:val="21"/>
              </w:rPr>
              <w:fldChar w:fldCharType="separate"/>
            </w:r>
            <w:r>
              <w:rPr>
                <w:rFonts w:hint="eastAsia" w:ascii="Times New Roman" w:cs="宋体"/>
                <w:kern w:val="2"/>
                <w:szCs w:val="21"/>
              </w:rPr>
              <w:t>④</w:t>
            </w:r>
            <w:r>
              <w:rPr>
                <w:rFonts w:ascii="Times New Roman"/>
                <w:snapToGrid w:val="0"/>
                <w:spacing w:val="-6"/>
                <w:kern w:val="21"/>
                <w:szCs w:val="21"/>
              </w:rPr>
              <w:fldChar w:fldCharType="end"/>
            </w:r>
          </w:p>
        </w:tc>
        <w:tc>
          <w:tcPr>
            <w:tcW w:w="543" w:type="pct"/>
            <w:tcMar>
              <w:left w:w="28" w:type="dxa"/>
              <w:right w:w="28" w:type="dxa"/>
            </w:tcMar>
            <w:vAlign w:val="center"/>
          </w:tcPr>
          <w:p w14:paraId="5FCA1243">
            <w:pPr>
              <w:pStyle w:val="35"/>
              <w:spacing w:beforeLines="0" w:afterLines="0" w:line="240" w:lineRule="auto"/>
              <w:rPr>
                <w:rFonts w:ascii="Times New Roman"/>
                <w:snapToGrid w:val="0"/>
                <w:spacing w:val="-16"/>
                <w:kern w:val="21"/>
                <w:szCs w:val="21"/>
              </w:rPr>
            </w:pPr>
            <w:r>
              <w:rPr>
                <w:rFonts w:ascii="Times New Roman"/>
                <w:snapToGrid w:val="0"/>
                <w:spacing w:val="-16"/>
                <w:kern w:val="21"/>
                <w:szCs w:val="21"/>
              </w:rPr>
              <w:t>以新带老削减量</w:t>
            </w:r>
          </w:p>
          <w:p w14:paraId="662B70CD">
            <w:pPr>
              <w:pStyle w:val="35"/>
              <w:spacing w:beforeLines="0" w:afterLines="0" w:line="240" w:lineRule="auto"/>
              <w:rPr>
                <w:rFonts w:ascii="Times New Roman"/>
                <w:snapToGrid w:val="0"/>
                <w:spacing w:val="-16"/>
                <w:kern w:val="21"/>
                <w:szCs w:val="21"/>
              </w:rPr>
            </w:pPr>
            <w:r>
              <w:rPr>
                <w:rFonts w:ascii="Times New Roman"/>
                <w:snapToGrid w:val="0"/>
                <w:spacing w:val="-16"/>
                <w:kern w:val="21"/>
                <w:szCs w:val="21"/>
              </w:rPr>
              <w:t>（新建项目不填）</w:t>
            </w:r>
            <w:r>
              <w:rPr>
                <w:rFonts w:ascii="Times New Roman"/>
                <w:snapToGrid w:val="0"/>
                <w:spacing w:val="-16"/>
                <w:kern w:val="21"/>
                <w:szCs w:val="21"/>
              </w:rPr>
              <w:fldChar w:fldCharType="begin"/>
            </w:r>
            <w:r>
              <w:rPr>
                <w:rFonts w:ascii="Times New Roman"/>
                <w:snapToGrid w:val="0"/>
                <w:spacing w:val="-16"/>
                <w:kern w:val="21"/>
                <w:szCs w:val="21"/>
              </w:rPr>
              <w:instrText xml:space="preserve"> = 5 \* GB3 \* MERGEFORMAT </w:instrText>
            </w:r>
            <w:r>
              <w:rPr>
                <w:rFonts w:ascii="Times New Roman"/>
                <w:snapToGrid w:val="0"/>
                <w:spacing w:val="-16"/>
                <w:kern w:val="21"/>
                <w:szCs w:val="21"/>
              </w:rPr>
              <w:fldChar w:fldCharType="separate"/>
            </w:r>
            <w:r>
              <w:rPr>
                <w:rFonts w:hint="eastAsia" w:ascii="Times New Roman" w:cs="宋体"/>
                <w:kern w:val="2"/>
                <w:szCs w:val="21"/>
              </w:rPr>
              <w:t>⑤</w:t>
            </w:r>
            <w:r>
              <w:rPr>
                <w:rFonts w:ascii="Times New Roman"/>
                <w:snapToGrid w:val="0"/>
                <w:spacing w:val="-16"/>
                <w:kern w:val="21"/>
                <w:szCs w:val="21"/>
              </w:rPr>
              <w:fldChar w:fldCharType="end"/>
            </w:r>
          </w:p>
        </w:tc>
        <w:tc>
          <w:tcPr>
            <w:tcW w:w="632" w:type="pct"/>
            <w:tcMar>
              <w:left w:w="28" w:type="dxa"/>
              <w:right w:w="28" w:type="dxa"/>
            </w:tcMar>
            <w:vAlign w:val="center"/>
          </w:tcPr>
          <w:p w14:paraId="2B9347DC">
            <w:pPr>
              <w:pStyle w:val="35"/>
              <w:spacing w:beforeLines="0" w:afterLines="0" w:line="240" w:lineRule="auto"/>
              <w:rPr>
                <w:rFonts w:ascii="Times New Roman"/>
                <w:snapToGrid w:val="0"/>
                <w:spacing w:val="-16"/>
                <w:kern w:val="21"/>
                <w:szCs w:val="21"/>
              </w:rPr>
            </w:pPr>
            <w:r>
              <w:rPr>
                <w:rFonts w:ascii="Times New Roman"/>
                <w:snapToGrid w:val="0"/>
                <w:spacing w:val="-16"/>
                <w:kern w:val="21"/>
                <w:szCs w:val="21"/>
              </w:rPr>
              <w:t>本项目建成后</w:t>
            </w:r>
          </w:p>
          <w:p w14:paraId="4C387F2A">
            <w:pPr>
              <w:pStyle w:val="35"/>
              <w:spacing w:beforeLines="0" w:afterLines="0" w:line="240" w:lineRule="auto"/>
              <w:rPr>
                <w:rFonts w:ascii="Times New Roman"/>
                <w:snapToGrid w:val="0"/>
                <w:spacing w:val="-16"/>
                <w:kern w:val="21"/>
                <w:szCs w:val="21"/>
              </w:rPr>
            </w:pPr>
            <w:r>
              <w:rPr>
                <w:rFonts w:hint="eastAsia" w:ascii="Times New Roman"/>
                <w:snapToGrid w:val="0"/>
                <w:spacing w:val="-16"/>
                <w:kern w:val="21"/>
                <w:szCs w:val="21"/>
              </w:rPr>
              <w:t>全厂</w:t>
            </w:r>
            <w:r>
              <w:rPr>
                <w:rFonts w:ascii="Times New Roman"/>
                <w:snapToGrid w:val="0"/>
                <w:spacing w:val="-16"/>
                <w:kern w:val="21"/>
                <w:szCs w:val="21"/>
              </w:rPr>
              <w:t>排放量（固</w:t>
            </w:r>
            <w:r>
              <w:rPr>
                <w:rFonts w:hint="eastAsia" w:ascii="Times New Roman"/>
                <w:snapToGrid w:val="0"/>
                <w:spacing w:val="-16"/>
                <w:kern w:val="21"/>
                <w:szCs w:val="21"/>
              </w:rPr>
              <w:t>体</w:t>
            </w:r>
            <w:r>
              <w:rPr>
                <w:rFonts w:ascii="Times New Roman"/>
                <w:snapToGrid w:val="0"/>
                <w:spacing w:val="-16"/>
                <w:kern w:val="21"/>
                <w:szCs w:val="21"/>
              </w:rPr>
              <w:t>废</w:t>
            </w:r>
            <w:r>
              <w:rPr>
                <w:rFonts w:hint="eastAsia" w:ascii="Times New Roman"/>
                <w:snapToGrid w:val="0"/>
                <w:spacing w:val="-16"/>
                <w:kern w:val="21"/>
                <w:szCs w:val="21"/>
              </w:rPr>
              <w:t>物</w:t>
            </w:r>
            <w:r>
              <w:rPr>
                <w:rFonts w:ascii="Times New Roman"/>
                <w:snapToGrid w:val="0"/>
                <w:spacing w:val="-16"/>
                <w:kern w:val="21"/>
                <w:szCs w:val="21"/>
              </w:rPr>
              <w:t>产生量）</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hint="eastAsia" w:ascii="Times New Roman" w:cs="宋体"/>
                <w:kern w:val="2"/>
                <w:szCs w:val="21"/>
              </w:rPr>
              <w:t>⑥</w:t>
            </w:r>
            <w:r>
              <w:rPr>
                <w:rFonts w:ascii="Times New Roman"/>
                <w:snapToGrid w:val="0"/>
                <w:spacing w:val="-16"/>
                <w:kern w:val="21"/>
                <w:szCs w:val="21"/>
              </w:rPr>
              <w:fldChar w:fldCharType="end"/>
            </w:r>
          </w:p>
        </w:tc>
        <w:tc>
          <w:tcPr>
            <w:tcW w:w="467" w:type="pct"/>
            <w:tcMar>
              <w:left w:w="28" w:type="dxa"/>
              <w:right w:w="28" w:type="dxa"/>
            </w:tcMar>
            <w:vAlign w:val="center"/>
          </w:tcPr>
          <w:p w14:paraId="2E734999">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t>变化量</w:t>
            </w:r>
          </w:p>
          <w:p w14:paraId="17DB362C">
            <w:pPr>
              <w:pStyle w:val="35"/>
              <w:spacing w:beforeLines="0" w:afterLines="0" w:line="240" w:lineRule="auto"/>
              <w:rPr>
                <w:rFonts w:ascii="Times New Roman"/>
                <w:snapToGrid w:val="0"/>
                <w:spacing w:val="-6"/>
                <w:kern w:val="21"/>
                <w:szCs w:val="21"/>
              </w:rPr>
            </w:pPr>
            <w:r>
              <w:rPr>
                <w:rFonts w:ascii="Times New Roman"/>
                <w:snapToGrid w:val="0"/>
                <w:spacing w:val="-6"/>
                <w:kern w:val="21"/>
                <w:szCs w:val="21"/>
              </w:rPr>
              <w:fldChar w:fldCharType="begin"/>
            </w:r>
            <w:r>
              <w:rPr>
                <w:rFonts w:ascii="Times New Roman"/>
                <w:snapToGrid w:val="0"/>
                <w:spacing w:val="-6"/>
                <w:kern w:val="21"/>
                <w:szCs w:val="21"/>
              </w:rPr>
              <w:instrText xml:space="preserve"> = 7 \* GB3 \* MERGEFORMAT </w:instrText>
            </w:r>
            <w:r>
              <w:rPr>
                <w:rFonts w:ascii="Times New Roman"/>
                <w:snapToGrid w:val="0"/>
                <w:spacing w:val="-6"/>
                <w:kern w:val="21"/>
                <w:szCs w:val="21"/>
              </w:rPr>
              <w:fldChar w:fldCharType="separate"/>
            </w:r>
            <w:r>
              <w:rPr>
                <w:rFonts w:hint="eastAsia" w:ascii="Times New Roman" w:cs="宋体"/>
                <w:kern w:val="2"/>
                <w:szCs w:val="21"/>
              </w:rPr>
              <w:t>⑦</w:t>
            </w:r>
            <w:r>
              <w:rPr>
                <w:rFonts w:ascii="Times New Roman"/>
                <w:snapToGrid w:val="0"/>
                <w:spacing w:val="-6"/>
                <w:kern w:val="21"/>
                <w:szCs w:val="21"/>
              </w:rPr>
              <w:fldChar w:fldCharType="end"/>
            </w:r>
          </w:p>
        </w:tc>
      </w:tr>
      <w:tr w14:paraId="721C8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c>
          <w:tcPr>
            <w:tcW w:w="364" w:type="pct"/>
            <w:vAlign w:val="center"/>
          </w:tcPr>
          <w:p w14:paraId="29527025">
            <w:pPr>
              <w:pStyle w:val="35"/>
              <w:spacing w:beforeLines="0" w:afterLines="0" w:line="240" w:lineRule="auto"/>
              <w:rPr>
                <w:rFonts w:ascii="Times New Roman" w:cs="宋体"/>
                <w:snapToGrid w:val="0"/>
                <w:kern w:val="21"/>
                <w:szCs w:val="21"/>
              </w:rPr>
            </w:pPr>
            <w:r>
              <w:rPr>
                <w:rFonts w:hint="eastAsia" w:ascii="Times New Roman" w:cs="宋体"/>
                <w:snapToGrid w:val="0"/>
                <w:kern w:val="21"/>
                <w:szCs w:val="21"/>
              </w:rPr>
              <w:t>废气</w:t>
            </w:r>
          </w:p>
        </w:tc>
        <w:tc>
          <w:tcPr>
            <w:tcW w:w="751" w:type="pct"/>
            <w:vAlign w:val="center"/>
          </w:tcPr>
          <w:p w14:paraId="5AA50D7D">
            <w:pPr>
              <w:pStyle w:val="35"/>
              <w:spacing w:beforeLines="0" w:afterLines="0" w:line="240" w:lineRule="auto"/>
              <w:rPr>
                <w:rFonts w:ascii="Times New Roman"/>
                <w:snapToGrid w:val="0"/>
                <w:kern w:val="21"/>
                <w:szCs w:val="21"/>
              </w:rPr>
            </w:pPr>
            <w:r>
              <w:rPr>
                <w:rFonts w:hint="eastAsia" w:ascii="Times New Roman"/>
                <w:snapToGrid w:val="0"/>
                <w:kern w:val="21"/>
                <w:szCs w:val="21"/>
              </w:rPr>
              <w:t>颗粒物</w:t>
            </w:r>
          </w:p>
        </w:tc>
        <w:tc>
          <w:tcPr>
            <w:tcW w:w="611" w:type="pct"/>
            <w:vAlign w:val="center"/>
          </w:tcPr>
          <w:p w14:paraId="09034A48">
            <w:pPr>
              <w:pStyle w:val="35"/>
              <w:spacing w:beforeLines="0" w:afterLines="0" w:line="240" w:lineRule="auto"/>
              <w:rPr>
                <w:rFonts w:ascii="Times New Roman"/>
                <w:snapToGrid w:val="0"/>
                <w:kern w:val="21"/>
                <w:szCs w:val="21"/>
              </w:rPr>
            </w:pPr>
          </w:p>
        </w:tc>
        <w:tc>
          <w:tcPr>
            <w:tcW w:w="459" w:type="pct"/>
            <w:vAlign w:val="center"/>
          </w:tcPr>
          <w:p w14:paraId="5E4565C6">
            <w:pPr>
              <w:pStyle w:val="35"/>
              <w:spacing w:beforeLines="0" w:afterLines="0" w:line="240" w:lineRule="auto"/>
              <w:rPr>
                <w:rFonts w:ascii="Times New Roman"/>
                <w:snapToGrid w:val="0"/>
                <w:kern w:val="21"/>
                <w:szCs w:val="21"/>
              </w:rPr>
            </w:pPr>
            <w:r>
              <w:rPr>
                <w:rFonts w:hint="eastAsia" w:ascii="Times New Roman"/>
                <w:snapToGrid w:val="0"/>
                <w:kern w:val="21"/>
                <w:szCs w:val="21"/>
              </w:rPr>
              <w:t>/</w:t>
            </w:r>
          </w:p>
        </w:tc>
        <w:tc>
          <w:tcPr>
            <w:tcW w:w="611" w:type="pct"/>
            <w:vAlign w:val="center"/>
          </w:tcPr>
          <w:p w14:paraId="275E50EC">
            <w:pPr>
              <w:pStyle w:val="35"/>
              <w:spacing w:beforeLines="0" w:afterLines="0" w:line="240" w:lineRule="auto"/>
              <w:rPr>
                <w:rFonts w:ascii="Times New Roman"/>
                <w:snapToGrid w:val="0"/>
                <w:kern w:val="21"/>
                <w:szCs w:val="21"/>
              </w:rPr>
            </w:pPr>
          </w:p>
        </w:tc>
        <w:tc>
          <w:tcPr>
            <w:tcW w:w="561" w:type="pct"/>
            <w:vAlign w:val="center"/>
          </w:tcPr>
          <w:p w14:paraId="6853281A">
            <w:pPr>
              <w:pStyle w:val="35"/>
              <w:spacing w:beforeLines="0" w:afterLines="0" w:line="240" w:lineRule="auto"/>
              <w:rPr>
                <w:rFonts w:ascii="Times New Roman"/>
                <w:snapToGrid w:val="0"/>
                <w:kern w:val="21"/>
                <w:szCs w:val="21"/>
              </w:rPr>
            </w:pPr>
            <w:r>
              <w:rPr>
                <w:rFonts w:hint="eastAsia" w:ascii="Times New Roman"/>
              </w:rPr>
              <w:t>0.852</w:t>
            </w:r>
            <w:r>
              <w:rPr>
                <w:rFonts w:ascii="Times New Roman"/>
                <w:snapToGrid w:val="0"/>
                <w:kern w:val="21"/>
                <w:szCs w:val="21"/>
              </w:rPr>
              <w:t>t/a</w:t>
            </w:r>
          </w:p>
        </w:tc>
        <w:tc>
          <w:tcPr>
            <w:tcW w:w="543" w:type="pct"/>
            <w:vAlign w:val="center"/>
          </w:tcPr>
          <w:p w14:paraId="59365A64">
            <w:pPr>
              <w:pStyle w:val="35"/>
              <w:spacing w:beforeLines="0" w:afterLines="0" w:line="240" w:lineRule="auto"/>
              <w:rPr>
                <w:rFonts w:ascii="Times New Roman"/>
                <w:snapToGrid w:val="0"/>
                <w:kern w:val="21"/>
                <w:szCs w:val="21"/>
              </w:rPr>
            </w:pPr>
          </w:p>
        </w:tc>
        <w:tc>
          <w:tcPr>
            <w:tcW w:w="632" w:type="pct"/>
            <w:vAlign w:val="center"/>
          </w:tcPr>
          <w:p w14:paraId="15368C37">
            <w:pPr>
              <w:pStyle w:val="35"/>
              <w:spacing w:beforeLines="0" w:afterLines="0" w:line="240" w:lineRule="auto"/>
              <w:rPr>
                <w:rFonts w:ascii="Times New Roman"/>
                <w:snapToGrid w:val="0"/>
                <w:kern w:val="21"/>
                <w:szCs w:val="21"/>
              </w:rPr>
            </w:pPr>
            <w:r>
              <w:rPr>
                <w:rFonts w:hint="eastAsia" w:ascii="Times New Roman"/>
                <w:snapToGrid w:val="0"/>
                <w:kern w:val="21"/>
                <w:szCs w:val="21"/>
              </w:rPr>
              <w:t>0.852</w:t>
            </w:r>
            <w:r>
              <w:rPr>
                <w:rFonts w:ascii="Times New Roman"/>
                <w:snapToGrid w:val="0"/>
                <w:kern w:val="21"/>
                <w:szCs w:val="21"/>
              </w:rPr>
              <w:t>t/a</w:t>
            </w:r>
          </w:p>
        </w:tc>
        <w:tc>
          <w:tcPr>
            <w:tcW w:w="467" w:type="pct"/>
            <w:vAlign w:val="center"/>
          </w:tcPr>
          <w:p w14:paraId="68ADE44F">
            <w:pPr>
              <w:pStyle w:val="35"/>
              <w:spacing w:beforeLines="0" w:afterLines="0" w:line="240" w:lineRule="auto"/>
              <w:rPr>
                <w:rFonts w:ascii="Times New Roman"/>
                <w:snapToGrid w:val="0"/>
                <w:kern w:val="21"/>
                <w:szCs w:val="21"/>
              </w:rPr>
            </w:pPr>
            <w:r>
              <w:rPr>
                <w:rFonts w:hint="eastAsia" w:ascii="Times New Roman"/>
                <w:snapToGrid w:val="0"/>
                <w:kern w:val="21"/>
                <w:szCs w:val="21"/>
              </w:rPr>
              <w:t>+0.852t/a</w:t>
            </w:r>
          </w:p>
        </w:tc>
      </w:tr>
      <w:tr w14:paraId="28090A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c>
          <w:tcPr>
            <w:tcW w:w="364" w:type="pct"/>
            <w:vMerge w:val="restart"/>
            <w:vAlign w:val="center"/>
          </w:tcPr>
          <w:p w14:paraId="4C296764">
            <w:pPr>
              <w:pStyle w:val="35"/>
              <w:spacing w:beforeLines="0" w:afterLines="0" w:line="240" w:lineRule="auto"/>
              <w:rPr>
                <w:rFonts w:ascii="Times New Roman" w:cs="宋体"/>
                <w:snapToGrid w:val="0"/>
                <w:kern w:val="21"/>
                <w:szCs w:val="21"/>
              </w:rPr>
            </w:pPr>
            <w:r>
              <w:rPr>
                <w:rFonts w:hint="eastAsia" w:ascii="Times New Roman" w:cs="宋体"/>
                <w:snapToGrid w:val="0"/>
                <w:kern w:val="21"/>
                <w:szCs w:val="21"/>
              </w:rPr>
              <w:t>一般工业</w:t>
            </w:r>
          </w:p>
          <w:p w14:paraId="6B7034E0">
            <w:pPr>
              <w:pStyle w:val="35"/>
              <w:spacing w:beforeLines="0" w:afterLines="0" w:line="240" w:lineRule="auto"/>
              <w:rPr>
                <w:rFonts w:ascii="Times New Roman" w:cs="宋体"/>
                <w:snapToGrid w:val="0"/>
                <w:kern w:val="21"/>
                <w:szCs w:val="21"/>
              </w:rPr>
            </w:pPr>
            <w:r>
              <w:rPr>
                <w:rFonts w:hint="eastAsia" w:ascii="Times New Roman" w:cs="宋体"/>
                <w:snapToGrid w:val="0"/>
                <w:kern w:val="21"/>
                <w:szCs w:val="21"/>
              </w:rPr>
              <w:t>固体废物</w:t>
            </w:r>
          </w:p>
        </w:tc>
        <w:tc>
          <w:tcPr>
            <w:tcW w:w="751" w:type="pct"/>
            <w:vAlign w:val="center"/>
          </w:tcPr>
          <w:p w14:paraId="4AA97581">
            <w:pPr>
              <w:pStyle w:val="35"/>
              <w:spacing w:beforeLines="0" w:afterLines="0" w:line="240" w:lineRule="auto"/>
              <w:rPr>
                <w:rFonts w:ascii="Times New Roman"/>
                <w:snapToGrid w:val="0"/>
                <w:kern w:val="21"/>
                <w:szCs w:val="21"/>
              </w:rPr>
            </w:pPr>
            <w:r>
              <w:rPr>
                <w:rFonts w:hint="eastAsia" w:cs="宋体"/>
                <w:szCs w:val="21"/>
              </w:rPr>
              <w:t>除尘灰</w:t>
            </w:r>
          </w:p>
        </w:tc>
        <w:tc>
          <w:tcPr>
            <w:tcW w:w="611" w:type="pct"/>
            <w:vAlign w:val="center"/>
          </w:tcPr>
          <w:p w14:paraId="620DA0B7">
            <w:pPr>
              <w:pStyle w:val="35"/>
              <w:spacing w:beforeLines="0" w:afterLines="0" w:line="240" w:lineRule="auto"/>
              <w:rPr>
                <w:rFonts w:ascii="Times New Roman"/>
                <w:snapToGrid w:val="0"/>
                <w:kern w:val="21"/>
                <w:szCs w:val="21"/>
              </w:rPr>
            </w:pPr>
          </w:p>
        </w:tc>
        <w:tc>
          <w:tcPr>
            <w:tcW w:w="459" w:type="pct"/>
            <w:vAlign w:val="center"/>
          </w:tcPr>
          <w:p w14:paraId="3FDB77EE">
            <w:pPr>
              <w:pStyle w:val="35"/>
              <w:spacing w:beforeLines="0" w:afterLines="0" w:line="240" w:lineRule="auto"/>
              <w:rPr>
                <w:rFonts w:ascii="Times New Roman"/>
                <w:snapToGrid w:val="0"/>
                <w:kern w:val="21"/>
                <w:szCs w:val="21"/>
              </w:rPr>
            </w:pPr>
          </w:p>
        </w:tc>
        <w:tc>
          <w:tcPr>
            <w:tcW w:w="611" w:type="pct"/>
            <w:vAlign w:val="center"/>
          </w:tcPr>
          <w:p w14:paraId="6194AB11">
            <w:pPr>
              <w:pStyle w:val="35"/>
              <w:spacing w:beforeLines="0" w:afterLines="0" w:line="240" w:lineRule="auto"/>
              <w:rPr>
                <w:rFonts w:ascii="Times New Roman"/>
                <w:snapToGrid w:val="0"/>
                <w:kern w:val="21"/>
                <w:szCs w:val="21"/>
              </w:rPr>
            </w:pPr>
          </w:p>
        </w:tc>
        <w:tc>
          <w:tcPr>
            <w:tcW w:w="561" w:type="pct"/>
            <w:vAlign w:val="center"/>
          </w:tcPr>
          <w:p w14:paraId="1F73A191">
            <w:pPr>
              <w:pStyle w:val="35"/>
              <w:spacing w:beforeLines="0" w:afterLines="0" w:line="240" w:lineRule="auto"/>
              <w:rPr>
                <w:rFonts w:ascii="Times New Roman"/>
                <w:snapToGrid w:val="0"/>
                <w:kern w:val="21"/>
                <w:szCs w:val="21"/>
              </w:rPr>
            </w:pPr>
            <w:r>
              <w:rPr>
                <w:rFonts w:hint="eastAsia" w:ascii="Times New Roman"/>
              </w:rPr>
              <w:t>28.2</w:t>
            </w:r>
            <w:r>
              <w:rPr>
                <w:rFonts w:ascii="Times New Roman"/>
                <w:snapToGrid w:val="0"/>
                <w:kern w:val="21"/>
                <w:szCs w:val="21"/>
              </w:rPr>
              <w:t xml:space="preserve"> t/a</w:t>
            </w:r>
          </w:p>
        </w:tc>
        <w:tc>
          <w:tcPr>
            <w:tcW w:w="543" w:type="pct"/>
            <w:vAlign w:val="center"/>
          </w:tcPr>
          <w:p w14:paraId="3209EADA">
            <w:pPr>
              <w:pStyle w:val="35"/>
              <w:spacing w:beforeLines="0" w:afterLines="0" w:line="240" w:lineRule="auto"/>
              <w:rPr>
                <w:rFonts w:ascii="Times New Roman"/>
                <w:snapToGrid w:val="0"/>
                <w:kern w:val="21"/>
                <w:szCs w:val="21"/>
              </w:rPr>
            </w:pPr>
          </w:p>
        </w:tc>
        <w:tc>
          <w:tcPr>
            <w:tcW w:w="632" w:type="pct"/>
            <w:vAlign w:val="center"/>
          </w:tcPr>
          <w:p w14:paraId="4183895B">
            <w:pPr>
              <w:pStyle w:val="35"/>
              <w:spacing w:beforeLines="0" w:afterLines="0" w:line="240" w:lineRule="auto"/>
              <w:rPr>
                <w:rFonts w:ascii="Times New Roman"/>
                <w:snapToGrid w:val="0"/>
                <w:kern w:val="21"/>
                <w:szCs w:val="21"/>
              </w:rPr>
            </w:pPr>
            <w:r>
              <w:rPr>
                <w:rFonts w:hint="eastAsia" w:ascii="Times New Roman"/>
                <w:snapToGrid w:val="0"/>
                <w:kern w:val="21"/>
                <w:szCs w:val="21"/>
              </w:rPr>
              <w:t>28.2</w:t>
            </w:r>
            <w:r>
              <w:rPr>
                <w:rFonts w:ascii="Times New Roman"/>
                <w:snapToGrid w:val="0"/>
                <w:kern w:val="21"/>
                <w:szCs w:val="21"/>
              </w:rPr>
              <w:t>t/a</w:t>
            </w:r>
          </w:p>
        </w:tc>
        <w:tc>
          <w:tcPr>
            <w:tcW w:w="467" w:type="pct"/>
            <w:vAlign w:val="center"/>
          </w:tcPr>
          <w:p w14:paraId="6E3951EE">
            <w:pPr>
              <w:pStyle w:val="35"/>
              <w:spacing w:beforeLines="0" w:afterLines="0" w:line="240" w:lineRule="auto"/>
              <w:rPr>
                <w:rFonts w:ascii="Times New Roman"/>
                <w:snapToGrid w:val="0"/>
                <w:kern w:val="21"/>
                <w:szCs w:val="21"/>
              </w:rPr>
            </w:pPr>
            <w:r>
              <w:rPr>
                <w:rFonts w:hint="eastAsia" w:ascii="Times New Roman"/>
              </w:rPr>
              <w:t>+28.2</w:t>
            </w:r>
            <w:r>
              <w:rPr>
                <w:rFonts w:ascii="Times New Roman"/>
                <w:snapToGrid w:val="0"/>
                <w:kern w:val="21"/>
                <w:szCs w:val="21"/>
              </w:rPr>
              <w:t xml:space="preserve"> t/a</w:t>
            </w:r>
          </w:p>
        </w:tc>
      </w:tr>
      <w:tr w14:paraId="579665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c>
          <w:tcPr>
            <w:tcW w:w="364" w:type="pct"/>
            <w:vMerge w:val="continue"/>
            <w:vAlign w:val="center"/>
          </w:tcPr>
          <w:p w14:paraId="7DE69D0F">
            <w:pPr>
              <w:pStyle w:val="35"/>
              <w:spacing w:beforeLines="0" w:afterLines="0" w:line="240" w:lineRule="auto"/>
              <w:rPr>
                <w:rFonts w:ascii="Times New Roman" w:cs="宋体"/>
                <w:snapToGrid w:val="0"/>
                <w:kern w:val="21"/>
                <w:szCs w:val="21"/>
              </w:rPr>
            </w:pPr>
          </w:p>
        </w:tc>
        <w:tc>
          <w:tcPr>
            <w:tcW w:w="751" w:type="pct"/>
            <w:vAlign w:val="center"/>
          </w:tcPr>
          <w:p w14:paraId="1324407D">
            <w:pPr>
              <w:pStyle w:val="35"/>
              <w:spacing w:beforeLines="0" w:afterLines="0" w:line="240" w:lineRule="auto"/>
              <w:rPr>
                <w:rFonts w:ascii="Times New Roman"/>
              </w:rPr>
            </w:pPr>
            <w:r>
              <w:rPr>
                <w:rFonts w:hint="eastAsia" w:ascii="Times New Roman"/>
              </w:rPr>
              <w:t>底泥</w:t>
            </w:r>
          </w:p>
        </w:tc>
        <w:tc>
          <w:tcPr>
            <w:tcW w:w="611" w:type="pct"/>
            <w:vAlign w:val="center"/>
          </w:tcPr>
          <w:p w14:paraId="70CAAE95">
            <w:pPr>
              <w:pStyle w:val="35"/>
              <w:spacing w:beforeLines="0" w:afterLines="0" w:line="240" w:lineRule="auto"/>
              <w:rPr>
                <w:rFonts w:ascii="Times New Roman"/>
                <w:snapToGrid w:val="0"/>
                <w:kern w:val="21"/>
                <w:szCs w:val="21"/>
              </w:rPr>
            </w:pPr>
          </w:p>
        </w:tc>
        <w:tc>
          <w:tcPr>
            <w:tcW w:w="459" w:type="pct"/>
            <w:vAlign w:val="center"/>
          </w:tcPr>
          <w:p w14:paraId="2A988CA8">
            <w:pPr>
              <w:pStyle w:val="35"/>
              <w:spacing w:beforeLines="0" w:afterLines="0" w:line="240" w:lineRule="auto"/>
              <w:rPr>
                <w:rFonts w:ascii="Times New Roman"/>
                <w:snapToGrid w:val="0"/>
                <w:kern w:val="21"/>
                <w:szCs w:val="21"/>
              </w:rPr>
            </w:pPr>
          </w:p>
        </w:tc>
        <w:tc>
          <w:tcPr>
            <w:tcW w:w="611" w:type="pct"/>
            <w:vAlign w:val="center"/>
          </w:tcPr>
          <w:p w14:paraId="3958CCB1">
            <w:pPr>
              <w:pStyle w:val="35"/>
              <w:spacing w:beforeLines="0" w:afterLines="0" w:line="240" w:lineRule="auto"/>
              <w:rPr>
                <w:rFonts w:ascii="Times New Roman"/>
                <w:snapToGrid w:val="0"/>
                <w:kern w:val="21"/>
                <w:szCs w:val="21"/>
              </w:rPr>
            </w:pPr>
          </w:p>
        </w:tc>
        <w:tc>
          <w:tcPr>
            <w:tcW w:w="561" w:type="pct"/>
            <w:vAlign w:val="center"/>
          </w:tcPr>
          <w:p w14:paraId="1EB17CF7">
            <w:pPr>
              <w:pStyle w:val="35"/>
              <w:spacing w:beforeLines="0" w:afterLines="0" w:line="240" w:lineRule="auto"/>
              <w:rPr>
                <w:rFonts w:ascii="Times New Roman"/>
                <w:snapToGrid w:val="0"/>
                <w:kern w:val="21"/>
                <w:szCs w:val="21"/>
              </w:rPr>
            </w:pPr>
            <w:r>
              <w:rPr>
                <w:rFonts w:hint="eastAsia" w:ascii="Times New Roman"/>
                <w:snapToGrid w:val="0"/>
                <w:kern w:val="21"/>
                <w:szCs w:val="21"/>
              </w:rPr>
              <w:t>1.0</w:t>
            </w:r>
            <w:r>
              <w:rPr>
                <w:rFonts w:ascii="Times New Roman"/>
                <w:snapToGrid w:val="0"/>
                <w:kern w:val="21"/>
                <w:szCs w:val="21"/>
              </w:rPr>
              <w:t>t/a</w:t>
            </w:r>
          </w:p>
        </w:tc>
        <w:tc>
          <w:tcPr>
            <w:tcW w:w="543" w:type="pct"/>
            <w:vAlign w:val="center"/>
          </w:tcPr>
          <w:p w14:paraId="1A13E154">
            <w:pPr>
              <w:pStyle w:val="35"/>
              <w:spacing w:beforeLines="0" w:afterLines="0" w:line="240" w:lineRule="auto"/>
              <w:rPr>
                <w:rFonts w:ascii="Times New Roman"/>
                <w:snapToGrid w:val="0"/>
                <w:kern w:val="21"/>
                <w:szCs w:val="21"/>
              </w:rPr>
            </w:pPr>
          </w:p>
        </w:tc>
        <w:tc>
          <w:tcPr>
            <w:tcW w:w="632" w:type="pct"/>
            <w:vAlign w:val="center"/>
          </w:tcPr>
          <w:p w14:paraId="07B825F1">
            <w:pPr>
              <w:pStyle w:val="35"/>
              <w:spacing w:beforeLines="0" w:afterLines="0" w:line="240" w:lineRule="auto"/>
              <w:rPr>
                <w:rFonts w:ascii="Times New Roman"/>
                <w:snapToGrid w:val="0"/>
                <w:kern w:val="21"/>
                <w:szCs w:val="21"/>
              </w:rPr>
            </w:pPr>
            <w:r>
              <w:rPr>
                <w:rFonts w:hint="eastAsia" w:ascii="Times New Roman"/>
                <w:snapToGrid w:val="0"/>
                <w:kern w:val="21"/>
                <w:szCs w:val="21"/>
              </w:rPr>
              <w:t>1.0</w:t>
            </w:r>
            <w:r>
              <w:rPr>
                <w:rFonts w:ascii="Times New Roman"/>
                <w:snapToGrid w:val="0"/>
                <w:kern w:val="21"/>
                <w:szCs w:val="21"/>
              </w:rPr>
              <w:t>t/a</w:t>
            </w:r>
          </w:p>
        </w:tc>
        <w:tc>
          <w:tcPr>
            <w:tcW w:w="467" w:type="pct"/>
            <w:vAlign w:val="center"/>
          </w:tcPr>
          <w:p w14:paraId="3E943A89">
            <w:pPr>
              <w:pStyle w:val="35"/>
              <w:spacing w:beforeLines="0" w:afterLines="0" w:line="240" w:lineRule="auto"/>
              <w:rPr>
                <w:rFonts w:ascii="Times New Roman"/>
                <w:snapToGrid w:val="0"/>
                <w:kern w:val="21"/>
                <w:szCs w:val="21"/>
              </w:rPr>
            </w:pPr>
            <w:r>
              <w:rPr>
                <w:rFonts w:hint="eastAsia" w:ascii="Times New Roman"/>
                <w:snapToGrid w:val="0"/>
                <w:kern w:val="21"/>
                <w:szCs w:val="21"/>
              </w:rPr>
              <w:t>+1.0</w:t>
            </w:r>
            <w:r>
              <w:rPr>
                <w:rFonts w:ascii="Times New Roman"/>
                <w:snapToGrid w:val="0"/>
                <w:kern w:val="21"/>
                <w:szCs w:val="21"/>
              </w:rPr>
              <w:t>t/a</w:t>
            </w:r>
          </w:p>
        </w:tc>
      </w:tr>
      <w:tr w14:paraId="33FFA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c>
          <w:tcPr>
            <w:tcW w:w="364" w:type="pct"/>
            <w:vMerge w:val="restart"/>
            <w:vAlign w:val="center"/>
          </w:tcPr>
          <w:p w14:paraId="3FB3324E">
            <w:pPr>
              <w:pStyle w:val="35"/>
              <w:spacing w:before="24" w:after="24" w:line="240" w:lineRule="auto"/>
              <w:rPr>
                <w:rFonts w:ascii="Times New Roman" w:cs="宋体"/>
                <w:snapToGrid w:val="0"/>
                <w:kern w:val="21"/>
                <w:szCs w:val="21"/>
              </w:rPr>
            </w:pPr>
            <w:r>
              <w:rPr>
                <w:rFonts w:hint="eastAsia" w:ascii="Times New Roman" w:cs="宋体"/>
                <w:snapToGrid w:val="0"/>
                <w:kern w:val="21"/>
                <w:szCs w:val="21"/>
              </w:rPr>
              <w:t>危险废物</w:t>
            </w:r>
          </w:p>
        </w:tc>
        <w:tc>
          <w:tcPr>
            <w:tcW w:w="751" w:type="pct"/>
            <w:vAlign w:val="center"/>
          </w:tcPr>
          <w:p w14:paraId="589DA976">
            <w:pPr>
              <w:pStyle w:val="35"/>
              <w:spacing w:beforeLines="0" w:afterLines="0" w:line="240" w:lineRule="auto"/>
              <w:rPr>
                <w:rFonts w:ascii="Times New Roman"/>
              </w:rPr>
            </w:pPr>
            <w:r>
              <w:rPr>
                <w:rFonts w:hint="eastAsia" w:ascii="Times New Roman"/>
              </w:rPr>
              <w:t>废机油</w:t>
            </w:r>
          </w:p>
        </w:tc>
        <w:tc>
          <w:tcPr>
            <w:tcW w:w="611" w:type="pct"/>
            <w:vAlign w:val="center"/>
          </w:tcPr>
          <w:p w14:paraId="337AE684">
            <w:pPr>
              <w:pStyle w:val="35"/>
              <w:spacing w:beforeLines="0" w:afterLines="0" w:line="240" w:lineRule="auto"/>
              <w:rPr>
                <w:rFonts w:ascii="Times New Roman"/>
                <w:snapToGrid w:val="0"/>
                <w:kern w:val="21"/>
                <w:szCs w:val="21"/>
              </w:rPr>
            </w:pPr>
          </w:p>
        </w:tc>
        <w:tc>
          <w:tcPr>
            <w:tcW w:w="459" w:type="pct"/>
            <w:vAlign w:val="center"/>
          </w:tcPr>
          <w:p w14:paraId="0CEA16D8">
            <w:pPr>
              <w:pStyle w:val="35"/>
              <w:spacing w:beforeLines="0" w:afterLines="0" w:line="240" w:lineRule="auto"/>
              <w:rPr>
                <w:rFonts w:ascii="Times New Roman"/>
                <w:snapToGrid w:val="0"/>
                <w:kern w:val="21"/>
                <w:szCs w:val="21"/>
              </w:rPr>
            </w:pPr>
          </w:p>
        </w:tc>
        <w:tc>
          <w:tcPr>
            <w:tcW w:w="611" w:type="pct"/>
            <w:vAlign w:val="center"/>
          </w:tcPr>
          <w:p w14:paraId="0B7B1B7D">
            <w:pPr>
              <w:pStyle w:val="35"/>
              <w:spacing w:beforeLines="0" w:afterLines="0" w:line="240" w:lineRule="auto"/>
              <w:rPr>
                <w:rFonts w:ascii="Times New Roman"/>
                <w:snapToGrid w:val="0"/>
                <w:kern w:val="21"/>
                <w:szCs w:val="21"/>
              </w:rPr>
            </w:pPr>
          </w:p>
        </w:tc>
        <w:tc>
          <w:tcPr>
            <w:tcW w:w="561" w:type="pct"/>
            <w:vAlign w:val="center"/>
          </w:tcPr>
          <w:p w14:paraId="0CDA34AC">
            <w:pPr>
              <w:pStyle w:val="35"/>
              <w:spacing w:beforeLines="0" w:afterLines="0" w:line="240" w:lineRule="auto"/>
              <w:rPr>
                <w:rFonts w:ascii="Times New Roman"/>
                <w:snapToGrid w:val="0"/>
                <w:kern w:val="21"/>
                <w:szCs w:val="21"/>
              </w:rPr>
            </w:pPr>
            <w:r>
              <w:rPr>
                <w:rFonts w:ascii="Times New Roman"/>
                <w:snapToGrid w:val="0"/>
                <w:kern w:val="21"/>
                <w:szCs w:val="21"/>
              </w:rPr>
              <w:t>0.20 t/a</w:t>
            </w:r>
          </w:p>
        </w:tc>
        <w:tc>
          <w:tcPr>
            <w:tcW w:w="543" w:type="pct"/>
            <w:vAlign w:val="center"/>
          </w:tcPr>
          <w:p w14:paraId="2A236F0C">
            <w:pPr>
              <w:pStyle w:val="35"/>
              <w:spacing w:beforeLines="0" w:afterLines="0" w:line="240" w:lineRule="auto"/>
              <w:rPr>
                <w:rFonts w:ascii="Times New Roman"/>
                <w:snapToGrid w:val="0"/>
                <w:kern w:val="21"/>
                <w:szCs w:val="21"/>
              </w:rPr>
            </w:pPr>
          </w:p>
        </w:tc>
        <w:tc>
          <w:tcPr>
            <w:tcW w:w="632" w:type="pct"/>
            <w:vAlign w:val="center"/>
          </w:tcPr>
          <w:p w14:paraId="2C67DA8E">
            <w:pPr>
              <w:pStyle w:val="35"/>
              <w:spacing w:beforeLines="0" w:afterLines="0" w:line="240" w:lineRule="auto"/>
              <w:rPr>
                <w:rFonts w:ascii="Times New Roman"/>
                <w:snapToGrid w:val="0"/>
                <w:kern w:val="21"/>
                <w:szCs w:val="21"/>
              </w:rPr>
            </w:pPr>
            <w:r>
              <w:rPr>
                <w:rFonts w:ascii="Times New Roman"/>
                <w:snapToGrid w:val="0"/>
                <w:kern w:val="21"/>
                <w:szCs w:val="21"/>
              </w:rPr>
              <w:t>0.</w:t>
            </w:r>
            <w:r>
              <w:rPr>
                <w:rFonts w:hint="eastAsia" w:ascii="Times New Roman"/>
                <w:snapToGrid w:val="0"/>
                <w:kern w:val="21"/>
                <w:szCs w:val="21"/>
              </w:rPr>
              <w:t>2</w:t>
            </w:r>
            <w:r>
              <w:rPr>
                <w:rFonts w:ascii="Times New Roman"/>
                <w:snapToGrid w:val="0"/>
                <w:kern w:val="21"/>
                <w:szCs w:val="21"/>
              </w:rPr>
              <w:t>0 t/a</w:t>
            </w:r>
          </w:p>
        </w:tc>
        <w:tc>
          <w:tcPr>
            <w:tcW w:w="467" w:type="pct"/>
            <w:vAlign w:val="center"/>
          </w:tcPr>
          <w:p w14:paraId="27384018">
            <w:pPr>
              <w:pStyle w:val="35"/>
              <w:spacing w:beforeLines="0" w:afterLines="0" w:line="240" w:lineRule="auto"/>
              <w:rPr>
                <w:rFonts w:ascii="Times New Roman"/>
                <w:snapToGrid w:val="0"/>
                <w:kern w:val="21"/>
                <w:szCs w:val="21"/>
              </w:rPr>
            </w:pPr>
            <w:r>
              <w:rPr>
                <w:rFonts w:hint="eastAsia" w:ascii="Times New Roman"/>
                <w:snapToGrid w:val="0"/>
                <w:kern w:val="21"/>
                <w:szCs w:val="21"/>
              </w:rPr>
              <w:t>+</w:t>
            </w:r>
            <w:r>
              <w:rPr>
                <w:rFonts w:ascii="Times New Roman"/>
                <w:snapToGrid w:val="0"/>
                <w:kern w:val="21"/>
                <w:szCs w:val="21"/>
              </w:rPr>
              <w:t>0.20 t/a</w:t>
            </w:r>
          </w:p>
        </w:tc>
      </w:tr>
      <w:tr w14:paraId="36304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c>
          <w:tcPr>
            <w:tcW w:w="364" w:type="pct"/>
            <w:vMerge w:val="continue"/>
            <w:vAlign w:val="center"/>
          </w:tcPr>
          <w:p w14:paraId="7301CEA9">
            <w:pPr>
              <w:pStyle w:val="35"/>
              <w:spacing w:beforeLines="0" w:afterLines="0" w:line="240" w:lineRule="auto"/>
              <w:rPr>
                <w:rFonts w:ascii="Times New Roman" w:cs="宋体"/>
                <w:snapToGrid w:val="0"/>
                <w:kern w:val="21"/>
                <w:szCs w:val="21"/>
              </w:rPr>
            </w:pPr>
          </w:p>
        </w:tc>
        <w:tc>
          <w:tcPr>
            <w:tcW w:w="751" w:type="pct"/>
            <w:vAlign w:val="center"/>
          </w:tcPr>
          <w:p w14:paraId="2762306B">
            <w:pPr>
              <w:pStyle w:val="35"/>
              <w:spacing w:beforeLines="0" w:afterLines="0" w:line="240" w:lineRule="auto"/>
              <w:rPr>
                <w:rFonts w:ascii="Times New Roman" w:cs="宋体"/>
                <w:szCs w:val="21"/>
              </w:rPr>
            </w:pPr>
            <w:r>
              <w:rPr>
                <w:rFonts w:hint="eastAsia" w:ascii="Times New Roman"/>
              </w:rPr>
              <w:t>废油桶</w:t>
            </w:r>
          </w:p>
        </w:tc>
        <w:tc>
          <w:tcPr>
            <w:tcW w:w="611" w:type="pct"/>
            <w:vAlign w:val="center"/>
          </w:tcPr>
          <w:p w14:paraId="7CE838A2">
            <w:pPr>
              <w:pStyle w:val="35"/>
              <w:spacing w:beforeLines="0" w:afterLines="0" w:line="240" w:lineRule="auto"/>
              <w:rPr>
                <w:rFonts w:ascii="Times New Roman"/>
                <w:snapToGrid w:val="0"/>
                <w:kern w:val="21"/>
                <w:szCs w:val="21"/>
              </w:rPr>
            </w:pPr>
          </w:p>
        </w:tc>
        <w:tc>
          <w:tcPr>
            <w:tcW w:w="459" w:type="pct"/>
            <w:vAlign w:val="center"/>
          </w:tcPr>
          <w:p w14:paraId="73D18ECB">
            <w:pPr>
              <w:pStyle w:val="35"/>
              <w:spacing w:beforeLines="0" w:afterLines="0" w:line="240" w:lineRule="auto"/>
              <w:rPr>
                <w:rFonts w:ascii="Times New Roman"/>
                <w:snapToGrid w:val="0"/>
                <w:kern w:val="21"/>
                <w:szCs w:val="21"/>
              </w:rPr>
            </w:pPr>
          </w:p>
        </w:tc>
        <w:tc>
          <w:tcPr>
            <w:tcW w:w="611" w:type="pct"/>
            <w:vAlign w:val="center"/>
          </w:tcPr>
          <w:p w14:paraId="495FE9F9">
            <w:pPr>
              <w:pStyle w:val="35"/>
              <w:spacing w:beforeLines="0" w:afterLines="0" w:line="240" w:lineRule="auto"/>
              <w:rPr>
                <w:rFonts w:ascii="Times New Roman"/>
                <w:snapToGrid w:val="0"/>
                <w:kern w:val="21"/>
                <w:szCs w:val="21"/>
              </w:rPr>
            </w:pPr>
          </w:p>
        </w:tc>
        <w:tc>
          <w:tcPr>
            <w:tcW w:w="561" w:type="pct"/>
            <w:vAlign w:val="center"/>
          </w:tcPr>
          <w:p w14:paraId="7F9FC268">
            <w:pPr>
              <w:pStyle w:val="35"/>
              <w:spacing w:beforeLines="0" w:afterLines="0" w:line="240" w:lineRule="auto"/>
              <w:rPr>
                <w:rFonts w:ascii="Times New Roman"/>
                <w:snapToGrid w:val="0"/>
                <w:kern w:val="21"/>
                <w:szCs w:val="21"/>
              </w:rPr>
            </w:pPr>
            <w:r>
              <w:rPr>
                <w:rFonts w:ascii="Times New Roman"/>
                <w:snapToGrid w:val="0"/>
                <w:kern w:val="21"/>
                <w:szCs w:val="21"/>
              </w:rPr>
              <w:t>0.50 t/a</w:t>
            </w:r>
          </w:p>
        </w:tc>
        <w:tc>
          <w:tcPr>
            <w:tcW w:w="543" w:type="pct"/>
            <w:vAlign w:val="center"/>
          </w:tcPr>
          <w:p w14:paraId="2EF1FE87">
            <w:pPr>
              <w:pStyle w:val="35"/>
              <w:spacing w:beforeLines="0" w:afterLines="0" w:line="240" w:lineRule="auto"/>
              <w:rPr>
                <w:rFonts w:ascii="Times New Roman"/>
                <w:snapToGrid w:val="0"/>
                <w:kern w:val="21"/>
                <w:szCs w:val="21"/>
              </w:rPr>
            </w:pPr>
          </w:p>
        </w:tc>
        <w:tc>
          <w:tcPr>
            <w:tcW w:w="632" w:type="pct"/>
            <w:vAlign w:val="center"/>
          </w:tcPr>
          <w:p w14:paraId="14BE4681">
            <w:pPr>
              <w:pStyle w:val="35"/>
              <w:spacing w:beforeLines="0" w:afterLines="0" w:line="240" w:lineRule="auto"/>
              <w:rPr>
                <w:rFonts w:ascii="Times New Roman"/>
                <w:snapToGrid w:val="0"/>
                <w:kern w:val="21"/>
                <w:szCs w:val="21"/>
              </w:rPr>
            </w:pPr>
            <w:r>
              <w:rPr>
                <w:rFonts w:hint="eastAsia" w:ascii="Times New Roman"/>
                <w:snapToGrid w:val="0"/>
                <w:kern w:val="21"/>
                <w:szCs w:val="21"/>
              </w:rPr>
              <w:t>0.5</w:t>
            </w:r>
            <w:r>
              <w:rPr>
                <w:rFonts w:ascii="Times New Roman"/>
                <w:snapToGrid w:val="0"/>
                <w:kern w:val="21"/>
                <w:szCs w:val="21"/>
              </w:rPr>
              <w:t xml:space="preserve"> t/a</w:t>
            </w:r>
          </w:p>
        </w:tc>
        <w:tc>
          <w:tcPr>
            <w:tcW w:w="467" w:type="pct"/>
            <w:vAlign w:val="center"/>
          </w:tcPr>
          <w:p w14:paraId="62A384F3">
            <w:pPr>
              <w:pStyle w:val="35"/>
              <w:spacing w:beforeLines="0" w:afterLines="0" w:line="240" w:lineRule="auto"/>
              <w:rPr>
                <w:rFonts w:ascii="Times New Roman"/>
                <w:snapToGrid w:val="0"/>
                <w:kern w:val="21"/>
                <w:szCs w:val="21"/>
              </w:rPr>
            </w:pPr>
            <w:r>
              <w:rPr>
                <w:rFonts w:hint="eastAsia" w:ascii="Times New Roman"/>
                <w:snapToGrid w:val="0"/>
                <w:kern w:val="21"/>
                <w:szCs w:val="21"/>
              </w:rPr>
              <w:t>+</w:t>
            </w:r>
            <w:r>
              <w:rPr>
                <w:rFonts w:ascii="Times New Roman"/>
                <w:snapToGrid w:val="0"/>
                <w:kern w:val="21"/>
                <w:szCs w:val="21"/>
              </w:rPr>
              <w:t>0.50 t/a</w:t>
            </w:r>
          </w:p>
        </w:tc>
      </w:tr>
      <w:tr w14:paraId="25D15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c>
          <w:tcPr>
            <w:tcW w:w="364" w:type="pct"/>
            <w:vMerge w:val="continue"/>
            <w:vAlign w:val="center"/>
          </w:tcPr>
          <w:p w14:paraId="74165ADC">
            <w:pPr>
              <w:pStyle w:val="35"/>
              <w:spacing w:beforeLines="0" w:afterLines="0" w:line="240" w:lineRule="auto"/>
              <w:rPr>
                <w:rFonts w:ascii="Times New Roman" w:cs="宋体"/>
                <w:snapToGrid w:val="0"/>
                <w:kern w:val="21"/>
                <w:szCs w:val="21"/>
              </w:rPr>
            </w:pPr>
          </w:p>
        </w:tc>
        <w:tc>
          <w:tcPr>
            <w:tcW w:w="751" w:type="pct"/>
            <w:vAlign w:val="center"/>
          </w:tcPr>
          <w:p w14:paraId="18A89AD7">
            <w:pPr>
              <w:pStyle w:val="35"/>
              <w:spacing w:beforeLines="0" w:afterLines="0" w:line="240" w:lineRule="auto"/>
              <w:rPr>
                <w:rFonts w:ascii="Times New Roman"/>
                <w:snapToGrid w:val="0"/>
                <w:kern w:val="21"/>
                <w:szCs w:val="21"/>
              </w:rPr>
            </w:pPr>
            <w:r>
              <w:rPr>
                <w:rFonts w:hint="eastAsia" w:ascii="Times New Roman"/>
              </w:rPr>
              <w:t>含油抹布</w:t>
            </w:r>
          </w:p>
        </w:tc>
        <w:tc>
          <w:tcPr>
            <w:tcW w:w="611" w:type="pct"/>
            <w:vAlign w:val="center"/>
          </w:tcPr>
          <w:p w14:paraId="1748F9C2">
            <w:pPr>
              <w:pStyle w:val="35"/>
              <w:spacing w:beforeLines="0" w:afterLines="0" w:line="240" w:lineRule="auto"/>
              <w:rPr>
                <w:rFonts w:ascii="Times New Roman"/>
                <w:snapToGrid w:val="0"/>
                <w:kern w:val="21"/>
                <w:szCs w:val="21"/>
              </w:rPr>
            </w:pPr>
          </w:p>
        </w:tc>
        <w:tc>
          <w:tcPr>
            <w:tcW w:w="459" w:type="pct"/>
            <w:vAlign w:val="center"/>
          </w:tcPr>
          <w:p w14:paraId="65A23E2C">
            <w:pPr>
              <w:pStyle w:val="35"/>
              <w:spacing w:beforeLines="0" w:afterLines="0" w:line="240" w:lineRule="auto"/>
              <w:rPr>
                <w:rFonts w:ascii="Times New Roman"/>
                <w:snapToGrid w:val="0"/>
                <w:kern w:val="21"/>
                <w:szCs w:val="21"/>
              </w:rPr>
            </w:pPr>
          </w:p>
        </w:tc>
        <w:tc>
          <w:tcPr>
            <w:tcW w:w="611" w:type="pct"/>
            <w:vAlign w:val="center"/>
          </w:tcPr>
          <w:p w14:paraId="1C380EC1">
            <w:pPr>
              <w:pStyle w:val="35"/>
              <w:spacing w:beforeLines="0" w:afterLines="0" w:line="240" w:lineRule="auto"/>
              <w:rPr>
                <w:rFonts w:ascii="Times New Roman"/>
                <w:snapToGrid w:val="0"/>
                <w:kern w:val="21"/>
                <w:szCs w:val="21"/>
              </w:rPr>
            </w:pPr>
          </w:p>
        </w:tc>
        <w:tc>
          <w:tcPr>
            <w:tcW w:w="561" w:type="pct"/>
            <w:vAlign w:val="center"/>
          </w:tcPr>
          <w:p w14:paraId="2D9AC3C0">
            <w:pPr>
              <w:pStyle w:val="35"/>
              <w:spacing w:beforeLines="0" w:afterLines="0" w:line="240" w:lineRule="auto"/>
              <w:rPr>
                <w:rFonts w:ascii="Times New Roman"/>
                <w:snapToGrid w:val="0"/>
                <w:kern w:val="21"/>
                <w:szCs w:val="21"/>
              </w:rPr>
            </w:pPr>
            <w:r>
              <w:rPr>
                <w:rFonts w:ascii="Times New Roman"/>
                <w:snapToGrid w:val="0"/>
                <w:kern w:val="21"/>
                <w:szCs w:val="21"/>
              </w:rPr>
              <w:t>0.30 t/a</w:t>
            </w:r>
          </w:p>
        </w:tc>
        <w:tc>
          <w:tcPr>
            <w:tcW w:w="543" w:type="pct"/>
            <w:vAlign w:val="center"/>
          </w:tcPr>
          <w:p w14:paraId="25547B16">
            <w:pPr>
              <w:pStyle w:val="35"/>
              <w:spacing w:beforeLines="0" w:afterLines="0" w:line="240" w:lineRule="auto"/>
              <w:rPr>
                <w:rFonts w:ascii="Times New Roman"/>
                <w:snapToGrid w:val="0"/>
                <w:kern w:val="21"/>
                <w:szCs w:val="21"/>
              </w:rPr>
            </w:pPr>
          </w:p>
        </w:tc>
        <w:tc>
          <w:tcPr>
            <w:tcW w:w="632" w:type="pct"/>
            <w:vAlign w:val="center"/>
          </w:tcPr>
          <w:p w14:paraId="3502C8C5">
            <w:pPr>
              <w:pStyle w:val="35"/>
              <w:spacing w:beforeLines="0" w:afterLines="0" w:line="240" w:lineRule="auto"/>
              <w:rPr>
                <w:rFonts w:ascii="Times New Roman"/>
                <w:snapToGrid w:val="0"/>
                <w:kern w:val="21"/>
                <w:szCs w:val="21"/>
              </w:rPr>
            </w:pPr>
            <w:r>
              <w:rPr>
                <w:rFonts w:ascii="Times New Roman"/>
                <w:snapToGrid w:val="0"/>
                <w:kern w:val="21"/>
                <w:szCs w:val="21"/>
              </w:rPr>
              <w:t>0.</w:t>
            </w:r>
            <w:r>
              <w:rPr>
                <w:rFonts w:hint="eastAsia" w:ascii="Times New Roman"/>
                <w:snapToGrid w:val="0"/>
                <w:kern w:val="21"/>
                <w:szCs w:val="21"/>
              </w:rPr>
              <w:t>3</w:t>
            </w:r>
            <w:r>
              <w:rPr>
                <w:rFonts w:ascii="Times New Roman"/>
                <w:snapToGrid w:val="0"/>
                <w:kern w:val="21"/>
                <w:szCs w:val="21"/>
              </w:rPr>
              <w:t>0 t/a</w:t>
            </w:r>
          </w:p>
        </w:tc>
        <w:tc>
          <w:tcPr>
            <w:tcW w:w="467" w:type="pct"/>
            <w:vAlign w:val="center"/>
          </w:tcPr>
          <w:p w14:paraId="46DCF5DF">
            <w:pPr>
              <w:pStyle w:val="35"/>
              <w:spacing w:beforeLines="0" w:afterLines="0" w:line="240" w:lineRule="auto"/>
              <w:rPr>
                <w:rFonts w:ascii="Times New Roman"/>
                <w:snapToGrid w:val="0"/>
                <w:kern w:val="21"/>
                <w:szCs w:val="21"/>
              </w:rPr>
            </w:pPr>
            <w:r>
              <w:rPr>
                <w:rFonts w:hint="eastAsia" w:ascii="Times New Roman"/>
                <w:snapToGrid w:val="0"/>
                <w:kern w:val="21"/>
                <w:szCs w:val="21"/>
              </w:rPr>
              <w:t>+</w:t>
            </w:r>
            <w:r>
              <w:rPr>
                <w:rFonts w:ascii="Times New Roman"/>
                <w:snapToGrid w:val="0"/>
                <w:kern w:val="21"/>
                <w:szCs w:val="21"/>
              </w:rPr>
              <w:t>0.30 t/a</w:t>
            </w:r>
          </w:p>
        </w:tc>
      </w:tr>
    </w:tbl>
    <w:p w14:paraId="6A125B1D">
      <w:pPr>
        <w:pStyle w:val="35"/>
        <w:spacing w:before="192" w:beforeLines="80" w:after="24"/>
        <w:jc w:val="left"/>
        <w:rPr>
          <w:rFonts w:ascii="Times New Roman"/>
          <w:snapToGrid w:val="0"/>
          <w:spacing w:val="-6"/>
          <w:kern w:val="21"/>
          <w:szCs w:val="21"/>
        </w:rPr>
      </w:pPr>
      <w:r>
        <w:rPr>
          <w:rFonts w:ascii="Times New Roman"/>
          <w:snapToGrid w:val="0"/>
          <w:kern w:val="21"/>
          <w:szCs w:val="21"/>
        </w:rPr>
        <w:t>注：</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hint="eastAsia" w:ascii="Times New Roman"/>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hint="eastAsia" w:ascii="Times New Roman"/>
          <w:szCs w:val="21"/>
        </w:rPr>
        <w:t>①</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3 \* GB3 \* MERGEFORMAT </w:instrText>
      </w:r>
      <w:r>
        <w:rPr>
          <w:rFonts w:ascii="Times New Roman"/>
          <w:snapToGrid w:val="0"/>
          <w:spacing w:val="-6"/>
          <w:kern w:val="21"/>
          <w:szCs w:val="21"/>
        </w:rPr>
        <w:fldChar w:fldCharType="separate"/>
      </w:r>
      <w:r>
        <w:rPr>
          <w:rFonts w:hint="eastAsia" w:ascii="Times New Roman"/>
          <w:szCs w:val="21"/>
        </w:rPr>
        <w:t>③</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4 \* GB3 \* MERGEFORMAT </w:instrText>
      </w:r>
      <w:r>
        <w:rPr>
          <w:rFonts w:ascii="Times New Roman"/>
          <w:snapToGrid w:val="0"/>
          <w:spacing w:val="-6"/>
          <w:kern w:val="21"/>
          <w:szCs w:val="21"/>
        </w:rPr>
        <w:fldChar w:fldCharType="separate"/>
      </w:r>
      <w:r>
        <w:rPr>
          <w:rFonts w:hint="eastAsia" w:ascii="Times New Roman"/>
          <w:szCs w:val="21"/>
        </w:rPr>
        <w:t>④</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5 \* GB3 \* MERGEFORMAT </w:instrText>
      </w:r>
      <w:r>
        <w:rPr>
          <w:rFonts w:ascii="Times New Roman"/>
          <w:snapToGrid w:val="0"/>
          <w:spacing w:val="-16"/>
          <w:kern w:val="21"/>
          <w:szCs w:val="21"/>
        </w:rPr>
        <w:fldChar w:fldCharType="separate"/>
      </w:r>
      <w:r>
        <w:rPr>
          <w:rFonts w:hint="eastAsia" w:ascii="Times New Roman"/>
          <w:szCs w:val="21"/>
        </w:rPr>
        <w:t>⑤</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7 \* GB3 \* MERGEFORMAT </w:instrText>
      </w:r>
      <w:r>
        <w:rPr>
          <w:rFonts w:ascii="Times New Roman"/>
          <w:snapToGrid w:val="0"/>
          <w:spacing w:val="-6"/>
          <w:kern w:val="21"/>
          <w:szCs w:val="21"/>
        </w:rPr>
        <w:fldChar w:fldCharType="separate"/>
      </w:r>
      <w:r>
        <w:rPr>
          <w:rFonts w:hint="eastAsia" w:ascii="Times New Roman"/>
          <w:szCs w:val="21"/>
        </w:rPr>
        <w:t>⑦</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hint="eastAsia" w:ascii="Times New Roman"/>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hint="eastAsia" w:ascii="Times New Roman"/>
          <w:szCs w:val="21"/>
        </w:rPr>
        <w:t>①</w:t>
      </w:r>
      <w:r>
        <w:rPr>
          <w:rFonts w:ascii="Times New Roman"/>
          <w:snapToGrid w:val="0"/>
          <w:spacing w:val="-6"/>
          <w:kern w:val="21"/>
          <w:szCs w:val="21"/>
        </w:rPr>
        <w:fldChar w:fldCharType="end"/>
      </w:r>
    </w:p>
    <w:sectPr>
      <w:footerReference r:id="rId7" w:type="default"/>
      <w:pgSz w:w="16838" w:h="11906" w:orient="landscape"/>
      <w:pgMar w:top="1531" w:right="1701" w:bottom="1531" w:left="1701" w:header="851" w:footer="39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Light">
    <w:altName w:val="宋体"/>
    <w:panose1 w:val="02010600030101010101"/>
    <w:charset w:val="86"/>
    <w:family w:val="auto"/>
    <w:pitch w:val="default"/>
    <w:sig w:usb0="00000000" w:usb1="00000000"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微软雅黑"/>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微软雅黑"/>
    <w:panose1 w:val="00000000000000000000"/>
    <w:charset w:val="86"/>
    <w:family w:val="modern"/>
    <w:pitch w:val="default"/>
    <w:sig w:usb0="00000000" w:usb1="0000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Times New Roman Regular">
    <w:altName w:val="Times New Roman"/>
    <w:panose1 w:val="00000000000000000000"/>
    <w:charset w:val="00"/>
    <w:family w:val="auto"/>
    <w:pitch w:val="default"/>
    <w:sig w:usb0="00000000" w:usb1="00000000" w:usb2="00000009" w:usb3="00000000" w:csb0="400001FF" w:csb1="FFFF0000"/>
  </w:font>
  <w:font w:name="等线">
    <w:altName w:val="微软雅黑"/>
    <w:panose1 w:val="02010600030101010101"/>
    <w:charset w:val="86"/>
    <w:family w:val="auto"/>
    <w:pitch w:val="default"/>
    <w:sig w:usb0="00000000" w:usb1="00000000" w:usb2="00000016" w:usb3="00000000" w:csb0="0004000F" w:csb1="00000000"/>
  </w:font>
  <w:font w:name="KSOF17264B2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9D8C6">
    <w:pPr>
      <w:pStyle w:val="13"/>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0F1C6">
    <w:pPr>
      <w:pStyle w:val="13"/>
      <w:framePr w:wrap="around" w:vAnchor="text" w:hAnchor="margin" w:xAlign="outside" w:y="1"/>
      <w:rPr>
        <w:rStyle w:val="24"/>
      </w:rPr>
    </w:pPr>
    <w:r>
      <w:rPr>
        <w:rStyle w:val="24"/>
      </w:rPr>
      <w:fldChar w:fldCharType="begin"/>
    </w:r>
    <w:r>
      <w:rPr>
        <w:rStyle w:val="24"/>
      </w:rPr>
      <w:instrText xml:space="preserve">PAGE  </w:instrText>
    </w:r>
    <w:r>
      <w:rPr>
        <w:rStyle w:val="24"/>
      </w:rPr>
      <w:fldChar w:fldCharType="separate"/>
    </w:r>
    <w:r>
      <w:rPr>
        <w:rStyle w:val="24"/>
      </w:rPr>
      <w:t>21</w:t>
    </w:r>
    <w:r>
      <w:rPr>
        <w:rStyle w:val="24"/>
      </w:rPr>
      <w:fldChar w:fldCharType="end"/>
    </w:r>
  </w:p>
  <w:p w14:paraId="3C681C36">
    <w:pPr>
      <w:pStyle w:val="1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2F07D">
    <w:pPr>
      <w:pStyle w:val="13"/>
      <w:jc w:val="center"/>
    </w:pPr>
    <w:r>
      <w:fldChar w:fldCharType="begin"/>
    </w:r>
    <w:r>
      <w:instrText xml:space="preserve">PAGE   \* MERGEFORMAT</w:instrText>
    </w:r>
    <w:r>
      <w:fldChar w:fldCharType="separate"/>
    </w:r>
    <w:r>
      <w:rPr>
        <w:lang w:val="zh-CN"/>
      </w:rPr>
      <w:t>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1CA37">
    <w:pPr>
      <w:pStyle w:val="13"/>
      <w:jc w:val="cente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B9C4E">
    <w:pPr>
      <w:pStyle w:val="13"/>
      <w:ind w:firstLine="360"/>
      <w:jc w:val="center"/>
    </w:pPr>
    <w:r>
      <w:fldChar w:fldCharType="begin"/>
    </w:r>
    <w:r>
      <w:instrText xml:space="preserve">PAGE   \* MERGEFORMAT</w:instrText>
    </w:r>
    <w:r>
      <w:fldChar w:fldCharType="separate"/>
    </w:r>
    <w:r>
      <w:rPr>
        <w:lang w:val="zh-CN"/>
      </w:rPr>
      <w:t>2</w:t>
    </w:r>
    <w:r>
      <w:fldChar w:fldCharType="end"/>
    </w:r>
  </w:p>
  <w:p w14:paraId="22981775">
    <w:pPr>
      <w:pStyle w:val="13"/>
      <w:ind w:right="360" w:firstLine="360"/>
      <w:jc w:val="center"/>
    </w:pPr>
  </w:p>
  <w:p w14:paraId="3FC8A30B"/>
  <w:p w14:paraId="0F23B80A"/>
  <w:p w14:paraId="6857FF58"/>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AD562E"/>
    <w:multiLevelType w:val="multilevel"/>
    <w:tmpl w:val="23AD562E"/>
    <w:lvl w:ilvl="0" w:tentative="0">
      <w:start w:val="1"/>
      <w:numFmt w:val="decimal"/>
      <w:pStyle w:val="49"/>
      <w:lvlText w:val="表%1  "/>
      <w:lvlJc w:val="center"/>
      <w:pPr>
        <w:ind w:left="420" w:hanging="420"/>
      </w:pPr>
      <w:rPr>
        <w:rFonts w:hint="default" w:ascii="Times New Roman" w:hAnsi="Times New Roman" w:eastAsia="宋体" w:cs="Times New Roman"/>
        <w:color w:val="auto"/>
        <w:sz w:val="24"/>
        <w:szCs w:val="24"/>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60129CF"/>
    <w:multiLevelType w:val="multilevel"/>
    <w:tmpl w:val="560129CF"/>
    <w:lvl w:ilvl="0" w:tentative="0">
      <w:start w:val="1"/>
      <w:numFmt w:val="decimal"/>
      <w:lvlText w:val="表%1  "/>
      <w:lvlJc w:val="center"/>
      <w:pPr>
        <w:ind w:left="420" w:hanging="420"/>
      </w:pPr>
      <w:rPr>
        <w:rFonts w:hint="eastAsia" w:ascii="宋体" w:eastAsia="宋体"/>
      </w:rPr>
    </w:lvl>
    <w:lvl w:ilvl="1" w:tentative="0">
      <w:start w:val="1"/>
      <w:numFmt w:val="lowerLetter"/>
      <w:lvlText w:val="%2)"/>
      <w:lvlJc w:val="left"/>
      <w:pPr>
        <w:ind w:left="840" w:hanging="420"/>
      </w:pPr>
    </w:lvl>
    <w:lvl w:ilvl="2" w:tentative="0">
      <w:start w:val="1"/>
      <w:numFmt w:val="lowerRoman"/>
      <w:pStyle w:val="76"/>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A9B29E1"/>
    <w:multiLevelType w:val="multilevel"/>
    <w:tmpl w:val="5A9B29E1"/>
    <w:lvl w:ilvl="0" w:tentative="0">
      <w:start w:val="1"/>
      <w:numFmt w:val="decimal"/>
      <w:pStyle w:val="105"/>
      <w:lvlText w:val="表%1"/>
      <w:lvlJc w:val="left"/>
      <w:pPr>
        <w:ind w:left="860" w:hanging="440"/>
      </w:pPr>
      <w:rPr>
        <w:rFonts w:hint="eastAsia"/>
        <w:lang w:val="en-US"/>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characterSpacingControl w:val="doNotCompress"/>
  <w:noLineBreaksAfter w:lang="zh-CN" w:val="([{·‘“〈《「『【〔〖（．［｛￡￥"/>
  <w:noLineBreaksBefore w:lang="zh-CN" w:val="!),.:;?]}¨·ˇˉ―‖’”…∶、。〃々〉》」』】〕〗！＂＇），．：；？］｀｜｝～￠"/>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947"/>
    <w:rsid w:val="00000E6B"/>
    <w:rsid w:val="00001CAB"/>
    <w:rsid w:val="00002275"/>
    <w:rsid w:val="00003CE1"/>
    <w:rsid w:val="00004978"/>
    <w:rsid w:val="000050D7"/>
    <w:rsid w:val="000060B3"/>
    <w:rsid w:val="000076EC"/>
    <w:rsid w:val="00007CAD"/>
    <w:rsid w:val="00010129"/>
    <w:rsid w:val="0001097D"/>
    <w:rsid w:val="000118E6"/>
    <w:rsid w:val="00013CA6"/>
    <w:rsid w:val="00014020"/>
    <w:rsid w:val="00014189"/>
    <w:rsid w:val="00014E6B"/>
    <w:rsid w:val="00014F4E"/>
    <w:rsid w:val="00015D48"/>
    <w:rsid w:val="0001704C"/>
    <w:rsid w:val="00017257"/>
    <w:rsid w:val="00017A0C"/>
    <w:rsid w:val="00020359"/>
    <w:rsid w:val="00020602"/>
    <w:rsid w:val="000214DA"/>
    <w:rsid w:val="00021784"/>
    <w:rsid w:val="000220F2"/>
    <w:rsid w:val="000227E9"/>
    <w:rsid w:val="00024475"/>
    <w:rsid w:val="000248D3"/>
    <w:rsid w:val="00025122"/>
    <w:rsid w:val="0002571F"/>
    <w:rsid w:val="0002572D"/>
    <w:rsid w:val="0002574D"/>
    <w:rsid w:val="00025C09"/>
    <w:rsid w:val="00026238"/>
    <w:rsid w:val="0002628D"/>
    <w:rsid w:val="0002789B"/>
    <w:rsid w:val="00027D2A"/>
    <w:rsid w:val="00032444"/>
    <w:rsid w:val="00032B5F"/>
    <w:rsid w:val="00032C53"/>
    <w:rsid w:val="00032CA7"/>
    <w:rsid w:val="00033C11"/>
    <w:rsid w:val="00033FC7"/>
    <w:rsid w:val="0003401E"/>
    <w:rsid w:val="0003444E"/>
    <w:rsid w:val="00035012"/>
    <w:rsid w:val="00035163"/>
    <w:rsid w:val="00035E0F"/>
    <w:rsid w:val="000362BA"/>
    <w:rsid w:val="00040593"/>
    <w:rsid w:val="00040FC1"/>
    <w:rsid w:val="000411A4"/>
    <w:rsid w:val="000415A3"/>
    <w:rsid w:val="000416E8"/>
    <w:rsid w:val="0004209A"/>
    <w:rsid w:val="0004216E"/>
    <w:rsid w:val="00042221"/>
    <w:rsid w:val="000428F8"/>
    <w:rsid w:val="00042C01"/>
    <w:rsid w:val="0004364B"/>
    <w:rsid w:val="000437FD"/>
    <w:rsid w:val="00043C4A"/>
    <w:rsid w:val="000461B9"/>
    <w:rsid w:val="000467ED"/>
    <w:rsid w:val="00046B7D"/>
    <w:rsid w:val="00051275"/>
    <w:rsid w:val="00051386"/>
    <w:rsid w:val="00051D25"/>
    <w:rsid w:val="00052987"/>
    <w:rsid w:val="000531D1"/>
    <w:rsid w:val="00053926"/>
    <w:rsid w:val="00053D59"/>
    <w:rsid w:val="00053D7B"/>
    <w:rsid w:val="0005436C"/>
    <w:rsid w:val="000543D4"/>
    <w:rsid w:val="000548DE"/>
    <w:rsid w:val="0005586D"/>
    <w:rsid w:val="00056934"/>
    <w:rsid w:val="00057C5F"/>
    <w:rsid w:val="0006012D"/>
    <w:rsid w:val="00060A02"/>
    <w:rsid w:val="00061B1F"/>
    <w:rsid w:val="00061D34"/>
    <w:rsid w:val="00063C1F"/>
    <w:rsid w:val="00063EF4"/>
    <w:rsid w:val="0006441E"/>
    <w:rsid w:val="00064B45"/>
    <w:rsid w:val="00064D08"/>
    <w:rsid w:val="000652B4"/>
    <w:rsid w:val="00065741"/>
    <w:rsid w:val="000657EA"/>
    <w:rsid w:val="00065B0E"/>
    <w:rsid w:val="00065FCB"/>
    <w:rsid w:val="0006675F"/>
    <w:rsid w:val="00067323"/>
    <w:rsid w:val="00070C9C"/>
    <w:rsid w:val="000713B7"/>
    <w:rsid w:val="000718FF"/>
    <w:rsid w:val="00072455"/>
    <w:rsid w:val="000727FF"/>
    <w:rsid w:val="00073186"/>
    <w:rsid w:val="000733C4"/>
    <w:rsid w:val="00073550"/>
    <w:rsid w:val="000739A9"/>
    <w:rsid w:val="00074308"/>
    <w:rsid w:val="00074783"/>
    <w:rsid w:val="00075C6C"/>
    <w:rsid w:val="000770E2"/>
    <w:rsid w:val="0008070B"/>
    <w:rsid w:val="00080D1B"/>
    <w:rsid w:val="000810AC"/>
    <w:rsid w:val="000813D3"/>
    <w:rsid w:val="00081454"/>
    <w:rsid w:val="00081A02"/>
    <w:rsid w:val="00081A1E"/>
    <w:rsid w:val="00081CF2"/>
    <w:rsid w:val="00081FAC"/>
    <w:rsid w:val="00082231"/>
    <w:rsid w:val="00082BAD"/>
    <w:rsid w:val="00083B03"/>
    <w:rsid w:val="00083C86"/>
    <w:rsid w:val="0008455E"/>
    <w:rsid w:val="0008499F"/>
    <w:rsid w:val="00086699"/>
    <w:rsid w:val="00087DCE"/>
    <w:rsid w:val="00090F62"/>
    <w:rsid w:val="00091437"/>
    <w:rsid w:val="000918EB"/>
    <w:rsid w:val="00092000"/>
    <w:rsid w:val="000926A0"/>
    <w:rsid w:val="00092BDA"/>
    <w:rsid w:val="00092D38"/>
    <w:rsid w:val="0009377B"/>
    <w:rsid w:val="00096C24"/>
    <w:rsid w:val="00096FF6"/>
    <w:rsid w:val="000977D6"/>
    <w:rsid w:val="000A1718"/>
    <w:rsid w:val="000A18ED"/>
    <w:rsid w:val="000A20C9"/>
    <w:rsid w:val="000A21E5"/>
    <w:rsid w:val="000A27C4"/>
    <w:rsid w:val="000A38DE"/>
    <w:rsid w:val="000A4EE5"/>
    <w:rsid w:val="000A5231"/>
    <w:rsid w:val="000A637F"/>
    <w:rsid w:val="000A68DB"/>
    <w:rsid w:val="000A68DF"/>
    <w:rsid w:val="000A7A33"/>
    <w:rsid w:val="000B058F"/>
    <w:rsid w:val="000B061A"/>
    <w:rsid w:val="000B1959"/>
    <w:rsid w:val="000B32B4"/>
    <w:rsid w:val="000B4467"/>
    <w:rsid w:val="000B4DB9"/>
    <w:rsid w:val="000B4F11"/>
    <w:rsid w:val="000B5EC4"/>
    <w:rsid w:val="000B62FA"/>
    <w:rsid w:val="000C062F"/>
    <w:rsid w:val="000C075B"/>
    <w:rsid w:val="000C09AC"/>
    <w:rsid w:val="000C14CB"/>
    <w:rsid w:val="000C1F00"/>
    <w:rsid w:val="000C2204"/>
    <w:rsid w:val="000C3C13"/>
    <w:rsid w:val="000C4A82"/>
    <w:rsid w:val="000C56B7"/>
    <w:rsid w:val="000C621F"/>
    <w:rsid w:val="000C6263"/>
    <w:rsid w:val="000C6942"/>
    <w:rsid w:val="000C6EBA"/>
    <w:rsid w:val="000C767F"/>
    <w:rsid w:val="000D061E"/>
    <w:rsid w:val="000D068E"/>
    <w:rsid w:val="000D0F00"/>
    <w:rsid w:val="000D1249"/>
    <w:rsid w:val="000D2729"/>
    <w:rsid w:val="000D2F2B"/>
    <w:rsid w:val="000D31D8"/>
    <w:rsid w:val="000D52CE"/>
    <w:rsid w:val="000D5321"/>
    <w:rsid w:val="000D5A44"/>
    <w:rsid w:val="000D5B7C"/>
    <w:rsid w:val="000D6396"/>
    <w:rsid w:val="000D7E6A"/>
    <w:rsid w:val="000E0176"/>
    <w:rsid w:val="000E01A6"/>
    <w:rsid w:val="000E0CD2"/>
    <w:rsid w:val="000E0DFE"/>
    <w:rsid w:val="000E15BF"/>
    <w:rsid w:val="000E2D89"/>
    <w:rsid w:val="000E3AE7"/>
    <w:rsid w:val="000E3ED2"/>
    <w:rsid w:val="000E46B8"/>
    <w:rsid w:val="000E4A4A"/>
    <w:rsid w:val="000E5A90"/>
    <w:rsid w:val="000E5AFA"/>
    <w:rsid w:val="000E5BFE"/>
    <w:rsid w:val="000E5D3F"/>
    <w:rsid w:val="000E7562"/>
    <w:rsid w:val="000F009B"/>
    <w:rsid w:val="000F03E0"/>
    <w:rsid w:val="000F16B8"/>
    <w:rsid w:val="000F1CC4"/>
    <w:rsid w:val="000F1D4C"/>
    <w:rsid w:val="000F223F"/>
    <w:rsid w:val="000F27B1"/>
    <w:rsid w:val="000F3128"/>
    <w:rsid w:val="000F3637"/>
    <w:rsid w:val="000F3E0A"/>
    <w:rsid w:val="000F427A"/>
    <w:rsid w:val="000F4BCB"/>
    <w:rsid w:val="000F5728"/>
    <w:rsid w:val="000F6246"/>
    <w:rsid w:val="000F6C1A"/>
    <w:rsid w:val="000F6D81"/>
    <w:rsid w:val="000F7B1A"/>
    <w:rsid w:val="00101ED0"/>
    <w:rsid w:val="001046E7"/>
    <w:rsid w:val="001054D6"/>
    <w:rsid w:val="00106976"/>
    <w:rsid w:val="00106A42"/>
    <w:rsid w:val="00106AB3"/>
    <w:rsid w:val="00106FBE"/>
    <w:rsid w:val="00107373"/>
    <w:rsid w:val="0010743C"/>
    <w:rsid w:val="00107B26"/>
    <w:rsid w:val="0011036C"/>
    <w:rsid w:val="00110A82"/>
    <w:rsid w:val="0011129C"/>
    <w:rsid w:val="001119BC"/>
    <w:rsid w:val="00111C5A"/>
    <w:rsid w:val="001125D4"/>
    <w:rsid w:val="00116156"/>
    <w:rsid w:val="001165AA"/>
    <w:rsid w:val="00116B6F"/>
    <w:rsid w:val="001179ED"/>
    <w:rsid w:val="00117AC7"/>
    <w:rsid w:val="0012133D"/>
    <w:rsid w:val="00121A08"/>
    <w:rsid w:val="00122A60"/>
    <w:rsid w:val="00122F5B"/>
    <w:rsid w:val="00123165"/>
    <w:rsid w:val="0012440C"/>
    <w:rsid w:val="00124BAA"/>
    <w:rsid w:val="00124BF2"/>
    <w:rsid w:val="001251BD"/>
    <w:rsid w:val="001252D9"/>
    <w:rsid w:val="001254F2"/>
    <w:rsid w:val="00125C6C"/>
    <w:rsid w:val="0012764E"/>
    <w:rsid w:val="00130CB6"/>
    <w:rsid w:val="00131062"/>
    <w:rsid w:val="00131F42"/>
    <w:rsid w:val="001331AA"/>
    <w:rsid w:val="0013342F"/>
    <w:rsid w:val="00133BA1"/>
    <w:rsid w:val="001343F0"/>
    <w:rsid w:val="001345C7"/>
    <w:rsid w:val="001349AF"/>
    <w:rsid w:val="00135204"/>
    <w:rsid w:val="001357F1"/>
    <w:rsid w:val="00135967"/>
    <w:rsid w:val="00135B14"/>
    <w:rsid w:val="001366BC"/>
    <w:rsid w:val="00136D70"/>
    <w:rsid w:val="001374A9"/>
    <w:rsid w:val="001376C2"/>
    <w:rsid w:val="0013799A"/>
    <w:rsid w:val="001405B5"/>
    <w:rsid w:val="00140FA8"/>
    <w:rsid w:val="00141172"/>
    <w:rsid w:val="00141669"/>
    <w:rsid w:val="00142455"/>
    <w:rsid w:val="001425BD"/>
    <w:rsid w:val="00142FEB"/>
    <w:rsid w:val="00143A2D"/>
    <w:rsid w:val="00143EA6"/>
    <w:rsid w:val="00143EB4"/>
    <w:rsid w:val="001456FE"/>
    <w:rsid w:val="00145A41"/>
    <w:rsid w:val="00146510"/>
    <w:rsid w:val="0014764A"/>
    <w:rsid w:val="00151675"/>
    <w:rsid w:val="00151DBD"/>
    <w:rsid w:val="0015208B"/>
    <w:rsid w:val="001521DE"/>
    <w:rsid w:val="001523A0"/>
    <w:rsid w:val="00152458"/>
    <w:rsid w:val="00153B2A"/>
    <w:rsid w:val="00153B74"/>
    <w:rsid w:val="00153C87"/>
    <w:rsid w:val="001542F9"/>
    <w:rsid w:val="001544BC"/>
    <w:rsid w:val="001548F1"/>
    <w:rsid w:val="00154B08"/>
    <w:rsid w:val="001559E1"/>
    <w:rsid w:val="00155C75"/>
    <w:rsid w:val="00155DA3"/>
    <w:rsid w:val="0015670B"/>
    <w:rsid w:val="00156D20"/>
    <w:rsid w:val="00157435"/>
    <w:rsid w:val="00157896"/>
    <w:rsid w:val="001602C2"/>
    <w:rsid w:val="001607ED"/>
    <w:rsid w:val="0016168C"/>
    <w:rsid w:val="00161746"/>
    <w:rsid w:val="001617DC"/>
    <w:rsid w:val="00161860"/>
    <w:rsid w:val="00161DF9"/>
    <w:rsid w:val="00162305"/>
    <w:rsid w:val="00162789"/>
    <w:rsid w:val="00162AA9"/>
    <w:rsid w:val="00162B01"/>
    <w:rsid w:val="00163278"/>
    <w:rsid w:val="001636C8"/>
    <w:rsid w:val="00163769"/>
    <w:rsid w:val="00163F72"/>
    <w:rsid w:val="001643C6"/>
    <w:rsid w:val="0016444E"/>
    <w:rsid w:val="0016467C"/>
    <w:rsid w:val="00164B0A"/>
    <w:rsid w:val="0016542F"/>
    <w:rsid w:val="00166488"/>
    <w:rsid w:val="001667F1"/>
    <w:rsid w:val="00167960"/>
    <w:rsid w:val="00170793"/>
    <w:rsid w:val="00170910"/>
    <w:rsid w:val="00170CC4"/>
    <w:rsid w:val="00170E00"/>
    <w:rsid w:val="00171005"/>
    <w:rsid w:val="0017100A"/>
    <w:rsid w:val="00171D5B"/>
    <w:rsid w:val="00172E5A"/>
    <w:rsid w:val="00173BA0"/>
    <w:rsid w:val="00173D3C"/>
    <w:rsid w:val="0017493B"/>
    <w:rsid w:val="00174FDA"/>
    <w:rsid w:val="0017504D"/>
    <w:rsid w:val="00175939"/>
    <w:rsid w:val="001762F5"/>
    <w:rsid w:val="0017671A"/>
    <w:rsid w:val="00176916"/>
    <w:rsid w:val="00176EEF"/>
    <w:rsid w:val="00177422"/>
    <w:rsid w:val="00177845"/>
    <w:rsid w:val="00181EB2"/>
    <w:rsid w:val="00182B79"/>
    <w:rsid w:val="00182F1B"/>
    <w:rsid w:val="00183813"/>
    <w:rsid w:val="0018388D"/>
    <w:rsid w:val="00183AFE"/>
    <w:rsid w:val="00183CB3"/>
    <w:rsid w:val="00184590"/>
    <w:rsid w:val="001849A3"/>
    <w:rsid w:val="00184AAC"/>
    <w:rsid w:val="00185534"/>
    <w:rsid w:val="00185875"/>
    <w:rsid w:val="00185B3E"/>
    <w:rsid w:val="0018638F"/>
    <w:rsid w:val="001863AC"/>
    <w:rsid w:val="001870D1"/>
    <w:rsid w:val="0018781E"/>
    <w:rsid w:val="001878EA"/>
    <w:rsid w:val="0019006B"/>
    <w:rsid w:val="00191D84"/>
    <w:rsid w:val="00192071"/>
    <w:rsid w:val="0019262D"/>
    <w:rsid w:val="001930D0"/>
    <w:rsid w:val="00193FE3"/>
    <w:rsid w:val="00194E85"/>
    <w:rsid w:val="00195C03"/>
    <w:rsid w:val="00196496"/>
    <w:rsid w:val="001975B6"/>
    <w:rsid w:val="00197861"/>
    <w:rsid w:val="00197EA8"/>
    <w:rsid w:val="001A0858"/>
    <w:rsid w:val="001A0A27"/>
    <w:rsid w:val="001A1B35"/>
    <w:rsid w:val="001A1F77"/>
    <w:rsid w:val="001A2AA2"/>
    <w:rsid w:val="001A2D37"/>
    <w:rsid w:val="001A3CC5"/>
    <w:rsid w:val="001A44AB"/>
    <w:rsid w:val="001A48A2"/>
    <w:rsid w:val="001A4A4E"/>
    <w:rsid w:val="001A54A0"/>
    <w:rsid w:val="001A584C"/>
    <w:rsid w:val="001A6271"/>
    <w:rsid w:val="001A6E32"/>
    <w:rsid w:val="001A6F61"/>
    <w:rsid w:val="001A7218"/>
    <w:rsid w:val="001B22D0"/>
    <w:rsid w:val="001B3083"/>
    <w:rsid w:val="001B315B"/>
    <w:rsid w:val="001B331D"/>
    <w:rsid w:val="001B4C22"/>
    <w:rsid w:val="001B4C37"/>
    <w:rsid w:val="001B532D"/>
    <w:rsid w:val="001B570C"/>
    <w:rsid w:val="001B61C5"/>
    <w:rsid w:val="001B62B5"/>
    <w:rsid w:val="001B72B8"/>
    <w:rsid w:val="001B73E9"/>
    <w:rsid w:val="001B79AC"/>
    <w:rsid w:val="001B7AAD"/>
    <w:rsid w:val="001C00ED"/>
    <w:rsid w:val="001C0229"/>
    <w:rsid w:val="001C0B3B"/>
    <w:rsid w:val="001C2BAA"/>
    <w:rsid w:val="001C2CDA"/>
    <w:rsid w:val="001C2D01"/>
    <w:rsid w:val="001C4020"/>
    <w:rsid w:val="001C4686"/>
    <w:rsid w:val="001C4AF9"/>
    <w:rsid w:val="001C4E13"/>
    <w:rsid w:val="001C69B3"/>
    <w:rsid w:val="001C7528"/>
    <w:rsid w:val="001C7F5B"/>
    <w:rsid w:val="001D06F7"/>
    <w:rsid w:val="001D0903"/>
    <w:rsid w:val="001D206E"/>
    <w:rsid w:val="001D2426"/>
    <w:rsid w:val="001D30E5"/>
    <w:rsid w:val="001D36DD"/>
    <w:rsid w:val="001D3B02"/>
    <w:rsid w:val="001D3E62"/>
    <w:rsid w:val="001D3FFF"/>
    <w:rsid w:val="001D4205"/>
    <w:rsid w:val="001D5595"/>
    <w:rsid w:val="001D6A64"/>
    <w:rsid w:val="001D6B70"/>
    <w:rsid w:val="001D767E"/>
    <w:rsid w:val="001D7874"/>
    <w:rsid w:val="001D7F22"/>
    <w:rsid w:val="001E0603"/>
    <w:rsid w:val="001E0A6E"/>
    <w:rsid w:val="001E2F01"/>
    <w:rsid w:val="001E305C"/>
    <w:rsid w:val="001E3133"/>
    <w:rsid w:val="001E3304"/>
    <w:rsid w:val="001E3C5E"/>
    <w:rsid w:val="001E3C81"/>
    <w:rsid w:val="001E3C82"/>
    <w:rsid w:val="001E433E"/>
    <w:rsid w:val="001E472D"/>
    <w:rsid w:val="001E4860"/>
    <w:rsid w:val="001E50DC"/>
    <w:rsid w:val="001E548E"/>
    <w:rsid w:val="001E5E96"/>
    <w:rsid w:val="001E6B52"/>
    <w:rsid w:val="001E6CDA"/>
    <w:rsid w:val="001E7133"/>
    <w:rsid w:val="001F07FC"/>
    <w:rsid w:val="001F0F17"/>
    <w:rsid w:val="001F1481"/>
    <w:rsid w:val="001F197F"/>
    <w:rsid w:val="001F21D3"/>
    <w:rsid w:val="001F3347"/>
    <w:rsid w:val="001F41EF"/>
    <w:rsid w:val="001F47AB"/>
    <w:rsid w:val="001F4E15"/>
    <w:rsid w:val="001F563C"/>
    <w:rsid w:val="001F5E0D"/>
    <w:rsid w:val="001F5FE1"/>
    <w:rsid w:val="001F69E4"/>
    <w:rsid w:val="00200245"/>
    <w:rsid w:val="00200BBF"/>
    <w:rsid w:val="00200D4D"/>
    <w:rsid w:val="00200DAD"/>
    <w:rsid w:val="002011E5"/>
    <w:rsid w:val="002019E0"/>
    <w:rsid w:val="002044C9"/>
    <w:rsid w:val="00204CFA"/>
    <w:rsid w:val="00204F64"/>
    <w:rsid w:val="00205D20"/>
    <w:rsid w:val="00206120"/>
    <w:rsid w:val="00207336"/>
    <w:rsid w:val="0021018E"/>
    <w:rsid w:val="00210AF4"/>
    <w:rsid w:val="00211373"/>
    <w:rsid w:val="0021161B"/>
    <w:rsid w:val="00211F59"/>
    <w:rsid w:val="002125B4"/>
    <w:rsid w:val="00212843"/>
    <w:rsid w:val="0021303E"/>
    <w:rsid w:val="0021341F"/>
    <w:rsid w:val="00213C53"/>
    <w:rsid w:val="0021408E"/>
    <w:rsid w:val="00214C6C"/>
    <w:rsid w:val="002155B8"/>
    <w:rsid w:val="00216615"/>
    <w:rsid w:val="002207AF"/>
    <w:rsid w:val="002209AF"/>
    <w:rsid w:val="0022111C"/>
    <w:rsid w:val="00222EEC"/>
    <w:rsid w:val="00222F19"/>
    <w:rsid w:val="002234C4"/>
    <w:rsid w:val="00223B8D"/>
    <w:rsid w:val="0022440E"/>
    <w:rsid w:val="00224839"/>
    <w:rsid w:val="002249B2"/>
    <w:rsid w:val="00226574"/>
    <w:rsid w:val="00227730"/>
    <w:rsid w:val="002278EC"/>
    <w:rsid w:val="0023099F"/>
    <w:rsid w:val="00230C23"/>
    <w:rsid w:val="002320FC"/>
    <w:rsid w:val="0023280E"/>
    <w:rsid w:val="00232C64"/>
    <w:rsid w:val="00232C76"/>
    <w:rsid w:val="002331E6"/>
    <w:rsid w:val="00233F87"/>
    <w:rsid w:val="00234BD5"/>
    <w:rsid w:val="0023571C"/>
    <w:rsid w:val="002363D1"/>
    <w:rsid w:val="00237263"/>
    <w:rsid w:val="00237585"/>
    <w:rsid w:val="002377D1"/>
    <w:rsid w:val="00237F4C"/>
    <w:rsid w:val="002430B3"/>
    <w:rsid w:val="0024363E"/>
    <w:rsid w:val="00244025"/>
    <w:rsid w:val="00244125"/>
    <w:rsid w:val="00244DF3"/>
    <w:rsid w:val="002458F2"/>
    <w:rsid w:val="0024594D"/>
    <w:rsid w:val="002468AD"/>
    <w:rsid w:val="00246A01"/>
    <w:rsid w:val="00246F4B"/>
    <w:rsid w:val="00247636"/>
    <w:rsid w:val="00247C1C"/>
    <w:rsid w:val="00247D82"/>
    <w:rsid w:val="002504C7"/>
    <w:rsid w:val="002506BC"/>
    <w:rsid w:val="00250764"/>
    <w:rsid w:val="00251B58"/>
    <w:rsid w:val="00252D4D"/>
    <w:rsid w:val="00253C81"/>
    <w:rsid w:val="00253EF5"/>
    <w:rsid w:val="00254345"/>
    <w:rsid w:val="002544F1"/>
    <w:rsid w:val="002552FD"/>
    <w:rsid w:val="00255356"/>
    <w:rsid w:val="0025542D"/>
    <w:rsid w:val="002558B6"/>
    <w:rsid w:val="0025614D"/>
    <w:rsid w:val="00257FA7"/>
    <w:rsid w:val="00260368"/>
    <w:rsid w:val="00260AA3"/>
    <w:rsid w:val="00260AB2"/>
    <w:rsid w:val="002615EC"/>
    <w:rsid w:val="00261A37"/>
    <w:rsid w:val="00262CAF"/>
    <w:rsid w:val="00264557"/>
    <w:rsid w:val="00264760"/>
    <w:rsid w:val="002652FE"/>
    <w:rsid w:val="00265E6F"/>
    <w:rsid w:val="002679BF"/>
    <w:rsid w:val="00267BD3"/>
    <w:rsid w:val="00267F01"/>
    <w:rsid w:val="00273614"/>
    <w:rsid w:val="002739DC"/>
    <w:rsid w:val="00274072"/>
    <w:rsid w:val="00274E2C"/>
    <w:rsid w:val="00275674"/>
    <w:rsid w:val="00275A1B"/>
    <w:rsid w:val="00275DD3"/>
    <w:rsid w:val="00276784"/>
    <w:rsid w:val="0027736C"/>
    <w:rsid w:val="00277499"/>
    <w:rsid w:val="00277779"/>
    <w:rsid w:val="002805AB"/>
    <w:rsid w:val="00280B20"/>
    <w:rsid w:val="00280BD5"/>
    <w:rsid w:val="0028101B"/>
    <w:rsid w:val="00281815"/>
    <w:rsid w:val="0028374A"/>
    <w:rsid w:val="00284204"/>
    <w:rsid w:val="00286326"/>
    <w:rsid w:val="00290A62"/>
    <w:rsid w:val="0029113C"/>
    <w:rsid w:val="00291773"/>
    <w:rsid w:val="00292B49"/>
    <w:rsid w:val="00292CB9"/>
    <w:rsid w:val="00293ECE"/>
    <w:rsid w:val="00293FFF"/>
    <w:rsid w:val="002946E3"/>
    <w:rsid w:val="00297F66"/>
    <w:rsid w:val="002A0887"/>
    <w:rsid w:val="002A0F3D"/>
    <w:rsid w:val="002A0F76"/>
    <w:rsid w:val="002A168C"/>
    <w:rsid w:val="002A2008"/>
    <w:rsid w:val="002A2BDB"/>
    <w:rsid w:val="002A2DD8"/>
    <w:rsid w:val="002A3DA7"/>
    <w:rsid w:val="002A3DC7"/>
    <w:rsid w:val="002A4ACA"/>
    <w:rsid w:val="002A5170"/>
    <w:rsid w:val="002A5A2F"/>
    <w:rsid w:val="002A5D47"/>
    <w:rsid w:val="002A6E32"/>
    <w:rsid w:val="002A79CB"/>
    <w:rsid w:val="002B00B2"/>
    <w:rsid w:val="002B084B"/>
    <w:rsid w:val="002B1B06"/>
    <w:rsid w:val="002B1EDE"/>
    <w:rsid w:val="002B41D7"/>
    <w:rsid w:val="002B49DB"/>
    <w:rsid w:val="002B49E2"/>
    <w:rsid w:val="002B4D1F"/>
    <w:rsid w:val="002B55D2"/>
    <w:rsid w:val="002B5D8C"/>
    <w:rsid w:val="002B6003"/>
    <w:rsid w:val="002B61ED"/>
    <w:rsid w:val="002B634F"/>
    <w:rsid w:val="002B6A85"/>
    <w:rsid w:val="002B71DD"/>
    <w:rsid w:val="002B7707"/>
    <w:rsid w:val="002B7B00"/>
    <w:rsid w:val="002B7C44"/>
    <w:rsid w:val="002C00F6"/>
    <w:rsid w:val="002C16EF"/>
    <w:rsid w:val="002C1D95"/>
    <w:rsid w:val="002C2366"/>
    <w:rsid w:val="002C2791"/>
    <w:rsid w:val="002C2B17"/>
    <w:rsid w:val="002C315E"/>
    <w:rsid w:val="002C4273"/>
    <w:rsid w:val="002C51FB"/>
    <w:rsid w:val="002C5F99"/>
    <w:rsid w:val="002D231F"/>
    <w:rsid w:val="002D2583"/>
    <w:rsid w:val="002D39FF"/>
    <w:rsid w:val="002D3C18"/>
    <w:rsid w:val="002D3CF8"/>
    <w:rsid w:val="002D3DD0"/>
    <w:rsid w:val="002D44B3"/>
    <w:rsid w:val="002D56E7"/>
    <w:rsid w:val="002D5D32"/>
    <w:rsid w:val="002D5E09"/>
    <w:rsid w:val="002D5E26"/>
    <w:rsid w:val="002D5EB2"/>
    <w:rsid w:val="002D62A2"/>
    <w:rsid w:val="002D6301"/>
    <w:rsid w:val="002D68ED"/>
    <w:rsid w:val="002D6BF0"/>
    <w:rsid w:val="002D753B"/>
    <w:rsid w:val="002D7A3A"/>
    <w:rsid w:val="002D7C02"/>
    <w:rsid w:val="002D7FFB"/>
    <w:rsid w:val="002E121C"/>
    <w:rsid w:val="002E1382"/>
    <w:rsid w:val="002E1F3A"/>
    <w:rsid w:val="002E2040"/>
    <w:rsid w:val="002E298A"/>
    <w:rsid w:val="002E4404"/>
    <w:rsid w:val="002E4AD4"/>
    <w:rsid w:val="002E4B39"/>
    <w:rsid w:val="002E4C5B"/>
    <w:rsid w:val="002E544B"/>
    <w:rsid w:val="002E5784"/>
    <w:rsid w:val="002E5E45"/>
    <w:rsid w:val="002E67EC"/>
    <w:rsid w:val="002E6B6F"/>
    <w:rsid w:val="002E73AE"/>
    <w:rsid w:val="002E7E33"/>
    <w:rsid w:val="002F1962"/>
    <w:rsid w:val="002F229A"/>
    <w:rsid w:val="002F2F2A"/>
    <w:rsid w:val="002F4386"/>
    <w:rsid w:val="002F479B"/>
    <w:rsid w:val="002F5487"/>
    <w:rsid w:val="002F5A14"/>
    <w:rsid w:val="002F6B6E"/>
    <w:rsid w:val="002F6D93"/>
    <w:rsid w:val="00301978"/>
    <w:rsid w:val="00302ABE"/>
    <w:rsid w:val="0030332C"/>
    <w:rsid w:val="0030334E"/>
    <w:rsid w:val="00303492"/>
    <w:rsid w:val="00303FDB"/>
    <w:rsid w:val="00304F67"/>
    <w:rsid w:val="003051C2"/>
    <w:rsid w:val="003065AC"/>
    <w:rsid w:val="003107E9"/>
    <w:rsid w:val="0031140C"/>
    <w:rsid w:val="00311D62"/>
    <w:rsid w:val="00311EB6"/>
    <w:rsid w:val="00312296"/>
    <w:rsid w:val="00312D07"/>
    <w:rsid w:val="00314A83"/>
    <w:rsid w:val="00314F0E"/>
    <w:rsid w:val="00315347"/>
    <w:rsid w:val="00315C17"/>
    <w:rsid w:val="00316007"/>
    <w:rsid w:val="00316053"/>
    <w:rsid w:val="0031658B"/>
    <w:rsid w:val="003178BB"/>
    <w:rsid w:val="00317ABE"/>
    <w:rsid w:val="003203B7"/>
    <w:rsid w:val="00320A32"/>
    <w:rsid w:val="0032116F"/>
    <w:rsid w:val="00321665"/>
    <w:rsid w:val="003216E5"/>
    <w:rsid w:val="00321A85"/>
    <w:rsid w:val="00321D8E"/>
    <w:rsid w:val="00322151"/>
    <w:rsid w:val="003227FA"/>
    <w:rsid w:val="00323B47"/>
    <w:rsid w:val="00324465"/>
    <w:rsid w:val="003249F9"/>
    <w:rsid w:val="00325658"/>
    <w:rsid w:val="00325928"/>
    <w:rsid w:val="00325D0C"/>
    <w:rsid w:val="0032612F"/>
    <w:rsid w:val="003269CA"/>
    <w:rsid w:val="00326A2F"/>
    <w:rsid w:val="00326D63"/>
    <w:rsid w:val="003277FA"/>
    <w:rsid w:val="00327B2E"/>
    <w:rsid w:val="00331A45"/>
    <w:rsid w:val="00331CA2"/>
    <w:rsid w:val="0033265C"/>
    <w:rsid w:val="0033272B"/>
    <w:rsid w:val="00332863"/>
    <w:rsid w:val="00332B82"/>
    <w:rsid w:val="00332EC1"/>
    <w:rsid w:val="0033391C"/>
    <w:rsid w:val="003351C1"/>
    <w:rsid w:val="00336218"/>
    <w:rsid w:val="00336368"/>
    <w:rsid w:val="00336470"/>
    <w:rsid w:val="0033684D"/>
    <w:rsid w:val="00336A8D"/>
    <w:rsid w:val="00337128"/>
    <w:rsid w:val="003371C5"/>
    <w:rsid w:val="00337B42"/>
    <w:rsid w:val="00337E43"/>
    <w:rsid w:val="00340343"/>
    <w:rsid w:val="00340858"/>
    <w:rsid w:val="00341898"/>
    <w:rsid w:val="00341B42"/>
    <w:rsid w:val="00341BC4"/>
    <w:rsid w:val="00342BE8"/>
    <w:rsid w:val="0034333D"/>
    <w:rsid w:val="0034348F"/>
    <w:rsid w:val="003437C4"/>
    <w:rsid w:val="00343FE9"/>
    <w:rsid w:val="00344388"/>
    <w:rsid w:val="00344681"/>
    <w:rsid w:val="00346324"/>
    <w:rsid w:val="0034644F"/>
    <w:rsid w:val="00347970"/>
    <w:rsid w:val="00347D46"/>
    <w:rsid w:val="00347DAD"/>
    <w:rsid w:val="00350176"/>
    <w:rsid w:val="003502EC"/>
    <w:rsid w:val="00351305"/>
    <w:rsid w:val="003514F1"/>
    <w:rsid w:val="00352028"/>
    <w:rsid w:val="00352677"/>
    <w:rsid w:val="00356653"/>
    <w:rsid w:val="00356D38"/>
    <w:rsid w:val="0035743F"/>
    <w:rsid w:val="00357987"/>
    <w:rsid w:val="00357BE2"/>
    <w:rsid w:val="0036170C"/>
    <w:rsid w:val="00362333"/>
    <w:rsid w:val="00362643"/>
    <w:rsid w:val="00362B62"/>
    <w:rsid w:val="00363EEA"/>
    <w:rsid w:val="00364E43"/>
    <w:rsid w:val="0036510B"/>
    <w:rsid w:val="003662D4"/>
    <w:rsid w:val="0036694F"/>
    <w:rsid w:val="00366E0F"/>
    <w:rsid w:val="00367652"/>
    <w:rsid w:val="00367B19"/>
    <w:rsid w:val="0037243B"/>
    <w:rsid w:val="00372AB3"/>
    <w:rsid w:val="00372B30"/>
    <w:rsid w:val="003732E1"/>
    <w:rsid w:val="00373FE0"/>
    <w:rsid w:val="0037450B"/>
    <w:rsid w:val="00374716"/>
    <w:rsid w:val="00374785"/>
    <w:rsid w:val="0037489F"/>
    <w:rsid w:val="00374951"/>
    <w:rsid w:val="00376006"/>
    <w:rsid w:val="00376208"/>
    <w:rsid w:val="00376507"/>
    <w:rsid w:val="00377941"/>
    <w:rsid w:val="00377A8E"/>
    <w:rsid w:val="00381159"/>
    <w:rsid w:val="00381464"/>
    <w:rsid w:val="00381A72"/>
    <w:rsid w:val="0038219D"/>
    <w:rsid w:val="00382588"/>
    <w:rsid w:val="00382D6C"/>
    <w:rsid w:val="00383DE4"/>
    <w:rsid w:val="003840D9"/>
    <w:rsid w:val="00384676"/>
    <w:rsid w:val="00384759"/>
    <w:rsid w:val="00384D83"/>
    <w:rsid w:val="00386372"/>
    <w:rsid w:val="003863FF"/>
    <w:rsid w:val="00387108"/>
    <w:rsid w:val="003871A6"/>
    <w:rsid w:val="00390137"/>
    <w:rsid w:val="0039029E"/>
    <w:rsid w:val="00390577"/>
    <w:rsid w:val="00390857"/>
    <w:rsid w:val="00390CA5"/>
    <w:rsid w:val="00392B45"/>
    <w:rsid w:val="00392F34"/>
    <w:rsid w:val="0039314E"/>
    <w:rsid w:val="00393314"/>
    <w:rsid w:val="00393AE3"/>
    <w:rsid w:val="00393F6E"/>
    <w:rsid w:val="00394682"/>
    <w:rsid w:val="00396F55"/>
    <w:rsid w:val="00397A83"/>
    <w:rsid w:val="003A05FA"/>
    <w:rsid w:val="003A0B2D"/>
    <w:rsid w:val="003A131E"/>
    <w:rsid w:val="003A155D"/>
    <w:rsid w:val="003A1D19"/>
    <w:rsid w:val="003A1F19"/>
    <w:rsid w:val="003A1F91"/>
    <w:rsid w:val="003A2D57"/>
    <w:rsid w:val="003A3E1B"/>
    <w:rsid w:val="003A49DC"/>
    <w:rsid w:val="003A4B49"/>
    <w:rsid w:val="003A4BF3"/>
    <w:rsid w:val="003A4C5D"/>
    <w:rsid w:val="003A4D2C"/>
    <w:rsid w:val="003A4FBB"/>
    <w:rsid w:val="003A5A1B"/>
    <w:rsid w:val="003A6523"/>
    <w:rsid w:val="003A6649"/>
    <w:rsid w:val="003A6A18"/>
    <w:rsid w:val="003A6F6B"/>
    <w:rsid w:val="003A704A"/>
    <w:rsid w:val="003A7C76"/>
    <w:rsid w:val="003B06AE"/>
    <w:rsid w:val="003B0A41"/>
    <w:rsid w:val="003B0D9D"/>
    <w:rsid w:val="003B1988"/>
    <w:rsid w:val="003B2B43"/>
    <w:rsid w:val="003B3D1D"/>
    <w:rsid w:val="003B420D"/>
    <w:rsid w:val="003B4427"/>
    <w:rsid w:val="003B4AEE"/>
    <w:rsid w:val="003B5C0F"/>
    <w:rsid w:val="003C0EB2"/>
    <w:rsid w:val="003C1374"/>
    <w:rsid w:val="003C1D71"/>
    <w:rsid w:val="003C1FAE"/>
    <w:rsid w:val="003C4943"/>
    <w:rsid w:val="003C5AB5"/>
    <w:rsid w:val="003C5F09"/>
    <w:rsid w:val="003C69C7"/>
    <w:rsid w:val="003C6C16"/>
    <w:rsid w:val="003D0874"/>
    <w:rsid w:val="003D08D3"/>
    <w:rsid w:val="003D0FFB"/>
    <w:rsid w:val="003D5988"/>
    <w:rsid w:val="003D5AFB"/>
    <w:rsid w:val="003D5F3E"/>
    <w:rsid w:val="003D6C13"/>
    <w:rsid w:val="003D794D"/>
    <w:rsid w:val="003D79B6"/>
    <w:rsid w:val="003E019A"/>
    <w:rsid w:val="003E041A"/>
    <w:rsid w:val="003E04E8"/>
    <w:rsid w:val="003E263B"/>
    <w:rsid w:val="003E2E78"/>
    <w:rsid w:val="003E3058"/>
    <w:rsid w:val="003E3BC4"/>
    <w:rsid w:val="003E47EC"/>
    <w:rsid w:val="003E4A01"/>
    <w:rsid w:val="003E4C37"/>
    <w:rsid w:val="003E4F20"/>
    <w:rsid w:val="003E5568"/>
    <w:rsid w:val="003E5B45"/>
    <w:rsid w:val="003E62AA"/>
    <w:rsid w:val="003E70EA"/>
    <w:rsid w:val="003E735A"/>
    <w:rsid w:val="003E76A9"/>
    <w:rsid w:val="003F043F"/>
    <w:rsid w:val="003F0809"/>
    <w:rsid w:val="003F0FAE"/>
    <w:rsid w:val="003F18B8"/>
    <w:rsid w:val="003F1A1E"/>
    <w:rsid w:val="003F1ED8"/>
    <w:rsid w:val="003F22F6"/>
    <w:rsid w:val="003F32A2"/>
    <w:rsid w:val="003F3509"/>
    <w:rsid w:val="003F5F43"/>
    <w:rsid w:val="003F6A8C"/>
    <w:rsid w:val="003F6EE9"/>
    <w:rsid w:val="003F755C"/>
    <w:rsid w:val="003F793D"/>
    <w:rsid w:val="003F7EF2"/>
    <w:rsid w:val="00400414"/>
    <w:rsid w:val="00400A9A"/>
    <w:rsid w:val="00400C8B"/>
    <w:rsid w:val="00401B8B"/>
    <w:rsid w:val="00402493"/>
    <w:rsid w:val="004026B0"/>
    <w:rsid w:val="00403C49"/>
    <w:rsid w:val="00403F07"/>
    <w:rsid w:val="00404212"/>
    <w:rsid w:val="00404B67"/>
    <w:rsid w:val="004050E4"/>
    <w:rsid w:val="00405656"/>
    <w:rsid w:val="00405991"/>
    <w:rsid w:val="00406F01"/>
    <w:rsid w:val="00407E52"/>
    <w:rsid w:val="0041099F"/>
    <w:rsid w:val="004114B4"/>
    <w:rsid w:val="00411874"/>
    <w:rsid w:val="004127D3"/>
    <w:rsid w:val="0041304A"/>
    <w:rsid w:val="004138C6"/>
    <w:rsid w:val="00413C3C"/>
    <w:rsid w:val="00414166"/>
    <w:rsid w:val="004161D7"/>
    <w:rsid w:val="00416A4A"/>
    <w:rsid w:val="00416D50"/>
    <w:rsid w:val="00416FD5"/>
    <w:rsid w:val="00417281"/>
    <w:rsid w:val="00417772"/>
    <w:rsid w:val="00417F23"/>
    <w:rsid w:val="004203C2"/>
    <w:rsid w:val="004204C5"/>
    <w:rsid w:val="00420E6A"/>
    <w:rsid w:val="004211B7"/>
    <w:rsid w:val="00421413"/>
    <w:rsid w:val="0042218A"/>
    <w:rsid w:val="00422833"/>
    <w:rsid w:val="0042335E"/>
    <w:rsid w:val="0042351E"/>
    <w:rsid w:val="004239D5"/>
    <w:rsid w:val="00425093"/>
    <w:rsid w:val="00425A9E"/>
    <w:rsid w:val="0042607D"/>
    <w:rsid w:val="00426D6B"/>
    <w:rsid w:val="00430CE8"/>
    <w:rsid w:val="00430D41"/>
    <w:rsid w:val="004312B6"/>
    <w:rsid w:val="00431303"/>
    <w:rsid w:val="00431E6C"/>
    <w:rsid w:val="00432588"/>
    <w:rsid w:val="00432788"/>
    <w:rsid w:val="00433672"/>
    <w:rsid w:val="00433CE7"/>
    <w:rsid w:val="00434A2E"/>
    <w:rsid w:val="00435FE6"/>
    <w:rsid w:val="00436B98"/>
    <w:rsid w:val="00436E46"/>
    <w:rsid w:val="00436F06"/>
    <w:rsid w:val="004370AC"/>
    <w:rsid w:val="004376D1"/>
    <w:rsid w:val="00437E35"/>
    <w:rsid w:val="00437F1D"/>
    <w:rsid w:val="004401A8"/>
    <w:rsid w:val="00440E8B"/>
    <w:rsid w:val="004410A8"/>
    <w:rsid w:val="00441DE9"/>
    <w:rsid w:val="0044250C"/>
    <w:rsid w:val="0044286D"/>
    <w:rsid w:val="00443577"/>
    <w:rsid w:val="004441BE"/>
    <w:rsid w:val="004442EC"/>
    <w:rsid w:val="00444A19"/>
    <w:rsid w:val="00444F19"/>
    <w:rsid w:val="00445901"/>
    <w:rsid w:val="00445B23"/>
    <w:rsid w:val="00445D47"/>
    <w:rsid w:val="00445E01"/>
    <w:rsid w:val="0044644C"/>
    <w:rsid w:val="00446DA7"/>
    <w:rsid w:val="00447C00"/>
    <w:rsid w:val="004505CA"/>
    <w:rsid w:val="00450D3D"/>
    <w:rsid w:val="0045189F"/>
    <w:rsid w:val="00452738"/>
    <w:rsid w:val="0045348B"/>
    <w:rsid w:val="00453879"/>
    <w:rsid w:val="00455824"/>
    <w:rsid w:val="00456091"/>
    <w:rsid w:val="0045679F"/>
    <w:rsid w:val="00457B01"/>
    <w:rsid w:val="00460955"/>
    <w:rsid w:val="0046097A"/>
    <w:rsid w:val="00460CF8"/>
    <w:rsid w:val="00461366"/>
    <w:rsid w:val="00461D84"/>
    <w:rsid w:val="00462124"/>
    <w:rsid w:val="004623C6"/>
    <w:rsid w:val="004630A0"/>
    <w:rsid w:val="00464661"/>
    <w:rsid w:val="00464C94"/>
    <w:rsid w:val="004655E0"/>
    <w:rsid w:val="004656E5"/>
    <w:rsid w:val="004659A5"/>
    <w:rsid w:val="004659A8"/>
    <w:rsid w:val="00466321"/>
    <w:rsid w:val="00466323"/>
    <w:rsid w:val="00466931"/>
    <w:rsid w:val="00467348"/>
    <w:rsid w:val="004674D0"/>
    <w:rsid w:val="00470E2C"/>
    <w:rsid w:val="00471EEA"/>
    <w:rsid w:val="004723A4"/>
    <w:rsid w:val="00472443"/>
    <w:rsid w:val="00473187"/>
    <w:rsid w:val="00474848"/>
    <w:rsid w:val="00474BFF"/>
    <w:rsid w:val="00474F46"/>
    <w:rsid w:val="00477CE8"/>
    <w:rsid w:val="00480C05"/>
    <w:rsid w:val="00481631"/>
    <w:rsid w:val="004818C6"/>
    <w:rsid w:val="0048239A"/>
    <w:rsid w:val="00483C76"/>
    <w:rsid w:val="00483F3B"/>
    <w:rsid w:val="00484B9B"/>
    <w:rsid w:val="004855F6"/>
    <w:rsid w:val="0048623A"/>
    <w:rsid w:val="0048661E"/>
    <w:rsid w:val="00487A7D"/>
    <w:rsid w:val="00487E17"/>
    <w:rsid w:val="00490BC5"/>
    <w:rsid w:val="00490C52"/>
    <w:rsid w:val="00491817"/>
    <w:rsid w:val="00493864"/>
    <w:rsid w:val="0049393E"/>
    <w:rsid w:val="00494150"/>
    <w:rsid w:val="00494670"/>
    <w:rsid w:val="00494CEA"/>
    <w:rsid w:val="00495129"/>
    <w:rsid w:val="004962EF"/>
    <w:rsid w:val="00496447"/>
    <w:rsid w:val="00496861"/>
    <w:rsid w:val="00496B26"/>
    <w:rsid w:val="00497176"/>
    <w:rsid w:val="004976C4"/>
    <w:rsid w:val="004A03E3"/>
    <w:rsid w:val="004A0574"/>
    <w:rsid w:val="004A1016"/>
    <w:rsid w:val="004A1589"/>
    <w:rsid w:val="004A18B6"/>
    <w:rsid w:val="004A2836"/>
    <w:rsid w:val="004A3823"/>
    <w:rsid w:val="004A3D08"/>
    <w:rsid w:val="004A4664"/>
    <w:rsid w:val="004A4BA8"/>
    <w:rsid w:val="004A6851"/>
    <w:rsid w:val="004A6C04"/>
    <w:rsid w:val="004A75CB"/>
    <w:rsid w:val="004A78EE"/>
    <w:rsid w:val="004A7B88"/>
    <w:rsid w:val="004A7E25"/>
    <w:rsid w:val="004B1FB4"/>
    <w:rsid w:val="004B2A1C"/>
    <w:rsid w:val="004B37BF"/>
    <w:rsid w:val="004B39AE"/>
    <w:rsid w:val="004B3D4E"/>
    <w:rsid w:val="004B5E9B"/>
    <w:rsid w:val="004C00A8"/>
    <w:rsid w:val="004C0139"/>
    <w:rsid w:val="004C0228"/>
    <w:rsid w:val="004C0B1D"/>
    <w:rsid w:val="004C0EF8"/>
    <w:rsid w:val="004C1E6E"/>
    <w:rsid w:val="004C1F38"/>
    <w:rsid w:val="004C210F"/>
    <w:rsid w:val="004C2380"/>
    <w:rsid w:val="004C3342"/>
    <w:rsid w:val="004C34E2"/>
    <w:rsid w:val="004C350A"/>
    <w:rsid w:val="004C35D9"/>
    <w:rsid w:val="004C363B"/>
    <w:rsid w:val="004C3F3E"/>
    <w:rsid w:val="004C4308"/>
    <w:rsid w:val="004C44BF"/>
    <w:rsid w:val="004C485F"/>
    <w:rsid w:val="004C4CDB"/>
    <w:rsid w:val="004C4E45"/>
    <w:rsid w:val="004C4E53"/>
    <w:rsid w:val="004C6DB9"/>
    <w:rsid w:val="004C7160"/>
    <w:rsid w:val="004D010D"/>
    <w:rsid w:val="004D0697"/>
    <w:rsid w:val="004D1F70"/>
    <w:rsid w:val="004D1FC4"/>
    <w:rsid w:val="004D25AC"/>
    <w:rsid w:val="004D26FB"/>
    <w:rsid w:val="004D2AF7"/>
    <w:rsid w:val="004D2F58"/>
    <w:rsid w:val="004D40AE"/>
    <w:rsid w:val="004D5E02"/>
    <w:rsid w:val="004D666C"/>
    <w:rsid w:val="004E0177"/>
    <w:rsid w:val="004E0528"/>
    <w:rsid w:val="004E1E13"/>
    <w:rsid w:val="004E207B"/>
    <w:rsid w:val="004E2AA8"/>
    <w:rsid w:val="004E30A2"/>
    <w:rsid w:val="004E43A1"/>
    <w:rsid w:val="004E47F1"/>
    <w:rsid w:val="004E54C8"/>
    <w:rsid w:val="004E6023"/>
    <w:rsid w:val="004E6083"/>
    <w:rsid w:val="004E6415"/>
    <w:rsid w:val="004E67C8"/>
    <w:rsid w:val="004E6946"/>
    <w:rsid w:val="004F0132"/>
    <w:rsid w:val="004F1619"/>
    <w:rsid w:val="004F16E0"/>
    <w:rsid w:val="004F1AD8"/>
    <w:rsid w:val="004F2076"/>
    <w:rsid w:val="004F2FA4"/>
    <w:rsid w:val="004F37E6"/>
    <w:rsid w:val="004F38BF"/>
    <w:rsid w:val="004F3BC0"/>
    <w:rsid w:val="004F4DDB"/>
    <w:rsid w:val="004F5DF8"/>
    <w:rsid w:val="004F70B4"/>
    <w:rsid w:val="004F76B3"/>
    <w:rsid w:val="004F7949"/>
    <w:rsid w:val="0050073A"/>
    <w:rsid w:val="00501A61"/>
    <w:rsid w:val="00502127"/>
    <w:rsid w:val="00502735"/>
    <w:rsid w:val="00502D53"/>
    <w:rsid w:val="005036B3"/>
    <w:rsid w:val="005036E8"/>
    <w:rsid w:val="005039CB"/>
    <w:rsid w:val="00503EE4"/>
    <w:rsid w:val="00504580"/>
    <w:rsid w:val="00504AF1"/>
    <w:rsid w:val="0050558F"/>
    <w:rsid w:val="005059EF"/>
    <w:rsid w:val="00505D53"/>
    <w:rsid w:val="005060CD"/>
    <w:rsid w:val="00506286"/>
    <w:rsid w:val="0050654D"/>
    <w:rsid w:val="00506564"/>
    <w:rsid w:val="005074D7"/>
    <w:rsid w:val="0050773C"/>
    <w:rsid w:val="0050786F"/>
    <w:rsid w:val="00510813"/>
    <w:rsid w:val="00511990"/>
    <w:rsid w:val="00511DE0"/>
    <w:rsid w:val="0051201D"/>
    <w:rsid w:val="0051264D"/>
    <w:rsid w:val="005141D0"/>
    <w:rsid w:val="00514870"/>
    <w:rsid w:val="00514B9B"/>
    <w:rsid w:val="00515018"/>
    <w:rsid w:val="005162AD"/>
    <w:rsid w:val="00516FE0"/>
    <w:rsid w:val="005176B0"/>
    <w:rsid w:val="005177F8"/>
    <w:rsid w:val="00517F02"/>
    <w:rsid w:val="00517FCA"/>
    <w:rsid w:val="00520E24"/>
    <w:rsid w:val="0052145F"/>
    <w:rsid w:val="005234AF"/>
    <w:rsid w:val="00523C6F"/>
    <w:rsid w:val="00523D2A"/>
    <w:rsid w:val="00524303"/>
    <w:rsid w:val="00524D56"/>
    <w:rsid w:val="00525445"/>
    <w:rsid w:val="005258A2"/>
    <w:rsid w:val="00525D28"/>
    <w:rsid w:val="00530207"/>
    <w:rsid w:val="005308A7"/>
    <w:rsid w:val="00531248"/>
    <w:rsid w:val="00531BD7"/>
    <w:rsid w:val="00533253"/>
    <w:rsid w:val="00533800"/>
    <w:rsid w:val="00533967"/>
    <w:rsid w:val="00534C5A"/>
    <w:rsid w:val="00535C62"/>
    <w:rsid w:val="005375BE"/>
    <w:rsid w:val="005375BF"/>
    <w:rsid w:val="00537DB1"/>
    <w:rsid w:val="005401AE"/>
    <w:rsid w:val="00540EA5"/>
    <w:rsid w:val="00540F7F"/>
    <w:rsid w:val="00541908"/>
    <w:rsid w:val="00541BBE"/>
    <w:rsid w:val="00542A05"/>
    <w:rsid w:val="00542B84"/>
    <w:rsid w:val="00542E07"/>
    <w:rsid w:val="00543E19"/>
    <w:rsid w:val="00543ED0"/>
    <w:rsid w:val="00545424"/>
    <w:rsid w:val="00545900"/>
    <w:rsid w:val="00545D92"/>
    <w:rsid w:val="00546F69"/>
    <w:rsid w:val="00547EFB"/>
    <w:rsid w:val="0055029B"/>
    <w:rsid w:val="00551CC9"/>
    <w:rsid w:val="00552BD1"/>
    <w:rsid w:val="00552BF6"/>
    <w:rsid w:val="00552DD2"/>
    <w:rsid w:val="0055396E"/>
    <w:rsid w:val="00554049"/>
    <w:rsid w:val="005548E1"/>
    <w:rsid w:val="00554A7B"/>
    <w:rsid w:val="0055572C"/>
    <w:rsid w:val="00556527"/>
    <w:rsid w:val="0055689B"/>
    <w:rsid w:val="00556B85"/>
    <w:rsid w:val="00557150"/>
    <w:rsid w:val="00557A8A"/>
    <w:rsid w:val="00560BFB"/>
    <w:rsid w:val="0056106A"/>
    <w:rsid w:val="00561DE5"/>
    <w:rsid w:val="00563DE4"/>
    <w:rsid w:val="0056488E"/>
    <w:rsid w:val="0056525B"/>
    <w:rsid w:val="00565A80"/>
    <w:rsid w:val="00565F25"/>
    <w:rsid w:val="005673C4"/>
    <w:rsid w:val="005720AE"/>
    <w:rsid w:val="00573E1E"/>
    <w:rsid w:val="0057407B"/>
    <w:rsid w:val="005741BF"/>
    <w:rsid w:val="0057486F"/>
    <w:rsid w:val="005752B4"/>
    <w:rsid w:val="0057784D"/>
    <w:rsid w:val="005807B3"/>
    <w:rsid w:val="0058324C"/>
    <w:rsid w:val="00583446"/>
    <w:rsid w:val="005840F0"/>
    <w:rsid w:val="00584250"/>
    <w:rsid w:val="0058464D"/>
    <w:rsid w:val="00584FEF"/>
    <w:rsid w:val="005850CE"/>
    <w:rsid w:val="00585A8E"/>
    <w:rsid w:val="00585B7A"/>
    <w:rsid w:val="005868B3"/>
    <w:rsid w:val="00587C3C"/>
    <w:rsid w:val="0059041D"/>
    <w:rsid w:val="00590F1E"/>
    <w:rsid w:val="00590F59"/>
    <w:rsid w:val="00592D29"/>
    <w:rsid w:val="0059379F"/>
    <w:rsid w:val="00594D77"/>
    <w:rsid w:val="00594E34"/>
    <w:rsid w:val="0059571E"/>
    <w:rsid w:val="005969E4"/>
    <w:rsid w:val="0059787D"/>
    <w:rsid w:val="005A06B7"/>
    <w:rsid w:val="005A08ED"/>
    <w:rsid w:val="005A0C30"/>
    <w:rsid w:val="005A12FD"/>
    <w:rsid w:val="005A1759"/>
    <w:rsid w:val="005A18E8"/>
    <w:rsid w:val="005A2998"/>
    <w:rsid w:val="005A33E4"/>
    <w:rsid w:val="005A3651"/>
    <w:rsid w:val="005A538D"/>
    <w:rsid w:val="005A588E"/>
    <w:rsid w:val="005A68A7"/>
    <w:rsid w:val="005A69FA"/>
    <w:rsid w:val="005A70CF"/>
    <w:rsid w:val="005A743B"/>
    <w:rsid w:val="005A7A7F"/>
    <w:rsid w:val="005B0DB7"/>
    <w:rsid w:val="005B126C"/>
    <w:rsid w:val="005B22F7"/>
    <w:rsid w:val="005B25FA"/>
    <w:rsid w:val="005B2751"/>
    <w:rsid w:val="005B2DB2"/>
    <w:rsid w:val="005B3120"/>
    <w:rsid w:val="005B5AA3"/>
    <w:rsid w:val="005B79B3"/>
    <w:rsid w:val="005C0494"/>
    <w:rsid w:val="005C07D2"/>
    <w:rsid w:val="005C0F9B"/>
    <w:rsid w:val="005C2028"/>
    <w:rsid w:val="005C2E44"/>
    <w:rsid w:val="005C3C28"/>
    <w:rsid w:val="005C3D9E"/>
    <w:rsid w:val="005C3E89"/>
    <w:rsid w:val="005C5650"/>
    <w:rsid w:val="005C57D5"/>
    <w:rsid w:val="005C587B"/>
    <w:rsid w:val="005C65EC"/>
    <w:rsid w:val="005C6FD6"/>
    <w:rsid w:val="005C7916"/>
    <w:rsid w:val="005D23AD"/>
    <w:rsid w:val="005D2738"/>
    <w:rsid w:val="005D36AB"/>
    <w:rsid w:val="005D3E78"/>
    <w:rsid w:val="005D42F3"/>
    <w:rsid w:val="005D5236"/>
    <w:rsid w:val="005D6CE9"/>
    <w:rsid w:val="005D7056"/>
    <w:rsid w:val="005E0AB1"/>
    <w:rsid w:val="005E1B41"/>
    <w:rsid w:val="005E23FF"/>
    <w:rsid w:val="005E2803"/>
    <w:rsid w:val="005E4ED2"/>
    <w:rsid w:val="005E4F4A"/>
    <w:rsid w:val="005E57E8"/>
    <w:rsid w:val="005E584B"/>
    <w:rsid w:val="005E6ECC"/>
    <w:rsid w:val="005E73E2"/>
    <w:rsid w:val="005E7720"/>
    <w:rsid w:val="005F06C9"/>
    <w:rsid w:val="005F13B3"/>
    <w:rsid w:val="005F1C10"/>
    <w:rsid w:val="005F22DE"/>
    <w:rsid w:val="005F2B02"/>
    <w:rsid w:val="005F2F97"/>
    <w:rsid w:val="005F35E5"/>
    <w:rsid w:val="005F3FA7"/>
    <w:rsid w:val="005F47B2"/>
    <w:rsid w:val="005F52EA"/>
    <w:rsid w:val="005F5742"/>
    <w:rsid w:val="005F601A"/>
    <w:rsid w:val="005F6287"/>
    <w:rsid w:val="005F6747"/>
    <w:rsid w:val="005F7798"/>
    <w:rsid w:val="005F786E"/>
    <w:rsid w:val="005F7962"/>
    <w:rsid w:val="00600F1A"/>
    <w:rsid w:val="0060208F"/>
    <w:rsid w:val="00602B9B"/>
    <w:rsid w:val="006035D0"/>
    <w:rsid w:val="006043EA"/>
    <w:rsid w:val="00604645"/>
    <w:rsid w:val="006058BF"/>
    <w:rsid w:val="00606966"/>
    <w:rsid w:val="00607283"/>
    <w:rsid w:val="00610B3D"/>
    <w:rsid w:val="006124F2"/>
    <w:rsid w:val="00612DF4"/>
    <w:rsid w:val="006131B0"/>
    <w:rsid w:val="006137DE"/>
    <w:rsid w:val="006144AA"/>
    <w:rsid w:val="00614827"/>
    <w:rsid w:val="00615B99"/>
    <w:rsid w:val="00615EEA"/>
    <w:rsid w:val="00617C18"/>
    <w:rsid w:val="00617CC3"/>
    <w:rsid w:val="00620DC1"/>
    <w:rsid w:val="00620E29"/>
    <w:rsid w:val="00622642"/>
    <w:rsid w:val="00622734"/>
    <w:rsid w:val="006236E4"/>
    <w:rsid w:val="006246B4"/>
    <w:rsid w:val="006248AB"/>
    <w:rsid w:val="00624CA7"/>
    <w:rsid w:val="00624E1B"/>
    <w:rsid w:val="00626202"/>
    <w:rsid w:val="006300D8"/>
    <w:rsid w:val="006305A8"/>
    <w:rsid w:val="0063187A"/>
    <w:rsid w:val="0063250E"/>
    <w:rsid w:val="006332CB"/>
    <w:rsid w:val="00633D95"/>
    <w:rsid w:val="00634623"/>
    <w:rsid w:val="006353A5"/>
    <w:rsid w:val="0063576C"/>
    <w:rsid w:val="00636560"/>
    <w:rsid w:val="006367B2"/>
    <w:rsid w:val="0063688B"/>
    <w:rsid w:val="00636D2C"/>
    <w:rsid w:val="006377A6"/>
    <w:rsid w:val="00637A3D"/>
    <w:rsid w:val="00637B26"/>
    <w:rsid w:val="00637D8C"/>
    <w:rsid w:val="006403D7"/>
    <w:rsid w:val="00640DA5"/>
    <w:rsid w:val="006411EF"/>
    <w:rsid w:val="006425A4"/>
    <w:rsid w:val="006429A2"/>
    <w:rsid w:val="006444C8"/>
    <w:rsid w:val="006454EC"/>
    <w:rsid w:val="0064581C"/>
    <w:rsid w:val="00646618"/>
    <w:rsid w:val="00647AFD"/>
    <w:rsid w:val="00647D15"/>
    <w:rsid w:val="00647FEE"/>
    <w:rsid w:val="00650D80"/>
    <w:rsid w:val="006530C8"/>
    <w:rsid w:val="00653C6D"/>
    <w:rsid w:val="0065449F"/>
    <w:rsid w:val="006546CE"/>
    <w:rsid w:val="00654CC6"/>
    <w:rsid w:val="00654D49"/>
    <w:rsid w:val="00654DDC"/>
    <w:rsid w:val="006551D6"/>
    <w:rsid w:val="0065523D"/>
    <w:rsid w:val="00655E03"/>
    <w:rsid w:val="006562D7"/>
    <w:rsid w:val="00656441"/>
    <w:rsid w:val="00656571"/>
    <w:rsid w:val="00656B1F"/>
    <w:rsid w:val="006571EA"/>
    <w:rsid w:val="006575F0"/>
    <w:rsid w:val="00657617"/>
    <w:rsid w:val="006608EF"/>
    <w:rsid w:val="00661174"/>
    <w:rsid w:val="006620DE"/>
    <w:rsid w:val="00662783"/>
    <w:rsid w:val="00663409"/>
    <w:rsid w:val="0066435A"/>
    <w:rsid w:val="006660A8"/>
    <w:rsid w:val="006663FA"/>
    <w:rsid w:val="00666EC9"/>
    <w:rsid w:val="00667559"/>
    <w:rsid w:val="00670278"/>
    <w:rsid w:val="006704F4"/>
    <w:rsid w:val="00671B0A"/>
    <w:rsid w:val="00671FF3"/>
    <w:rsid w:val="00672E61"/>
    <w:rsid w:val="006748B8"/>
    <w:rsid w:val="00676115"/>
    <w:rsid w:val="00676DF9"/>
    <w:rsid w:val="006775C3"/>
    <w:rsid w:val="006801DD"/>
    <w:rsid w:val="0068182B"/>
    <w:rsid w:val="00681D08"/>
    <w:rsid w:val="00681D67"/>
    <w:rsid w:val="006824DC"/>
    <w:rsid w:val="00682DAA"/>
    <w:rsid w:val="00684AC2"/>
    <w:rsid w:val="0068566B"/>
    <w:rsid w:val="0068635E"/>
    <w:rsid w:val="006868CB"/>
    <w:rsid w:val="00686B50"/>
    <w:rsid w:val="006919EF"/>
    <w:rsid w:val="0069245D"/>
    <w:rsid w:val="0069290A"/>
    <w:rsid w:val="006929E8"/>
    <w:rsid w:val="00692CE4"/>
    <w:rsid w:val="00693080"/>
    <w:rsid w:val="00693D61"/>
    <w:rsid w:val="00693DB0"/>
    <w:rsid w:val="006944C0"/>
    <w:rsid w:val="00695BA1"/>
    <w:rsid w:val="0069775A"/>
    <w:rsid w:val="00697813"/>
    <w:rsid w:val="006A0DE2"/>
    <w:rsid w:val="006A13BF"/>
    <w:rsid w:val="006A1F95"/>
    <w:rsid w:val="006A235B"/>
    <w:rsid w:val="006A26A6"/>
    <w:rsid w:val="006A37F7"/>
    <w:rsid w:val="006A3E42"/>
    <w:rsid w:val="006A3EE8"/>
    <w:rsid w:val="006A4389"/>
    <w:rsid w:val="006A5AFD"/>
    <w:rsid w:val="006A72BF"/>
    <w:rsid w:val="006A73AE"/>
    <w:rsid w:val="006B0001"/>
    <w:rsid w:val="006B017B"/>
    <w:rsid w:val="006B03F2"/>
    <w:rsid w:val="006B246C"/>
    <w:rsid w:val="006B37DC"/>
    <w:rsid w:val="006B3C61"/>
    <w:rsid w:val="006B3E2E"/>
    <w:rsid w:val="006B464F"/>
    <w:rsid w:val="006B4E0C"/>
    <w:rsid w:val="006B4F68"/>
    <w:rsid w:val="006B717F"/>
    <w:rsid w:val="006B77A8"/>
    <w:rsid w:val="006C0592"/>
    <w:rsid w:val="006C0861"/>
    <w:rsid w:val="006C0890"/>
    <w:rsid w:val="006C0FC0"/>
    <w:rsid w:val="006C120C"/>
    <w:rsid w:val="006C1FDF"/>
    <w:rsid w:val="006C210A"/>
    <w:rsid w:val="006C2622"/>
    <w:rsid w:val="006C272E"/>
    <w:rsid w:val="006C34A6"/>
    <w:rsid w:val="006C38F7"/>
    <w:rsid w:val="006C3A8C"/>
    <w:rsid w:val="006C4443"/>
    <w:rsid w:val="006C44BD"/>
    <w:rsid w:val="006C47DB"/>
    <w:rsid w:val="006C5479"/>
    <w:rsid w:val="006C54FD"/>
    <w:rsid w:val="006C5872"/>
    <w:rsid w:val="006C5D57"/>
    <w:rsid w:val="006D13B5"/>
    <w:rsid w:val="006D1B16"/>
    <w:rsid w:val="006D439B"/>
    <w:rsid w:val="006D57D3"/>
    <w:rsid w:val="006D5E55"/>
    <w:rsid w:val="006D6174"/>
    <w:rsid w:val="006D79EC"/>
    <w:rsid w:val="006E027C"/>
    <w:rsid w:val="006E0462"/>
    <w:rsid w:val="006E0910"/>
    <w:rsid w:val="006E110E"/>
    <w:rsid w:val="006E12FF"/>
    <w:rsid w:val="006E1B80"/>
    <w:rsid w:val="006E1E98"/>
    <w:rsid w:val="006E2868"/>
    <w:rsid w:val="006E4A67"/>
    <w:rsid w:val="006E5413"/>
    <w:rsid w:val="006E607E"/>
    <w:rsid w:val="006E756A"/>
    <w:rsid w:val="006E7DD8"/>
    <w:rsid w:val="006F12D5"/>
    <w:rsid w:val="006F37A6"/>
    <w:rsid w:val="006F50F7"/>
    <w:rsid w:val="006F54A6"/>
    <w:rsid w:val="006F5761"/>
    <w:rsid w:val="006F72ED"/>
    <w:rsid w:val="006F7F33"/>
    <w:rsid w:val="00700E46"/>
    <w:rsid w:val="00701032"/>
    <w:rsid w:val="00701B6D"/>
    <w:rsid w:val="00701FCB"/>
    <w:rsid w:val="00702340"/>
    <w:rsid w:val="00703439"/>
    <w:rsid w:val="0070372C"/>
    <w:rsid w:val="00703B45"/>
    <w:rsid w:val="007041EE"/>
    <w:rsid w:val="00704D40"/>
    <w:rsid w:val="0070559C"/>
    <w:rsid w:val="007061C8"/>
    <w:rsid w:val="00706601"/>
    <w:rsid w:val="00706C5D"/>
    <w:rsid w:val="00707306"/>
    <w:rsid w:val="007075BE"/>
    <w:rsid w:val="00707D41"/>
    <w:rsid w:val="00707F95"/>
    <w:rsid w:val="007114F5"/>
    <w:rsid w:val="007121B0"/>
    <w:rsid w:val="00712478"/>
    <w:rsid w:val="0071341B"/>
    <w:rsid w:val="007145AD"/>
    <w:rsid w:val="007145B5"/>
    <w:rsid w:val="00714DA2"/>
    <w:rsid w:val="007153DC"/>
    <w:rsid w:val="00715585"/>
    <w:rsid w:val="00715F39"/>
    <w:rsid w:val="00716202"/>
    <w:rsid w:val="007162B0"/>
    <w:rsid w:val="00716C76"/>
    <w:rsid w:val="007176B9"/>
    <w:rsid w:val="00720250"/>
    <w:rsid w:val="007205EA"/>
    <w:rsid w:val="00720FF7"/>
    <w:rsid w:val="007217EF"/>
    <w:rsid w:val="007223B6"/>
    <w:rsid w:val="007228DB"/>
    <w:rsid w:val="00723774"/>
    <w:rsid w:val="00724A4C"/>
    <w:rsid w:val="007253EE"/>
    <w:rsid w:val="007262F8"/>
    <w:rsid w:val="00726FBC"/>
    <w:rsid w:val="00727817"/>
    <w:rsid w:val="00727CA3"/>
    <w:rsid w:val="00727E42"/>
    <w:rsid w:val="00727E7C"/>
    <w:rsid w:val="0073109C"/>
    <w:rsid w:val="00731623"/>
    <w:rsid w:val="00732154"/>
    <w:rsid w:val="00732922"/>
    <w:rsid w:val="00733112"/>
    <w:rsid w:val="00733A3C"/>
    <w:rsid w:val="00733D20"/>
    <w:rsid w:val="007357CB"/>
    <w:rsid w:val="00735FA0"/>
    <w:rsid w:val="0073661D"/>
    <w:rsid w:val="00736AC5"/>
    <w:rsid w:val="00736B4B"/>
    <w:rsid w:val="00736FAE"/>
    <w:rsid w:val="00737E0D"/>
    <w:rsid w:val="0074036F"/>
    <w:rsid w:val="00740A4A"/>
    <w:rsid w:val="00740E7F"/>
    <w:rsid w:val="00742682"/>
    <w:rsid w:val="007441EC"/>
    <w:rsid w:val="00744376"/>
    <w:rsid w:val="00746C91"/>
    <w:rsid w:val="00746C99"/>
    <w:rsid w:val="00746FA4"/>
    <w:rsid w:val="00747D25"/>
    <w:rsid w:val="007501EF"/>
    <w:rsid w:val="0075162E"/>
    <w:rsid w:val="0075174C"/>
    <w:rsid w:val="00752F00"/>
    <w:rsid w:val="00753C99"/>
    <w:rsid w:val="00754034"/>
    <w:rsid w:val="007540F7"/>
    <w:rsid w:val="00756556"/>
    <w:rsid w:val="007569E0"/>
    <w:rsid w:val="00761274"/>
    <w:rsid w:val="00761684"/>
    <w:rsid w:val="007618C4"/>
    <w:rsid w:val="007622DB"/>
    <w:rsid w:val="00763D1B"/>
    <w:rsid w:val="00763FBA"/>
    <w:rsid w:val="007652C2"/>
    <w:rsid w:val="00765735"/>
    <w:rsid w:val="00765CF8"/>
    <w:rsid w:val="007663A9"/>
    <w:rsid w:val="00767980"/>
    <w:rsid w:val="00770B19"/>
    <w:rsid w:val="00771517"/>
    <w:rsid w:val="007717E1"/>
    <w:rsid w:val="00771B37"/>
    <w:rsid w:val="00771C71"/>
    <w:rsid w:val="007722CF"/>
    <w:rsid w:val="0077234C"/>
    <w:rsid w:val="00772771"/>
    <w:rsid w:val="00773C0F"/>
    <w:rsid w:val="0077463F"/>
    <w:rsid w:val="007751A4"/>
    <w:rsid w:val="00775C23"/>
    <w:rsid w:val="00775DD4"/>
    <w:rsid w:val="007769F2"/>
    <w:rsid w:val="00776B3F"/>
    <w:rsid w:val="00776D17"/>
    <w:rsid w:val="007777AE"/>
    <w:rsid w:val="00777B16"/>
    <w:rsid w:val="00781615"/>
    <w:rsid w:val="007819A3"/>
    <w:rsid w:val="0078203B"/>
    <w:rsid w:val="00782079"/>
    <w:rsid w:val="00782950"/>
    <w:rsid w:val="00782C1A"/>
    <w:rsid w:val="00782E39"/>
    <w:rsid w:val="00782F14"/>
    <w:rsid w:val="007836EA"/>
    <w:rsid w:val="00784094"/>
    <w:rsid w:val="0078488F"/>
    <w:rsid w:val="00784CDA"/>
    <w:rsid w:val="007858C2"/>
    <w:rsid w:val="007862EC"/>
    <w:rsid w:val="00786BC9"/>
    <w:rsid w:val="007906C4"/>
    <w:rsid w:val="00790715"/>
    <w:rsid w:val="00790DF1"/>
    <w:rsid w:val="007919F9"/>
    <w:rsid w:val="00791A95"/>
    <w:rsid w:val="0079205C"/>
    <w:rsid w:val="007924BC"/>
    <w:rsid w:val="007929D1"/>
    <w:rsid w:val="00792D81"/>
    <w:rsid w:val="00793E83"/>
    <w:rsid w:val="007940EA"/>
    <w:rsid w:val="007943CA"/>
    <w:rsid w:val="00794584"/>
    <w:rsid w:val="00794DDB"/>
    <w:rsid w:val="007956C8"/>
    <w:rsid w:val="007957B6"/>
    <w:rsid w:val="007967E8"/>
    <w:rsid w:val="00797AC2"/>
    <w:rsid w:val="007A2170"/>
    <w:rsid w:val="007A22BF"/>
    <w:rsid w:val="007A22C5"/>
    <w:rsid w:val="007A3323"/>
    <w:rsid w:val="007A3E61"/>
    <w:rsid w:val="007A4F62"/>
    <w:rsid w:val="007A6106"/>
    <w:rsid w:val="007A688B"/>
    <w:rsid w:val="007A6A48"/>
    <w:rsid w:val="007A6AED"/>
    <w:rsid w:val="007A75B1"/>
    <w:rsid w:val="007B045F"/>
    <w:rsid w:val="007B14A8"/>
    <w:rsid w:val="007B2182"/>
    <w:rsid w:val="007B2867"/>
    <w:rsid w:val="007B2B4E"/>
    <w:rsid w:val="007B2DC3"/>
    <w:rsid w:val="007B2F94"/>
    <w:rsid w:val="007B384F"/>
    <w:rsid w:val="007B424C"/>
    <w:rsid w:val="007B46D1"/>
    <w:rsid w:val="007B5242"/>
    <w:rsid w:val="007B57FF"/>
    <w:rsid w:val="007B5B2F"/>
    <w:rsid w:val="007B5C48"/>
    <w:rsid w:val="007B6519"/>
    <w:rsid w:val="007B6EE3"/>
    <w:rsid w:val="007B70B1"/>
    <w:rsid w:val="007B7296"/>
    <w:rsid w:val="007B72B8"/>
    <w:rsid w:val="007B7A58"/>
    <w:rsid w:val="007C0A37"/>
    <w:rsid w:val="007C0C89"/>
    <w:rsid w:val="007C21B5"/>
    <w:rsid w:val="007C34E8"/>
    <w:rsid w:val="007C467F"/>
    <w:rsid w:val="007C4C0D"/>
    <w:rsid w:val="007C5192"/>
    <w:rsid w:val="007D04A1"/>
    <w:rsid w:val="007D0D79"/>
    <w:rsid w:val="007D11AC"/>
    <w:rsid w:val="007D20B0"/>
    <w:rsid w:val="007D3F84"/>
    <w:rsid w:val="007D46A2"/>
    <w:rsid w:val="007D54C3"/>
    <w:rsid w:val="007D5ECF"/>
    <w:rsid w:val="007D747E"/>
    <w:rsid w:val="007D7934"/>
    <w:rsid w:val="007E21ED"/>
    <w:rsid w:val="007E2CE9"/>
    <w:rsid w:val="007E3F72"/>
    <w:rsid w:val="007E46E0"/>
    <w:rsid w:val="007E47B9"/>
    <w:rsid w:val="007E4BD2"/>
    <w:rsid w:val="007E530F"/>
    <w:rsid w:val="007E673D"/>
    <w:rsid w:val="007E681E"/>
    <w:rsid w:val="007E7C74"/>
    <w:rsid w:val="007F226E"/>
    <w:rsid w:val="007F22A1"/>
    <w:rsid w:val="007F2A29"/>
    <w:rsid w:val="007F2D3F"/>
    <w:rsid w:val="007F2EE1"/>
    <w:rsid w:val="007F30C5"/>
    <w:rsid w:val="007F3344"/>
    <w:rsid w:val="007F4913"/>
    <w:rsid w:val="007F500D"/>
    <w:rsid w:val="007F6160"/>
    <w:rsid w:val="007F6A98"/>
    <w:rsid w:val="007F6AE2"/>
    <w:rsid w:val="007F6F97"/>
    <w:rsid w:val="008000B0"/>
    <w:rsid w:val="00800A42"/>
    <w:rsid w:val="00801393"/>
    <w:rsid w:val="00801AB9"/>
    <w:rsid w:val="00802C9A"/>
    <w:rsid w:val="00802F88"/>
    <w:rsid w:val="0080327A"/>
    <w:rsid w:val="00804645"/>
    <w:rsid w:val="00805218"/>
    <w:rsid w:val="00805944"/>
    <w:rsid w:val="008059A7"/>
    <w:rsid w:val="00807D72"/>
    <w:rsid w:val="00811449"/>
    <w:rsid w:val="0081222F"/>
    <w:rsid w:val="008127F4"/>
    <w:rsid w:val="0081293E"/>
    <w:rsid w:val="00812C5C"/>
    <w:rsid w:val="0081390C"/>
    <w:rsid w:val="00813A62"/>
    <w:rsid w:val="00813B50"/>
    <w:rsid w:val="008142B6"/>
    <w:rsid w:val="008151F1"/>
    <w:rsid w:val="00815465"/>
    <w:rsid w:val="00816DA4"/>
    <w:rsid w:val="00817E9A"/>
    <w:rsid w:val="00820785"/>
    <w:rsid w:val="00820D3B"/>
    <w:rsid w:val="00821233"/>
    <w:rsid w:val="00821443"/>
    <w:rsid w:val="00821A70"/>
    <w:rsid w:val="00823315"/>
    <w:rsid w:val="0082363D"/>
    <w:rsid w:val="00825BBA"/>
    <w:rsid w:val="00825D7D"/>
    <w:rsid w:val="00826135"/>
    <w:rsid w:val="00827056"/>
    <w:rsid w:val="008271A3"/>
    <w:rsid w:val="008301C3"/>
    <w:rsid w:val="0083055E"/>
    <w:rsid w:val="008306BD"/>
    <w:rsid w:val="00830B5A"/>
    <w:rsid w:val="00831A80"/>
    <w:rsid w:val="00832D73"/>
    <w:rsid w:val="008336D6"/>
    <w:rsid w:val="00833743"/>
    <w:rsid w:val="008338C8"/>
    <w:rsid w:val="00833A2B"/>
    <w:rsid w:val="00833DB1"/>
    <w:rsid w:val="008340A4"/>
    <w:rsid w:val="00834332"/>
    <w:rsid w:val="00834785"/>
    <w:rsid w:val="0083553C"/>
    <w:rsid w:val="00837A8F"/>
    <w:rsid w:val="0084065B"/>
    <w:rsid w:val="00840666"/>
    <w:rsid w:val="008412B0"/>
    <w:rsid w:val="008420D0"/>
    <w:rsid w:val="008430D6"/>
    <w:rsid w:val="008434DD"/>
    <w:rsid w:val="00843BD7"/>
    <w:rsid w:val="00843C71"/>
    <w:rsid w:val="00843FF5"/>
    <w:rsid w:val="0084450A"/>
    <w:rsid w:val="008446C3"/>
    <w:rsid w:val="008457B0"/>
    <w:rsid w:val="00845A86"/>
    <w:rsid w:val="00846219"/>
    <w:rsid w:val="00846525"/>
    <w:rsid w:val="00846ABE"/>
    <w:rsid w:val="00847EA2"/>
    <w:rsid w:val="0085049E"/>
    <w:rsid w:val="008509C7"/>
    <w:rsid w:val="0085145E"/>
    <w:rsid w:val="00851928"/>
    <w:rsid w:val="008534D5"/>
    <w:rsid w:val="00854125"/>
    <w:rsid w:val="00854743"/>
    <w:rsid w:val="008550C1"/>
    <w:rsid w:val="00857F8E"/>
    <w:rsid w:val="00863179"/>
    <w:rsid w:val="0086327E"/>
    <w:rsid w:val="0086384B"/>
    <w:rsid w:val="008641DD"/>
    <w:rsid w:val="008657C2"/>
    <w:rsid w:val="00865D00"/>
    <w:rsid w:val="00866447"/>
    <w:rsid w:val="00870636"/>
    <w:rsid w:val="00870859"/>
    <w:rsid w:val="008711DA"/>
    <w:rsid w:val="0087135F"/>
    <w:rsid w:val="00871B54"/>
    <w:rsid w:val="00871DC4"/>
    <w:rsid w:val="0087243A"/>
    <w:rsid w:val="008726D3"/>
    <w:rsid w:val="00872705"/>
    <w:rsid w:val="00872D94"/>
    <w:rsid w:val="0087302A"/>
    <w:rsid w:val="0087381F"/>
    <w:rsid w:val="008748EA"/>
    <w:rsid w:val="00874FDC"/>
    <w:rsid w:val="00875864"/>
    <w:rsid w:val="00875A3B"/>
    <w:rsid w:val="00876CED"/>
    <w:rsid w:val="00876D4F"/>
    <w:rsid w:val="00877CA8"/>
    <w:rsid w:val="00880364"/>
    <w:rsid w:val="00882870"/>
    <w:rsid w:val="00882C11"/>
    <w:rsid w:val="00882D43"/>
    <w:rsid w:val="00883B27"/>
    <w:rsid w:val="00884E64"/>
    <w:rsid w:val="0088580F"/>
    <w:rsid w:val="008860A2"/>
    <w:rsid w:val="00886D99"/>
    <w:rsid w:val="00887192"/>
    <w:rsid w:val="008871DF"/>
    <w:rsid w:val="008873DB"/>
    <w:rsid w:val="008874A4"/>
    <w:rsid w:val="00887961"/>
    <w:rsid w:val="0089001A"/>
    <w:rsid w:val="00890F8D"/>
    <w:rsid w:val="00891592"/>
    <w:rsid w:val="00891E9E"/>
    <w:rsid w:val="008927AA"/>
    <w:rsid w:val="0089374B"/>
    <w:rsid w:val="00894B49"/>
    <w:rsid w:val="00895421"/>
    <w:rsid w:val="008972E8"/>
    <w:rsid w:val="008978BA"/>
    <w:rsid w:val="0089795C"/>
    <w:rsid w:val="008A0A6D"/>
    <w:rsid w:val="008A22DD"/>
    <w:rsid w:val="008A2F68"/>
    <w:rsid w:val="008A3054"/>
    <w:rsid w:val="008A35C6"/>
    <w:rsid w:val="008A44ED"/>
    <w:rsid w:val="008A4A19"/>
    <w:rsid w:val="008A4DA7"/>
    <w:rsid w:val="008A6344"/>
    <w:rsid w:val="008B04F0"/>
    <w:rsid w:val="008B07F4"/>
    <w:rsid w:val="008B0C94"/>
    <w:rsid w:val="008B2188"/>
    <w:rsid w:val="008B2895"/>
    <w:rsid w:val="008B3187"/>
    <w:rsid w:val="008B31E5"/>
    <w:rsid w:val="008B3495"/>
    <w:rsid w:val="008B3FAA"/>
    <w:rsid w:val="008B408E"/>
    <w:rsid w:val="008B44F9"/>
    <w:rsid w:val="008B4889"/>
    <w:rsid w:val="008B4BEA"/>
    <w:rsid w:val="008B4FA6"/>
    <w:rsid w:val="008B5282"/>
    <w:rsid w:val="008B6391"/>
    <w:rsid w:val="008B6420"/>
    <w:rsid w:val="008B660B"/>
    <w:rsid w:val="008B692D"/>
    <w:rsid w:val="008B696A"/>
    <w:rsid w:val="008B6D7B"/>
    <w:rsid w:val="008B6F3D"/>
    <w:rsid w:val="008B79F6"/>
    <w:rsid w:val="008B7C17"/>
    <w:rsid w:val="008C11AD"/>
    <w:rsid w:val="008C1333"/>
    <w:rsid w:val="008C215A"/>
    <w:rsid w:val="008C2296"/>
    <w:rsid w:val="008C27BE"/>
    <w:rsid w:val="008C2D01"/>
    <w:rsid w:val="008C40E6"/>
    <w:rsid w:val="008C4890"/>
    <w:rsid w:val="008C4A00"/>
    <w:rsid w:val="008C6A10"/>
    <w:rsid w:val="008C7E5A"/>
    <w:rsid w:val="008D0C8C"/>
    <w:rsid w:val="008D0F7A"/>
    <w:rsid w:val="008D3A57"/>
    <w:rsid w:val="008D3AFF"/>
    <w:rsid w:val="008D4705"/>
    <w:rsid w:val="008D61AC"/>
    <w:rsid w:val="008D68E4"/>
    <w:rsid w:val="008D6904"/>
    <w:rsid w:val="008D695D"/>
    <w:rsid w:val="008E0506"/>
    <w:rsid w:val="008E05F9"/>
    <w:rsid w:val="008E0CFF"/>
    <w:rsid w:val="008E0F44"/>
    <w:rsid w:val="008E20C9"/>
    <w:rsid w:val="008E3584"/>
    <w:rsid w:val="008E4245"/>
    <w:rsid w:val="008E4CC1"/>
    <w:rsid w:val="008E4CCC"/>
    <w:rsid w:val="008E53B9"/>
    <w:rsid w:val="008E5931"/>
    <w:rsid w:val="008E5977"/>
    <w:rsid w:val="008E5D6B"/>
    <w:rsid w:val="008E5E05"/>
    <w:rsid w:val="008E6447"/>
    <w:rsid w:val="008E6CCB"/>
    <w:rsid w:val="008E76F0"/>
    <w:rsid w:val="008F0EBF"/>
    <w:rsid w:val="008F15FE"/>
    <w:rsid w:val="008F2BF2"/>
    <w:rsid w:val="008F2D29"/>
    <w:rsid w:val="008F47B8"/>
    <w:rsid w:val="008F4940"/>
    <w:rsid w:val="008F5187"/>
    <w:rsid w:val="008F546A"/>
    <w:rsid w:val="008F58B9"/>
    <w:rsid w:val="008F59CA"/>
    <w:rsid w:val="008F5D8C"/>
    <w:rsid w:val="008F5EEC"/>
    <w:rsid w:val="008F60D8"/>
    <w:rsid w:val="008F65E6"/>
    <w:rsid w:val="008F7150"/>
    <w:rsid w:val="008F7402"/>
    <w:rsid w:val="008F7627"/>
    <w:rsid w:val="008F7A21"/>
    <w:rsid w:val="009013CA"/>
    <w:rsid w:val="0090143D"/>
    <w:rsid w:val="00902727"/>
    <w:rsid w:val="0090312B"/>
    <w:rsid w:val="009035BB"/>
    <w:rsid w:val="009035C1"/>
    <w:rsid w:val="00904994"/>
    <w:rsid w:val="00904D2F"/>
    <w:rsid w:val="00905A3E"/>
    <w:rsid w:val="009062F3"/>
    <w:rsid w:val="00907498"/>
    <w:rsid w:val="0090766E"/>
    <w:rsid w:val="00907877"/>
    <w:rsid w:val="00910067"/>
    <w:rsid w:val="009101A9"/>
    <w:rsid w:val="009101BB"/>
    <w:rsid w:val="00910809"/>
    <w:rsid w:val="00910B6D"/>
    <w:rsid w:val="00910E18"/>
    <w:rsid w:val="00912C34"/>
    <w:rsid w:val="00914870"/>
    <w:rsid w:val="00914CCD"/>
    <w:rsid w:val="00914FBE"/>
    <w:rsid w:val="00915A7C"/>
    <w:rsid w:val="00915C12"/>
    <w:rsid w:val="00916434"/>
    <w:rsid w:val="0091678E"/>
    <w:rsid w:val="0091736D"/>
    <w:rsid w:val="009175F1"/>
    <w:rsid w:val="00917DB6"/>
    <w:rsid w:val="00917F51"/>
    <w:rsid w:val="0092148D"/>
    <w:rsid w:val="00922929"/>
    <w:rsid w:val="00925618"/>
    <w:rsid w:val="009262AB"/>
    <w:rsid w:val="00927274"/>
    <w:rsid w:val="00927457"/>
    <w:rsid w:val="00927460"/>
    <w:rsid w:val="0093037A"/>
    <w:rsid w:val="00930759"/>
    <w:rsid w:val="00931996"/>
    <w:rsid w:val="00932A00"/>
    <w:rsid w:val="00935EA4"/>
    <w:rsid w:val="009361EC"/>
    <w:rsid w:val="009365BD"/>
    <w:rsid w:val="0093718F"/>
    <w:rsid w:val="009377D9"/>
    <w:rsid w:val="0094032D"/>
    <w:rsid w:val="0094067C"/>
    <w:rsid w:val="00941372"/>
    <w:rsid w:val="0094154D"/>
    <w:rsid w:val="00941593"/>
    <w:rsid w:val="00941D2E"/>
    <w:rsid w:val="00941D45"/>
    <w:rsid w:val="00942FFC"/>
    <w:rsid w:val="0094364E"/>
    <w:rsid w:val="00943F97"/>
    <w:rsid w:val="00945C79"/>
    <w:rsid w:val="00950C80"/>
    <w:rsid w:val="009510C4"/>
    <w:rsid w:val="0095155F"/>
    <w:rsid w:val="00951FCD"/>
    <w:rsid w:val="009521F2"/>
    <w:rsid w:val="00953652"/>
    <w:rsid w:val="009536C1"/>
    <w:rsid w:val="00954429"/>
    <w:rsid w:val="009563CE"/>
    <w:rsid w:val="00956E39"/>
    <w:rsid w:val="0096017F"/>
    <w:rsid w:val="009618FA"/>
    <w:rsid w:val="00961AA8"/>
    <w:rsid w:val="00961D64"/>
    <w:rsid w:val="00961ECC"/>
    <w:rsid w:val="00961F78"/>
    <w:rsid w:val="00962053"/>
    <w:rsid w:val="0096275B"/>
    <w:rsid w:val="009632C5"/>
    <w:rsid w:val="00963948"/>
    <w:rsid w:val="00964AE1"/>
    <w:rsid w:val="00964FAE"/>
    <w:rsid w:val="00965D21"/>
    <w:rsid w:val="0096616C"/>
    <w:rsid w:val="009662C8"/>
    <w:rsid w:val="00967F1D"/>
    <w:rsid w:val="00970FC4"/>
    <w:rsid w:val="00971149"/>
    <w:rsid w:val="00971356"/>
    <w:rsid w:val="0097195C"/>
    <w:rsid w:val="00971F8F"/>
    <w:rsid w:val="009724BA"/>
    <w:rsid w:val="00972FB9"/>
    <w:rsid w:val="00975227"/>
    <w:rsid w:val="009757B8"/>
    <w:rsid w:val="00976328"/>
    <w:rsid w:val="009767F3"/>
    <w:rsid w:val="0097680D"/>
    <w:rsid w:val="00977008"/>
    <w:rsid w:val="00977FC6"/>
    <w:rsid w:val="00977FD5"/>
    <w:rsid w:val="009801B1"/>
    <w:rsid w:val="009810D1"/>
    <w:rsid w:val="00982438"/>
    <w:rsid w:val="009834F9"/>
    <w:rsid w:val="0098404C"/>
    <w:rsid w:val="009847E4"/>
    <w:rsid w:val="00985283"/>
    <w:rsid w:val="0098566C"/>
    <w:rsid w:val="00990017"/>
    <w:rsid w:val="00990720"/>
    <w:rsid w:val="009909F3"/>
    <w:rsid w:val="009919D9"/>
    <w:rsid w:val="00991DAC"/>
    <w:rsid w:val="009924FA"/>
    <w:rsid w:val="00993E7C"/>
    <w:rsid w:val="00994A9A"/>
    <w:rsid w:val="0099597B"/>
    <w:rsid w:val="00995991"/>
    <w:rsid w:val="00995992"/>
    <w:rsid w:val="009963B7"/>
    <w:rsid w:val="00997489"/>
    <w:rsid w:val="00997901"/>
    <w:rsid w:val="009A03E5"/>
    <w:rsid w:val="009A0F3B"/>
    <w:rsid w:val="009A1BB4"/>
    <w:rsid w:val="009A1CEB"/>
    <w:rsid w:val="009A2628"/>
    <w:rsid w:val="009A300F"/>
    <w:rsid w:val="009A3200"/>
    <w:rsid w:val="009A3428"/>
    <w:rsid w:val="009A3884"/>
    <w:rsid w:val="009A3F50"/>
    <w:rsid w:val="009A472C"/>
    <w:rsid w:val="009A6694"/>
    <w:rsid w:val="009A7915"/>
    <w:rsid w:val="009B02F7"/>
    <w:rsid w:val="009B05F2"/>
    <w:rsid w:val="009B0897"/>
    <w:rsid w:val="009B13CA"/>
    <w:rsid w:val="009B2286"/>
    <w:rsid w:val="009B2D5D"/>
    <w:rsid w:val="009B2FF5"/>
    <w:rsid w:val="009B3A4C"/>
    <w:rsid w:val="009B3C10"/>
    <w:rsid w:val="009B3D91"/>
    <w:rsid w:val="009B4753"/>
    <w:rsid w:val="009B4C40"/>
    <w:rsid w:val="009B61CC"/>
    <w:rsid w:val="009B624F"/>
    <w:rsid w:val="009B7BD9"/>
    <w:rsid w:val="009C097F"/>
    <w:rsid w:val="009C0B00"/>
    <w:rsid w:val="009C24F1"/>
    <w:rsid w:val="009C29F0"/>
    <w:rsid w:val="009C31F0"/>
    <w:rsid w:val="009C3AA5"/>
    <w:rsid w:val="009C3E9F"/>
    <w:rsid w:val="009C5D1E"/>
    <w:rsid w:val="009C5E3A"/>
    <w:rsid w:val="009C5FA8"/>
    <w:rsid w:val="009C7DD5"/>
    <w:rsid w:val="009D0799"/>
    <w:rsid w:val="009D0F38"/>
    <w:rsid w:val="009D17E1"/>
    <w:rsid w:val="009D23EC"/>
    <w:rsid w:val="009D2774"/>
    <w:rsid w:val="009D2835"/>
    <w:rsid w:val="009D2E0D"/>
    <w:rsid w:val="009D3C1B"/>
    <w:rsid w:val="009D55CB"/>
    <w:rsid w:val="009D6174"/>
    <w:rsid w:val="009D62FE"/>
    <w:rsid w:val="009D69C4"/>
    <w:rsid w:val="009D7AFD"/>
    <w:rsid w:val="009E08F4"/>
    <w:rsid w:val="009E0BBC"/>
    <w:rsid w:val="009E16CA"/>
    <w:rsid w:val="009E227D"/>
    <w:rsid w:val="009E2C0F"/>
    <w:rsid w:val="009E349A"/>
    <w:rsid w:val="009E4645"/>
    <w:rsid w:val="009E4C86"/>
    <w:rsid w:val="009E5019"/>
    <w:rsid w:val="009E506F"/>
    <w:rsid w:val="009E5957"/>
    <w:rsid w:val="009E602C"/>
    <w:rsid w:val="009F1822"/>
    <w:rsid w:val="009F3226"/>
    <w:rsid w:val="009F4277"/>
    <w:rsid w:val="009F4950"/>
    <w:rsid w:val="009F575C"/>
    <w:rsid w:val="009F57C0"/>
    <w:rsid w:val="009F63B8"/>
    <w:rsid w:val="009F643E"/>
    <w:rsid w:val="009F658C"/>
    <w:rsid w:val="00A00266"/>
    <w:rsid w:val="00A00B71"/>
    <w:rsid w:val="00A00BB0"/>
    <w:rsid w:val="00A03D1F"/>
    <w:rsid w:val="00A0431B"/>
    <w:rsid w:val="00A04BB6"/>
    <w:rsid w:val="00A04C02"/>
    <w:rsid w:val="00A04F1B"/>
    <w:rsid w:val="00A0501B"/>
    <w:rsid w:val="00A0525D"/>
    <w:rsid w:val="00A06C0E"/>
    <w:rsid w:val="00A06FCA"/>
    <w:rsid w:val="00A0732B"/>
    <w:rsid w:val="00A07391"/>
    <w:rsid w:val="00A12AF3"/>
    <w:rsid w:val="00A134AC"/>
    <w:rsid w:val="00A1450F"/>
    <w:rsid w:val="00A14947"/>
    <w:rsid w:val="00A14BF1"/>
    <w:rsid w:val="00A151BA"/>
    <w:rsid w:val="00A15475"/>
    <w:rsid w:val="00A15D2A"/>
    <w:rsid w:val="00A15D5F"/>
    <w:rsid w:val="00A15F68"/>
    <w:rsid w:val="00A163E3"/>
    <w:rsid w:val="00A168DE"/>
    <w:rsid w:val="00A17F1F"/>
    <w:rsid w:val="00A204D0"/>
    <w:rsid w:val="00A208C8"/>
    <w:rsid w:val="00A20A90"/>
    <w:rsid w:val="00A22415"/>
    <w:rsid w:val="00A22BF5"/>
    <w:rsid w:val="00A239BF"/>
    <w:rsid w:val="00A23FF0"/>
    <w:rsid w:val="00A25E7D"/>
    <w:rsid w:val="00A25F8A"/>
    <w:rsid w:val="00A277CA"/>
    <w:rsid w:val="00A30B01"/>
    <w:rsid w:val="00A30C75"/>
    <w:rsid w:val="00A30FF5"/>
    <w:rsid w:val="00A31801"/>
    <w:rsid w:val="00A31D3D"/>
    <w:rsid w:val="00A322FA"/>
    <w:rsid w:val="00A3243F"/>
    <w:rsid w:val="00A32A83"/>
    <w:rsid w:val="00A335CD"/>
    <w:rsid w:val="00A33CFF"/>
    <w:rsid w:val="00A346EA"/>
    <w:rsid w:val="00A34990"/>
    <w:rsid w:val="00A34FC4"/>
    <w:rsid w:val="00A351D4"/>
    <w:rsid w:val="00A35728"/>
    <w:rsid w:val="00A35814"/>
    <w:rsid w:val="00A35A14"/>
    <w:rsid w:val="00A35CFB"/>
    <w:rsid w:val="00A368DB"/>
    <w:rsid w:val="00A36C50"/>
    <w:rsid w:val="00A37086"/>
    <w:rsid w:val="00A370AE"/>
    <w:rsid w:val="00A37ADD"/>
    <w:rsid w:val="00A37FB0"/>
    <w:rsid w:val="00A40463"/>
    <w:rsid w:val="00A408AB"/>
    <w:rsid w:val="00A41828"/>
    <w:rsid w:val="00A41A52"/>
    <w:rsid w:val="00A41D3A"/>
    <w:rsid w:val="00A421B4"/>
    <w:rsid w:val="00A423AA"/>
    <w:rsid w:val="00A4270A"/>
    <w:rsid w:val="00A44E52"/>
    <w:rsid w:val="00A454CE"/>
    <w:rsid w:val="00A46FC1"/>
    <w:rsid w:val="00A50051"/>
    <w:rsid w:val="00A5091E"/>
    <w:rsid w:val="00A516EE"/>
    <w:rsid w:val="00A5193A"/>
    <w:rsid w:val="00A51C9C"/>
    <w:rsid w:val="00A51E46"/>
    <w:rsid w:val="00A52258"/>
    <w:rsid w:val="00A526A0"/>
    <w:rsid w:val="00A52AD0"/>
    <w:rsid w:val="00A52D8F"/>
    <w:rsid w:val="00A530D1"/>
    <w:rsid w:val="00A53EC6"/>
    <w:rsid w:val="00A54A9A"/>
    <w:rsid w:val="00A54EA0"/>
    <w:rsid w:val="00A552A3"/>
    <w:rsid w:val="00A55B82"/>
    <w:rsid w:val="00A55C0F"/>
    <w:rsid w:val="00A57840"/>
    <w:rsid w:val="00A601C2"/>
    <w:rsid w:val="00A6040F"/>
    <w:rsid w:val="00A60E13"/>
    <w:rsid w:val="00A6167F"/>
    <w:rsid w:val="00A61E4A"/>
    <w:rsid w:val="00A62D97"/>
    <w:rsid w:val="00A62E93"/>
    <w:rsid w:val="00A63760"/>
    <w:rsid w:val="00A64414"/>
    <w:rsid w:val="00A64617"/>
    <w:rsid w:val="00A64E24"/>
    <w:rsid w:val="00A6530D"/>
    <w:rsid w:val="00A65960"/>
    <w:rsid w:val="00A668BB"/>
    <w:rsid w:val="00A679CF"/>
    <w:rsid w:val="00A71112"/>
    <w:rsid w:val="00A7116A"/>
    <w:rsid w:val="00A71263"/>
    <w:rsid w:val="00A72149"/>
    <w:rsid w:val="00A752D0"/>
    <w:rsid w:val="00A8007B"/>
    <w:rsid w:val="00A800B7"/>
    <w:rsid w:val="00A801F4"/>
    <w:rsid w:val="00A80ECD"/>
    <w:rsid w:val="00A81330"/>
    <w:rsid w:val="00A81CD6"/>
    <w:rsid w:val="00A81D80"/>
    <w:rsid w:val="00A83595"/>
    <w:rsid w:val="00A839DB"/>
    <w:rsid w:val="00A86684"/>
    <w:rsid w:val="00A8713F"/>
    <w:rsid w:val="00A8737F"/>
    <w:rsid w:val="00A90BA1"/>
    <w:rsid w:val="00A92436"/>
    <w:rsid w:val="00A9321D"/>
    <w:rsid w:val="00A932FF"/>
    <w:rsid w:val="00A937C1"/>
    <w:rsid w:val="00A937CE"/>
    <w:rsid w:val="00A93891"/>
    <w:rsid w:val="00A942D8"/>
    <w:rsid w:val="00A9440E"/>
    <w:rsid w:val="00A94D93"/>
    <w:rsid w:val="00A951DD"/>
    <w:rsid w:val="00A9553E"/>
    <w:rsid w:val="00A96274"/>
    <w:rsid w:val="00A96355"/>
    <w:rsid w:val="00A96997"/>
    <w:rsid w:val="00A96E78"/>
    <w:rsid w:val="00A973A3"/>
    <w:rsid w:val="00A97A33"/>
    <w:rsid w:val="00A97A9A"/>
    <w:rsid w:val="00A97AA9"/>
    <w:rsid w:val="00AA04ED"/>
    <w:rsid w:val="00AA0671"/>
    <w:rsid w:val="00AA0EBF"/>
    <w:rsid w:val="00AA126A"/>
    <w:rsid w:val="00AA1BD4"/>
    <w:rsid w:val="00AA2531"/>
    <w:rsid w:val="00AA3377"/>
    <w:rsid w:val="00AA35AE"/>
    <w:rsid w:val="00AA37E9"/>
    <w:rsid w:val="00AA3852"/>
    <w:rsid w:val="00AA3CE1"/>
    <w:rsid w:val="00AA468B"/>
    <w:rsid w:val="00AA498B"/>
    <w:rsid w:val="00AA4B93"/>
    <w:rsid w:val="00AA6308"/>
    <w:rsid w:val="00AA6AB7"/>
    <w:rsid w:val="00AB02F3"/>
    <w:rsid w:val="00AB1791"/>
    <w:rsid w:val="00AB1E09"/>
    <w:rsid w:val="00AB25D2"/>
    <w:rsid w:val="00AB3049"/>
    <w:rsid w:val="00AB3420"/>
    <w:rsid w:val="00AB3774"/>
    <w:rsid w:val="00AB3FC1"/>
    <w:rsid w:val="00AB5330"/>
    <w:rsid w:val="00AB674B"/>
    <w:rsid w:val="00AB6DAA"/>
    <w:rsid w:val="00AB7747"/>
    <w:rsid w:val="00AB7A93"/>
    <w:rsid w:val="00AB7FF6"/>
    <w:rsid w:val="00AC0A26"/>
    <w:rsid w:val="00AC10FD"/>
    <w:rsid w:val="00AC14CE"/>
    <w:rsid w:val="00AC161A"/>
    <w:rsid w:val="00AC1B44"/>
    <w:rsid w:val="00AC2184"/>
    <w:rsid w:val="00AC253D"/>
    <w:rsid w:val="00AC2A56"/>
    <w:rsid w:val="00AC379C"/>
    <w:rsid w:val="00AC4BD7"/>
    <w:rsid w:val="00AC4D39"/>
    <w:rsid w:val="00AC5170"/>
    <w:rsid w:val="00AC5CF4"/>
    <w:rsid w:val="00AC6BE4"/>
    <w:rsid w:val="00AC6F49"/>
    <w:rsid w:val="00AC6FCD"/>
    <w:rsid w:val="00AC7758"/>
    <w:rsid w:val="00AD01F0"/>
    <w:rsid w:val="00AD055E"/>
    <w:rsid w:val="00AD08C2"/>
    <w:rsid w:val="00AD1273"/>
    <w:rsid w:val="00AD2DBC"/>
    <w:rsid w:val="00AD47A7"/>
    <w:rsid w:val="00AD49A9"/>
    <w:rsid w:val="00AD5475"/>
    <w:rsid w:val="00AE0794"/>
    <w:rsid w:val="00AE16C9"/>
    <w:rsid w:val="00AE17D9"/>
    <w:rsid w:val="00AE233B"/>
    <w:rsid w:val="00AE422E"/>
    <w:rsid w:val="00AE48B7"/>
    <w:rsid w:val="00AE59FF"/>
    <w:rsid w:val="00AE5FF9"/>
    <w:rsid w:val="00AE6598"/>
    <w:rsid w:val="00AE7528"/>
    <w:rsid w:val="00AE7CDC"/>
    <w:rsid w:val="00AF0B5D"/>
    <w:rsid w:val="00AF0CBF"/>
    <w:rsid w:val="00AF1544"/>
    <w:rsid w:val="00AF16BF"/>
    <w:rsid w:val="00AF257F"/>
    <w:rsid w:val="00AF259A"/>
    <w:rsid w:val="00AF26FB"/>
    <w:rsid w:val="00AF2BA8"/>
    <w:rsid w:val="00AF2C83"/>
    <w:rsid w:val="00AF3013"/>
    <w:rsid w:val="00AF33CF"/>
    <w:rsid w:val="00AF3B19"/>
    <w:rsid w:val="00AF471B"/>
    <w:rsid w:val="00AF4D50"/>
    <w:rsid w:val="00AF574D"/>
    <w:rsid w:val="00AF5921"/>
    <w:rsid w:val="00AF6179"/>
    <w:rsid w:val="00AF697D"/>
    <w:rsid w:val="00B00B84"/>
    <w:rsid w:val="00B019C7"/>
    <w:rsid w:val="00B02D4D"/>
    <w:rsid w:val="00B02FD6"/>
    <w:rsid w:val="00B033D6"/>
    <w:rsid w:val="00B0357D"/>
    <w:rsid w:val="00B04361"/>
    <w:rsid w:val="00B04D22"/>
    <w:rsid w:val="00B04F45"/>
    <w:rsid w:val="00B05303"/>
    <w:rsid w:val="00B06889"/>
    <w:rsid w:val="00B07631"/>
    <w:rsid w:val="00B07B78"/>
    <w:rsid w:val="00B103AD"/>
    <w:rsid w:val="00B12920"/>
    <w:rsid w:val="00B1295A"/>
    <w:rsid w:val="00B131DA"/>
    <w:rsid w:val="00B13F7E"/>
    <w:rsid w:val="00B14226"/>
    <w:rsid w:val="00B14804"/>
    <w:rsid w:val="00B161E7"/>
    <w:rsid w:val="00B1633B"/>
    <w:rsid w:val="00B16406"/>
    <w:rsid w:val="00B16A82"/>
    <w:rsid w:val="00B16BBD"/>
    <w:rsid w:val="00B176D2"/>
    <w:rsid w:val="00B179EF"/>
    <w:rsid w:val="00B20195"/>
    <w:rsid w:val="00B20A45"/>
    <w:rsid w:val="00B22282"/>
    <w:rsid w:val="00B22C5C"/>
    <w:rsid w:val="00B232D1"/>
    <w:rsid w:val="00B2361C"/>
    <w:rsid w:val="00B23950"/>
    <w:rsid w:val="00B2398D"/>
    <w:rsid w:val="00B24F30"/>
    <w:rsid w:val="00B25F3F"/>
    <w:rsid w:val="00B25FFF"/>
    <w:rsid w:val="00B26247"/>
    <w:rsid w:val="00B263D1"/>
    <w:rsid w:val="00B31A9B"/>
    <w:rsid w:val="00B31ABF"/>
    <w:rsid w:val="00B32D7B"/>
    <w:rsid w:val="00B32FF0"/>
    <w:rsid w:val="00B33BE3"/>
    <w:rsid w:val="00B346A0"/>
    <w:rsid w:val="00B347B8"/>
    <w:rsid w:val="00B355CE"/>
    <w:rsid w:val="00B35937"/>
    <w:rsid w:val="00B35CDA"/>
    <w:rsid w:val="00B36B84"/>
    <w:rsid w:val="00B375E5"/>
    <w:rsid w:val="00B377D0"/>
    <w:rsid w:val="00B402B8"/>
    <w:rsid w:val="00B40743"/>
    <w:rsid w:val="00B41916"/>
    <w:rsid w:val="00B427C7"/>
    <w:rsid w:val="00B42B01"/>
    <w:rsid w:val="00B45E84"/>
    <w:rsid w:val="00B46514"/>
    <w:rsid w:val="00B47FC3"/>
    <w:rsid w:val="00B50893"/>
    <w:rsid w:val="00B51A37"/>
    <w:rsid w:val="00B51FD8"/>
    <w:rsid w:val="00B52079"/>
    <w:rsid w:val="00B52B1D"/>
    <w:rsid w:val="00B5384D"/>
    <w:rsid w:val="00B53B5D"/>
    <w:rsid w:val="00B547F1"/>
    <w:rsid w:val="00B54CB9"/>
    <w:rsid w:val="00B57231"/>
    <w:rsid w:val="00B576C3"/>
    <w:rsid w:val="00B60385"/>
    <w:rsid w:val="00B6055E"/>
    <w:rsid w:val="00B609E8"/>
    <w:rsid w:val="00B6173F"/>
    <w:rsid w:val="00B61CEF"/>
    <w:rsid w:val="00B6317D"/>
    <w:rsid w:val="00B64589"/>
    <w:rsid w:val="00B64BDA"/>
    <w:rsid w:val="00B65100"/>
    <w:rsid w:val="00B652C2"/>
    <w:rsid w:val="00B65DB0"/>
    <w:rsid w:val="00B660B6"/>
    <w:rsid w:val="00B66F54"/>
    <w:rsid w:val="00B6723B"/>
    <w:rsid w:val="00B67713"/>
    <w:rsid w:val="00B67C4D"/>
    <w:rsid w:val="00B73915"/>
    <w:rsid w:val="00B73CCA"/>
    <w:rsid w:val="00B74428"/>
    <w:rsid w:val="00B746C4"/>
    <w:rsid w:val="00B74E0A"/>
    <w:rsid w:val="00B75B6A"/>
    <w:rsid w:val="00B75C24"/>
    <w:rsid w:val="00B764DE"/>
    <w:rsid w:val="00B76581"/>
    <w:rsid w:val="00B77067"/>
    <w:rsid w:val="00B7723F"/>
    <w:rsid w:val="00B772AC"/>
    <w:rsid w:val="00B80534"/>
    <w:rsid w:val="00B83C04"/>
    <w:rsid w:val="00B8433C"/>
    <w:rsid w:val="00B84C16"/>
    <w:rsid w:val="00B84EB3"/>
    <w:rsid w:val="00B853B3"/>
    <w:rsid w:val="00B85722"/>
    <w:rsid w:val="00B859E4"/>
    <w:rsid w:val="00B86DB7"/>
    <w:rsid w:val="00B87491"/>
    <w:rsid w:val="00B875B6"/>
    <w:rsid w:val="00B8762C"/>
    <w:rsid w:val="00B87C84"/>
    <w:rsid w:val="00B87EC0"/>
    <w:rsid w:val="00B90D88"/>
    <w:rsid w:val="00B90E23"/>
    <w:rsid w:val="00B90E63"/>
    <w:rsid w:val="00B91CF7"/>
    <w:rsid w:val="00B92CB1"/>
    <w:rsid w:val="00B93379"/>
    <w:rsid w:val="00B93633"/>
    <w:rsid w:val="00B93A2E"/>
    <w:rsid w:val="00B95B69"/>
    <w:rsid w:val="00B966B8"/>
    <w:rsid w:val="00B97079"/>
    <w:rsid w:val="00BA01C5"/>
    <w:rsid w:val="00BA0384"/>
    <w:rsid w:val="00BA059B"/>
    <w:rsid w:val="00BA29E9"/>
    <w:rsid w:val="00BA31B4"/>
    <w:rsid w:val="00BA40FA"/>
    <w:rsid w:val="00BA4103"/>
    <w:rsid w:val="00BA4303"/>
    <w:rsid w:val="00BA51A0"/>
    <w:rsid w:val="00BA54F9"/>
    <w:rsid w:val="00BA6E41"/>
    <w:rsid w:val="00BA7142"/>
    <w:rsid w:val="00BB106C"/>
    <w:rsid w:val="00BB11EF"/>
    <w:rsid w:val="00BB125E"/>
    <w:rsid w:val="00BB237C"/>
    <w:rsid w:val="00BB2654"/>
    <w:rsid w:val="00BB3B79"/>
    <w:rsid w:val="00BB3D44"/>
    <w:rsid w:val="00BB41A3"/>
    <w:rsid w:val="00BB4B1C"/>
    <w:rsid w:val="00BB562B"/>
    <w:rsid w:val="00BB5899"/>
    <w:rsid w:val="00BB5C7C"/>
    <w:rsid w:val="00BB636C"/>
    <w:rsid w:val="00BB64D7"/>
    <w:rsid w:val="00BB6CF2"/>
    <w:rsid w:val="00BB6DDF"/>
    <w:rsid w:val="00BB721A"/>
    <w:rsid w:val="00BB764B"/>
    <w:rsid w:val="00BB7940"/>
    <w:rsid w:val="00BC0655"/>
    <w:rsid w:val="00BC0C67"/>
    <w:rsid w:val="00BC0EFA"/>
    <w:rsid w:val="00BC16F5"/>
    <w:rsid w:val="00BC2ED0"/>
    <w:rsid w:val="00BC32DC"/>
    <w:rsid w:val="00BC35B6"/>
    <w:rsid w:val="00BC45FD"/>
    <w:rsid w:val="00BC48DB"/>
    <w:rsid w:val="00BC5300"/>
    <w:rsid w:val="00BC55B5"/>
    <w:rsid w:val="00BC55CC"/>
    <w:rsid w:val="00BC7848"/>
    <w:rsid w:val="00BD07F7"/>
    <w:rsid w:val="00BD08F2"/>
    <w:rsid w:val="00BD0C43"/>
    <w:rsid w:val="00BD116C"/>
    <w:rsid w:val="00BD14A6"/>
    <w:rsid w:val="00BD1838"/>
    <w:rsid w:val="00BD1B51"/>
    <w:rsid w:val="00BD22F7"/>
    <w:rsid w:val="00BD3B34"/>
    <w:rsid w:val="00BD3F76"/>
    <w:rsid w:val="00BD4596"/>
    <w:rsid w:val="00BD45C6"/>
    <w:rsid w:val="00BD4C83"/>
    <w:rsid w:val="00BD52BE"/>
    <w:rsid w:val="00BE1405"/>
    <w:rsid w:val="00BE15E3"/>
    <w:rsid w:val="00BE1653"/>
    <w:rsid w:val="00BE1A16"/>
    <w:rsid w:val="00BE1E59"/>
    <w:rsid w:val="00BE272C"/>
    <w:rsid w:val="00BE27BE"/>
    <w:rsid w:val="00BE312D"/>
    <w:rsid w:val="00BE3425"/>
    <w:rsid w:val="00BE345F"/>
    <w:rsid w:val="00BE5317"/>
    <w:rsid w:val="00BE6A69"/>
    <w:rsid w:val="00BE7B83"/>
    <w:rsid w:val="00BF072C"/>
    <w:rsid w:val="00BF07C8"/>
    <w:rsid w:val="00BF16D6"/>
    <w:rsid w:val="00BF1A49"/>
    <w:rsid w:val="00BF1C20"/>
    <w:rsid w:val="00BF1C6A"/>
    <w:rsid w:val="00BF2FA9"/>
    <w:rsid w:val="00BF303F"/>
    <w:rsid w:val="00BF35E2"/>
    <w:rsid w:val="00BF671B"/>
    <w:rsid w:val="00BF6D5E"/>
    <w:rsid w:val="00BF7320"/>
    <w:rsid w:val="00C00C49"/>
    <w:rsid w:val="00C01768"/>
    <w:rsid w:val="00C0183F"/>
    <w:rsid w:val="00C032BD"/>
    <w:rsid w:val="00C050FB"/>
    <w:rsid w:val="00C05328"/>
    <w:rsid w:val="00C05F54"/>
    <w:rsid w:val="00C069B0"/>
    <w:rsid w:val="00C06B84"/>
    <w:rsid w:val="00C10578"/>
    <w:rsid w:val="00C118B7"/>
    <w:rsid w:val="00C11998"/>
    <w:rsid w:val="00C12D1A"/>
    <w:rsid w:val="00C135BC"/>
    <w:rsid w:val="00C136F8"/>
    <w:rsid w:val="00C156E3"/>
    <w:rsid w:val="00C1597E"/>
    <w:rsid w:val="00C15C95"/>
    <w:rsid w:val="00C15D26"/>
    <w:rsid w:val="00C16724"/>
    <w:rsid w:val="00C16CF2"/>
    <w:rsid w:val="00C178C5"/>
    <w:rsid w:val="00C21043"/>
    <w:rsid w:val="00C21B04"/>
    <w:rsid w:val="00C22085"/>
    <w:rsid w:val="00C231AE"/>
    <w:rsid w:val="00C2376B"/>
    <w:rsid w:val="00C23F7C"/>
    <w:rsid w:val="00C243CA"/>
    <w:rsid w:val="00C24DBF"/>
    <w:rsid w:val="00C24F63"/>
    <w:rsid w:val="00C2534A"/>
    <w:rsid w:val="00C25610"/>
    <w:rsid w:val="00C2596A"/>
    <w:rsid w:val="00C25CC8"/>
    <w:rsid w:val="00C26693"/>
    <w:rsid w:val="00C268B4"/>
    <w:rsid w:val="00C26DE1"/>
    <w:rsid w:val="00C26FD9"/>
    <w:rsid w:val="00C270E5"/>
    <w:rsid w:val="00C27537"/>
    <w:rsid w:val="00C2786D"/>
    <w:rsid w:val="00C279E6"/>
    <w:rsid w:val="00C27EEB"/>
    <w:rsid w:val="00C30377"/>
    <w:rsid w:val="00C328FE"/>
    <w:rsid w:val="00C32B11"/>
    <w:rsid w:val="00C33401"/>
    <w:rsid w:val="00C33507"/>
    <w:rsid w:val="00C338B9"/>
    <w:rsid w:val="00C33AFE"/>
    <w:rsid w:val="00C33CC1"/>
    <w:rsid w:val="00C33E4A"/>
    <w:rsid w:val="00C347F9"/>
    <w:rsid w:val="00C34A77"/>
    <w:rsid w:val="00C34A86"/>
    <w:rsid w:val="00C36C99"/>
    <w:rsid w:val="00C3748F"/>
    <w:rsid w:val="00C376FA"/>
    <w:rsid w:val="00C37982"/>
    <w:rsid w:val="00C40396"/>
    <w:rsid w:val="00C40A75"/>
    <w:rsid w:val="00C41276"/>
    <w:rsid w:val="00C41EE3"/>
    <w:rsid w:val="00C426ED"/>
    <w:rsid w:val="00C427D9"/>
    <w:rsid w:val="00C43C21"/>
    <w:rsid w:val="00C4409D"/>
    <w:rsid w:val="00C44E72"/>
    <w:rsid w:val="00C45A06"/>
    <w:rsid w:val="00C46D80"/>
    <w:rsid w:val="00C471C7"/>
    <w:rsid w:val="00C47AB1"/>
    <w:rsid w:val="00C47E5B"/>
    <w:rsid w:val="00C50208"/>
    <w:rsid w:val="00C502EE"/>
    <w:rsid w:val="00C53521"/>
    <w:rsid w:val="00C54A70"/>
    <w:rsid w:val="00C54BA2"/>
    <w:rsid w:val="00C556F9"/>
    <w:rsid w:val="00C565DB"/>
    <w:rsid w:val="00C577FE"/>
    <w:rsid w:val="00C57C8E"/>
    <w:rsid w:val="00C57CDB"/>
    <w:rsid w:val="00C6082F"/>
    <w:rsid w:val="00C61E4B"/>
    <w:rsid w:val="00C620B9"/>
    <w:rsid w:val="00C62114"/>
    <w:rsid w:val="00C64180"/>
    <w:rsid w:val="00C64BFF"/>
    <w:rsid w:val="00C64CD9"/>
    <w:rsid w:val="00C65100"/>
    <w:rsid w:val="00C65444"/>
    <w:rsid w:val="00C6581B"/>
    <w:rsid w:val="00C665FD"/>
    <w:rsid w:val="00C66CA2"/>
    <w:rsid w:val="00C675CD"/>
    <w:rsid w:val="00C677AC"/>
    <w:rsid w:val="00C70107"/>
    <w:rsid w:val="00C704E9"/>
    <w:rsid w:val="00C71070"/>
    <w:rsid w:val="00C72EA9"/>
    <w:rsid w:val="00C7396D"/>
    <w:rsid w:val="00C73D44"/>
    <w:rsid w:val="00C73DCE"/>
    <w:rsid w:val="00C74B1A"/>
    <w:rsid w:val="00C74E83"/>
    <w:rsid w:val="00C752AC"/>
    <w:rsid w:val="00C75458"/>
    <w:rsid w:val="00C7604C"/>
    <w:rsid w:val="00C763C9"/>
    <w:rsid w:val="00C770AC"/>
    <w:rsid w:val="00C77394"/>
    <w:rsid w:val="00C80057"/>
    <w:rsid w:val="00C81943"/>
    <w:rsid w:val="00C82232"/>
    <w:rsid w:val="00C82783"/>
    <w:rsid w:val="00C82913"/>
    <w:rsid w:val="00C834A1"/>
    <w:rsid w:val="00C840AE"/>
    <w:rsid w:val="00C84ADD"/>
    <w:rsid w:val="00C84CA4"/>
    <w:rsid w:val="00C8563E"/>
    <w:rsid w:val="00C858AB"/>
    <w:rsid w:val="00C85A12"/>
    <w:rsid w:val="00C8670F"/>
    <w:rsid w:val="00C86A2D"/>
    <w:rsid w:val="00C873FD"/>
    <w:rsid w:val="00C87B9F"/>
    <w:rsid w:val="00C904FB"/>
    <w:rsid w:val="00C9052E"/>
    <w:rsid w:val="00C908D4"/>
    <w:rsid w:val="00C91308"/>
    <w:rsid w:val="00C9168C"/>
    <w:rsid w:val="00C918E7"/>
    <w:rsid w:val="00C92791"/>
    <w:rsid w:val="00C92E03"/>
    <w:rsid w:val="00C94BFA"/>
    <w:rsid w:val="00C95C2F"/>
    <w:rsid w:val="00C95D3A"/>
    <w:rsid w:val="00C965F4"/>
    <w:rsid w:val="00C972B1"/>
    <w:rsid w:val="00C9731D"/>
    <w:rsid w:val="00C97725"/>
    <w:rsid w:val="00CA01EE"/>
    <w:rsid w:val="00CA01F1"/>
    <w:rsid w:val="00CA0AA3"/>
    <w:rsid w:val="00CA0C05"/>
    <w:rsid w:val="00CA0D84"/>
    <w:rsid w:val="00CA2CCE"/>
    <w:rsid w:val="00CA3A2B"/>
    <w:rsid w:val="00CA3F98"/>
    <w:rsid w:val="00CA4139"/>
    <w:rsid w:val="00CA43FD"/>
    <w:rsid w:val="00CA61E7"/>
    <w:rsid w:val="00CA61FF"/>
    <w:rsid w:val="00CA6835"/>
    <w:rsid w:val="00CA683B"/>
    <w:rsid w:val="00CA69A2"/>
    <w:rsid w:val="00CA7EF8"/>
    <w:rsid w:val="00CA7FE4"/>
    <w:rsid w:val="00CB1156"/>
    <w:rsid w:val="00CB2E0D"/>
    <w:rsid w:val="00CB36EF"/>
    <w:rsid w:val="00CB3E88"/>
    <w:rsid w:val="00CB5D8A"/>
    <w:rsid w:val="00CB63B7"/>
    <w:rsid w:val="00CB6C6F"/>
    <w:rsid w:val="00CB745B"/>
    <w:rsid w:val="00CB7C0A"/>
    <w:rsid w:val="00CC0954"/>
    <w:rsid w:val="00CC0997"/>
    <w:rsid w:val="00CC489B"/>
    <w:rsid w:val="00CC4F81"/>
    <w:rsid w:val="00CC57DB"/>
    <w:rsid w:val="00CC62B9"/>
    <w:rsid w:val="00CC6336"/>
    <w:rsid w:val="00CC73A7"/>
    <w:rsid w:val="00CC73C9"/>
    <w:rsid w:val="00CC7EC2"/>
    <w:rsid w:val="00CD083B"/>
    <w:rsid w:val="00CD1173"/>
    <w:rsid w:val="00CD16D7"/>
    <w:rsid w:val="00CD1A3A"/>
    <w:rsid w:val="00CD2BCD"/>
    <w:rsid w:val="00CD3A4C"/>
    <w:rsid w:val="00CD3A9F"/>
    <w:rsid w:val="00CD3CF0"/>
    <w:rsid w:val="00CD42AC"/>
    <w:rsid w:val="00CD5181"/>
    <w:rsid w:val="00CD5902"/>
    <w:rsid w:val="00CD5B9D"/>
    <w:rsid w:val="00CE0058"/>
    <w:rsid w:val="00CE10E9"/>
    <w:rsid w:val="00CE2003"/>
    <w:rsid w:val="00CE2910"/>
    <w:rsid w:val="00CE3D8D"/>
    <w:rsid w:val="00CE5393"/>
    <w:rsid w:val="00CE5A08"/>
    <w:rsid w:val="00CF17F9"/>
    <w:rsid w:val="00CF198D"/>
    <w:rsid w:val="00CF1C6F"/>
    <w:rsid w:val="00CF2BB4"/>
    <w:rsid w:val="00CF3263"/>
    <w:rsid w:val="00CF36BE"/>
    <w:rsid w:val="00CF3E2A"/>
    <w:rsid w:val="00CF3FF5"/>
    <w:rsid w:val="00CF4298"/>
    <w:rsid w:val="00CF4A35"/>
    <w:rsid w:val="00CF50C4"/>
    <w:rsid w:val="00CF5109"/>
    <w:rsid w:val="00CF5B3B"/>
    <w:rsid w:val="00CF6000"/>
    <w:rsid w:val="00CF60D5"/>
    <w:rsid w:val="00CF6364"/>
    <w:rsid w:val="00CF6B29"/>
    <w:rsid w:val="00CF6D58"/>
    <w:rsid w:val="00CF7AD4"/>
    <w:rsid w:val="00CF7EEE"/>
    <w:rsid w:val="00D003F3"/>
    <w:rsid w:val="00D01AED"/>
    <w:rsid w:val="00D0359F"/>
    <w:rsid w:val="00D0364F"/>
    <w:rsid w:val="00D039F3"/>
    <w:rsid w:val="00D0472E"/>
    <w:rsid w:val="00D05C8A"/>
    <w:rsid w:val="00D06834"/>
    <w:rsid w:val="00D07711"/>
    <w:rsid w:val="00D10869"/>
    <w:rsid w:val="00D11A7B"/>
    <w:rsid w:val="00D13B31"/>
    <w:rsid w:val="00D13F34"/>
    <w:rsid w:val="00D1546F"/>
    <w:rsid w:val="00D15767"/>
    <w:rsid w:val="00D15956"/>
    <w:rsid w:val="00D1607C"/>
    <w:rsid w:val="00D179EB"/>
    <w:rsid w:val="00D17DEB"/>
    <w:rsid w:val="00D2072B"/>
    <w:rsid w:val="00D211D4"/>
    <w:rsid w:val="00D22336"/>
    <w:rsid w:val="00D227BC"/>
    <w:rsid w:val="00D22F61"/>
    <w:rsid w:val="00D23698"/>
    <w:rsid w:val="00D2403C"/>
    <w:rsid w:val="00D243E2"/>
    <w:rsid w:val="00D2460D"/>
    <w:rsid w:val="00D257E7"/>
    <w:rsid w:val="00D25A93"/>
    <w:rsid w:val="00D25E79"/>
    <w:rsid w:val="00D268D0"/>
    <w:rsid w:val="00D27980"/>
    <w:rsid w:val="00D306C6"/>
    <w:rsid w:val="00D308ED"/>
    <w:rsid w:val="00D32CBB"/>
    <w:rsid w:val="00D330F8"/>
    <w:rsid w:val="00D34917"/>
    <w:rsid w:val="00D34FF9"/>
    <w:rsid w:val="00D35F7C"/>
    <w:rsid w:val="00D35F9E"/>
    <w:rsid w:val="00D35FB2"/>
    <w:rsid w:val="00D36D86"/>
    <w:rsid w:val="00D3799F"/>
    <w:rsid w:val="00D41A77"/>
    <w:rsid w:val="00D41E11"/>
    <w:rsid w:val="00D41F16"/>
    <w:rsid w:val="00D42678"/>
    <w:rsid w:val="00D428AA"/>
    <w:rsid w:val="00D448BD"/>
    <w:rsid w:val="00D4542A"/>
    <w:rsid w:val="00D4563C"/>
    <w:rsid w:val="00D4603C"/>
    <w:rsid w:val="00D46630"/>
    <w:rsid w:val="00D469D6"/>
    <w:rsid w:val="00D46C68"/>
    <w:rsid w:val="00D47935"/>
    <w:rsid w:val="00D47C2B"/>
    <w:rsid w:val="00D47FB2"/>
    <w:rsid w:val="00D503DF"/>
    <w:rsid w:val="00D50A34"/>
    <w:rsid w:val="00D5117B"/>
    <w:rsid w:val="00D521C3"/>
    <w:rsid w:val="00D52C2B"/>
    <w:rsid w:val="00D535D2"/>
    <w:rsid w:val="00D53EFA"/>
    <w:rsid w:val="00D54707"/>
    <w:rsid w:val="00D55C03"/>
    <w:rsid w:val="00D55F23"/>
    <w:rsid w:val="00D56DA2"/>
    <w:rsid w:val="00D577A6"/>
    <w:rsid w:val="00D57A09"/>
    <w:rsid w:val="00D60027"/>
    <w:rsid w:val="00D6210A"/>
    <w:rsid w:val="00D63DA7"/>
    <w:rsid w:val="00D64A9E"/>
    <w:rsid w:val="00D64B44"/>
    <w:rsid w:val="00D64E12"/>
    <w:rsid w:val="00D65D96"/>
    <w:rsid w:val="00D66109"/>
    <w:rsid w:val="00D66CF5"/>
    <w:rsid w:val="00D67F91"/>
    <w:rsid w:val="00D70366"/>
    <w:rsid w:val="00D7083E"/>
    <w:rsid w:val="00D71127"/>
    <w:rsid w:val="00D71A93"/>
    <w:rsid w:val="00D71C13"/>
    <w:rsid w:val="00D73EDA"/>
    <w:rsid w:val="00D74444"/>
    <w:rsid w:val="00D75624"/>
    <w:rsid w:val="00D758EF"/>
    <w:rsid w:val="00D765C4"/>
    <w:rsid w:val="00D76A1E"/>
    <w:rsid w:val="00D770EF"/>
    <w:rsid w:val="00D775AE"/>
    <w:rsid w:val="00D77826"/>
    <w:rsid w:val="00D77921"/>
    <w:rsid w:val="00D8048A"/>
    <w:rsid w:val="00D80A53"/>
    <w:rsid w:val="00D81EFD"/>
    <w:rsid w:val="00D82660"/>
    <w:rsid w:val="00D8308A"/>
    <w:rsid w:val="00D83B28"/>
    <w:rsid w:val="00D8474E"/>
    <w:rsid w:val="00D84E49"/>
    <w:rsid w:val="00D84E80"/>
    <w:rsid w:val="00D85710"/>
    <w:rsid w:val="00D90656"/>
    <w:rsid w:val="00D90A49"/>
    <w:rsid w:val="00D91875"/>
    <w:rsid w:val="00D92063"/>
    <w:rsid w:val="00D94A7C"/>
    <w:rsid w:val="00D94EB8"/>
    <w:rsid w:val="00D95512"/>
    <w:rsid w:val="00D95896"/>
    <w:rsid w:val="00D95DC4"/>
    <w:rsid w:val="00D962A8"/>
    <w:rsid w:val="00D97265"/>
    <w:rsid w:val="00D97B3F"/>
    <w:rsid w:val="00DA0182"/>
    <w:rsid w:val="00DA052D"/>
    <w:rsid w:val="00DA067A"/>
    <w:rsid w:val="00DA0E06"/>
    <w:rsid w:val="00DA2301"/>
    <w:rsid w:val="00DA27BB"/>
    <w:rsid w:val="00DA3009"/>
    <w:rsid w:val="00DA42FA"/>
    <w:rsid w:val="00DA4D07"/>
    <w:rsid w:val="00DA5679"/>
    <w:rsid w:val="00DA6AB5"/>
    <w:rsid w:val="00DA7999"/>
    <w:rsid w:val="00DA7BB0"/>
    <w:rsid w:val="00DA7DFE"/>
    <w:rsid w:val="00DB0593"/>
    <w:rsid w:val="00DB1226"/>
    <w:rsid w:val="00DB2983"/>
    <w:rsid w:val="00DB43A0"/>
    <w:rsid w:val="00DB4DF3"/>
    <w:rsid w:val="00DB51AD"/>
    <w:rsid w:val="00DB6558"/>
    <w:rsid w:val="00DB65BC"/>
    <w:rsid w:val="00DB6AB9"/>
    <w:rsid w:val="00DB7731"/>
    <w:rsid w:val="00DB7B27"/>
    <w:rsid w:val="00DC07AE"/>
    <w:rsid w:val="00DC1257"/>
    <w:rsid w:val="00DC204A"/>
    <w:rsid w:val="00DC24F8"/>
    <w:rsid w:val="00DC2BDA"/>
    <w:rsid w:val="00DC3255"/>
    <w:rsid w:val="00DC342F"/>
    <w:rsid w:val="00DC350A"/>
    <w:rsid w:val="00DC38DE"/>
    <w:rsid w:val="00DC3DC0"/>
    <w:rsid w:val="00DC4DD8"/>
    <w:rsid w:val="00DC5B2B"/>
    <w:rsid w:val="00DC6CCA"/>
    <w:rsid w:val="00DC7F59"/>
    <w:rsid w:val="00DD0468"/>
    <w:rsid w:val="00DD0E0C"/>
    <w:rsid w:val="00DD100C"/>
    <w:rsid w:val="00DD1E96"/>
    <w:rsid w:val="00DD318D"/>
    <w:rsid w:val="00DD3228"/>
    <w:rsid w:val="00DD3230"/>
    <w:rsid w:val="00DD3287"/>
    <w:rsid w:val="00DD3327"/>
    <w:rsid w:val="00DD3857"/>
    <w:rsid w:val="00DD3C04"/>
    <w:rsid w:val="00DD42A2"/>
    <w:rsid w:val="00DD5AD9"/>
    <w:rsid w:val="00DD7644"/>
    <w:rsid w:val="00DD775A"/>
    <w:rsid w:val="00DE109B"/>
    <w:rsid w:val="00DE2674"/>
    <w:rsid w:val="00DE2E75"/>
    <w:rsid w:val="00DE39E5"/>
    <w:rsid w:val="00DE3AC9"/>
    <w:rsid w:val="00DE4773"/>
    <w:rsid w:val="00DE4A9A"/>
    <w:rsid w:val="00DE5049"/>
    <w:rsid w:val="00DE534D"/>
    <w:rsid w:val="00DE55FA"/>
    <w:rsid w:val="00DE72B9"/>
    <w:rsid w:val="00DE7FD1"/>
    <w:rsid w:val="00DF11F3"/>
    <w:rsid w:val="00DF26E8"/>
    <w:rsid w:val="00DF2ABA"/>
    <w:rsid w:val="00DF2E12"/>
    <w:rsid w:val="00DF3DE9"/>
    <w:rsid w:val="00DF3F6E"/>
    <w:rsid w:val="00DF514A"/>
    <w:rsid w:val="00DF6690"/>
    <w:rsid w:val="00DF6804"/>
    <w:rsid w:val="00DF6D68"/>
    <w:rsid w:val="00DF7D2B"/>
    <w:rsid w:val="00E001C7"/>
    <w:rsid w:val="00E00E15"/>
    <w:rsid w:val="00E01181"/>
    <w:rsid w:val="00E023D0"/>
    <w:rsid w:val="00E02752"/>
    <w:rsid w:val="00E03000"/>
    <w:rsid w:val="00E0358D"/>
    <w:rsid w:val="00E03CED"/>
    <w:rsid w:val="00E04323"/>
    <w:rsid w:val="00E0441A"/>
    <w:rsid w:val="00E06D0A"/>
    <w:rsid w:val="00E070A2"/>
    <w:rsid w:val="00E0752D"/>
    <w:rsid w:val="00E10F89"/>
    <w:rsid w:val="00E12A1D"/>
    <w:rsid w:val="00E12E68"/>
    <w:rsid w:val="00E14140"/>
    <w:rsid w:val="00E146F1"/>
    <w:rsid w:val="00E14BAD"/>
    <w:rsid w:val="00E14BF8"/>
    <w:rsid w:val="00E14D5D"/>
    <w:rsid w:val="00E14E3D"/>
    <w:rsid w:val="00E15356"/>
    <w:rsid w:val="00E1586C"/>
    <w:rsid w:val="00E158B5"/>
    <w:rsid w:val="00E16FE1"/>
    <w:rsid w:val="00E17CF6"/>
    <w:rsid w:val="00E20609"/>
    <w:rsid w:val="00E20B7B"/>
    <w:rsid w:val="00E21930"/>
    <w:rsid w:val="00E23E55"/>
    <w:rsid w:val="00E23EB1"/>
    <w:rsid w:val="00E24BFB"/>
    <w:rsid w:val="00E25537"/>
    <w:rsid w:val="00E260A0"/>
    <w:rsid w:val="00E2656A"/>
    <w:rsid w:val="00E274B3"/>
    <w:rsid w:val="00E27C6D"/>
    <w:rsid w:val="00E3022C"/>
    <w:rsid w:val="00E3050A"/>
    <w:rsid w:val="00E317B4"/>
    <w:rsid w:val="00E3196E"/>
    <w:rsid w:val="00E322CF"/>
    <w:rsid w:val="00E3249E"/>
    <w:rsid w:val="00E34082"/>
    <w:rsid w:val="00E34287"/>
    <w:rsid w:val="00E348A7"/>
    <w:rsid w:val="00E34D1C"/>
    <w:rsid w:val="00E34E5A"/>
    <w:rsid w:val="00E3515A"/>
    <w:rsid w:val="00E35500"/>
    <w:rsid w:val="00E37112"/>
    <w:rsid w:val="00E412D0"/>
    <w:rsid w:val="00E41739"/>
    <w:rsid w:val="00E41B3E"/>
    <w:rsid w:val="00E42D09"/>
    <w:rsid w:val="00E43C10"/>
    <w:rsid w:val="00E4464F"/>
    <w:rsid w:val="00E45051"/>
    <w:rsid w:val="00E45338"/>
    <w:rsid w:val="00E458A5"/>
    <w:rsid w:val="00E4600C"/>
    <w:rsid w:val="00E46125"/>
    <w:rsid w:val="00E46FA9"/>
    <w:rsid w:val="00E475C6"/>
    <w:rsid w:val="00E527AC"/>
    <w:rsid w:val="00E53093"/>
    <w:rsid w:val="00E53345"/>
    <w:rsid w:val="00E53888"/>
    <w:rsid w:val="00E542F5"/>
    <w:rsid w:val="00E54FF6"/>
    <w:rsid w:val="00E55CA1"/>
    <w:rsid w:val="00E56322"/>
    <w:rsid w:val="00E57EEF"/>
    <w:rsid w:val="00E60982"/>
    <w:rsid w:val="00E60DAB"/>
    <w:rsid w:val="00E6100A"/>
    <w:rsid w:val="00E613D9"/>
    <w:rsid w:val="00E62C62"/>
    <w:rsid w:val="00E62E79"/>
    <w:rsid w:val="00E637BE"/>
    <w:rsid w:val="00E63B18"/>
    <w:rsid w:val="00E64237"/>
    <w:rsid w:val="00E64D57"/>
    <w:rsid w:val="00E65338"/>
    <w:rsid w:val="00E654C1"/>
    <w:rsid w:val="00E65D97"/>
    <w:rsid w:val="00E66F41"/>
    <w:rsid w:val="00E6727E"/>
    <w:rsid w:val="00E672FF"/>
    <w:rsid w:val="00E70238"/>
    <w:rsid w:val="00E71626"/>
    <w:rsid w:val="00E7204A"/>
    <w:rsid w:val="00E720C9"/>
    <w:rsid w:val="00E72631"/>
    <w:rsid w:val="00E72818"/>
    <w:rsid w:val="00E72A5A"/>
    <w:rsid w:val="00E73003"/>
    <w:rsid w:val="00E73354"/>
    <w:rsid w:val="00E7552F"/>
    <w:rsid w:val="00E75AAF"/>
    <w:rsid w:val="00E777EB"/>
    <w:rsid w:val="00E77A4C"/>
    <w:rsid w:val="00E77CFF"/>
    <w:rsid w:val="00E801C3"/>
    <w:rsid w:val="00E80CB9"/>
    <w:rsid w:val="00E80E5A"/>
    <w:rsid w:val="00E8108D"/>
    <w:rsid w:val="00E821DF"/>
    <w:rsid w:val="00E833A7"/>
    <w:rsid w:val="00E83F77"/>
    <w:rsid w:val="00E85614"/>
    <w:rsid w:val="00E87AFC"/>
    <w:rsid w:val="00E87D40"/>
    <w:rsid w:val="00E87E93"/>
    <w:rsid w:val="00E9242D"/>
    <w:rsid w:val="00E92E5F"/>
    <w:rsid w:val="00E93D0D"/>
    <w:rsid w:val="00E95732"/>
    <w:rsid w:val="00E95975"/>
    <w:rsid w:val="00E96213"/>
    <w:rsid w:val="00E974BA"/>
    <w:rsid w:val="00E978D6"/>
    <w:rsid w:val="00E979BA"/>
    <w:rsid w:val="00E97CD6"/>
    <w:rsid w:val="00EA0B0E"/>
    <w:rsid w:val="00EA0D00"/>
    <w:rsid w:val="00EA1627"/>
    <w:rsid w:val="00EA215B"/>
    <w:rsid w:val="00EA287C"/>
    <w:rsid w:val="00EA2EC9"/>
    <w:rsid w:val="00EA3761"/>
    <w:rsid w:val="00EA4646"/>
    <w:rsid w:val="00EA479A"/>
    <w:rsid w:val="00EA63C6"/>
    <w:rsid w:val="00EA66FD"/>
    <w:rsid w:val="00EA6CFF"/>
    <w:rsid w:val="00EA6D5A"/>
    <w:rsid w:val="00EA7BD4"/>
    <w:rsid w:val="00EB03A4"/>
    <w:rsid w:val="00EB1D5B"/>
    <w:rsid w:val="00EB2B76"/>
    <w:rsid w:val="00EB50E4"/>
    <w:rsid w:val="00EB5255"/>
    <w:rsid w:val="00EB5C47"/>
    <w:rsid w:val="00EB606C"/>
    <w:rsid w:val="00EB7EB8"/>
    <w:rsid w:val="00EC0331"/>
    <w:rsid w:val="00EC0836"/>
    <w:rsid w:val="00EC0D08"/>
    <w:rsid w:val="00EC2AF3"/>
    <w:rsid w:val="00EC2E12"/>
    <w:rsid w:val="00EC37A1"/>
    <w:rsid w:val="00EC4CB1"/>
    <w:rsid w:val="00EC4CF7"/>
    <w:rsid w:val="00EC51F4"/>
    <w:rsid w:val="00EC5E5C"/>
    <w:rsid w:val="00EC5FCB"/>
    <w:rsid w:val="00EC646F"/>
    <w:rsid w:val="00EC6AA2"/>
    <w:rsid w:val="00ED0639"/>
    <w:rsid w:val="00ED1E39"/>
    <w:rsid w:val="00ED2DC4"/>
    <w:rsid w:val="00ED3027"/>
    <w:rsid w:val="00ED32D2"/>
    <w:rsid w:val="00ED41CC"/>
    <w:rsid w:val="00ED4AA8"/>
    <w:rsid w:val="00ED4E3F"/>
    <w:rsid w:val="00ED5A00"/>
    <w:rsid w:val="00ED5F3E"/>
    <w:rsid w:val="00ED7306"/>
    <w:rsid w:val="00ED7E0B"/>
    <w:rsid w:val="00EE14AF"/>
    <w:rsid w:val="00EE18F2"/>
    <w:rsid w:val="00EE3ACC"/>
    <w:rsid w:val="00EE4432"/>
    <w:rsid w:val="00EE4928"/>
    <w:rsid w:val="00EE639B"/>
    <w:rsid w:val="00EE6A7C"/>
    <w:rsid w:val="00EE6CA7"/>
    <w:rsid w:val="00EE7726"/>
    <w:rsid w:val="00EE7831"/>
    <w:rsid w:val="00EF0892"/>
    <w:rsid w:val="00EF1AEA"/>
    <w:rsid w:val="00EF3D44"/>
    <w:rsid w:val="00EF3E91"/>
    <w:rsid w:val="00EF4755"/>
    <w:rsid w:val="00EF5560"/>
    <w:rsid w:val="00EF5B85"/>
    <w:rsid w:val="00EF7135"/>
    <w:rsid w:val="00EF7397"/>
    <w:rsid w:val="00F01030"/>
    <w:rsid w:val="00F027DB"/>
    <w:rsid w:val="00F028C9"/>
    <w:rsid w:val="00F03232"/>
    <w:rsid w:val="00F04768"/>
    <w:rsid w:val="00F0529C"/>
    <w:rsid w:val="00F05AEF"/>
    <w:rsid w:val="00F06A8D"/>
    <w:rsid w:val="00F07E34"/>
    <w:rsid w:val="00F10148"/>
    <w:rsid w:val="00F10976"/>
    <w:rsid w:val="00F129D2"/>
    <w:rsid w:val="00F12FF7"/>
    <w:rsid w:val="00F13B48"/>
    <w:rsid w:val="00F13BE3"/>
    <w:rsid w:val="00F14A7A"/>
    <w:rsid w:val="00F14CDB"/>
    <w:rsid w:val="00F14FE1"/>
    <w:rsid w:val="00F15942"/>
    <w:rsid w:val="00F161AB"/>
    <w:rsid w:val="00F16725"/>
    <w:rsid w:val="00F16EC9"/>
    <w:rsid w:val="00F17486"/>
    <w:rsid w:val="00F201B0"/>
    <w:rsid w:val="00F201F8"/>
    <w:rsid w:val="00F202AF"/>
    <w:rsid w:val="00F20F55"/>
    <w:rsid w:val="00F215A7"/>
    <w:rsid w:val="00F21F73"/>
    <w:rsid w:val="00F22985"/>
    <w:rsid w:val="00F231FE"/>
    <w:rsid w:val="00F23643"/>
    <w:rsid w:val="00F23ED4"/>
    <w:rsid w:val="00F24023"/>
    <w:rsid w:val="00F25FA2"/>
    <w:rsid w:val="00F2654E"/>
    <w:rsid w:val="00F26E13"/>
    <w:rsid w:val="00F276E8"/>
    <w:rsid w:val="00F31873"/>
    <w:rsid w:val="00F335D8"/>
    <w:rsid w:val="00F3383E"/>
    <w:rsid w:val="00F33869"/>
    <w:rsid w:val="00F3483E"/>
    <w:rsid w:val="00F34D5D"/>
    <w:rsid w:val="00F34F73"/>
    <w:rsid w:val="00F35ACE"/>
    <w:rsid w:val="00F36A06"/>
    <w:rsid w:val="00F36F56"/>
    <w:rsid w:val="00F37023"/>
    <w:rsid w:val="00F375AE"/>
    <w:rsid w:val="00F40F85"/>
    <w:rsid w:val="00F415DD"/>
    <w:rsid w:val="00F42441"/>
    <w:rsid w:val="00F42E7C"/>
    <w:rsid w:val="00F447E1"/>
    <w:rsid w:val="00F44E3E"/>
    <w:rsid w:val="00F4548E"/>
    <w:rsid w:val="00F454DE"/>
    <w:rsid w:val="00F45EDF"/>
    <w:rsid w:val="00F465A7"/>
    <w:rsid w:val="00F46D62"/>
    <w:rsid w:val="00F47EEB"/>
    <w:rsid w:val="00F50B7C"/>
    <w:rsid w:val="00F520A2"/>
    <w:rsid w:val="00F521D4"/>
    <w:rsid w:val="00F52336"/>
    <w:rsid w:val="00F52670"/>
    <w:rsid w:val="00F541F5"/>
    <w:rsid w:val="00F550E6"/>
    <w:rsid w:val="00F5541B"/>
    <w:rsid w:val="00F55C45"/>
    <w:rsid w:val="00F5689E"/>
    <w:rsid w:val="00F60CAB"/>
    <w:rsid w:val="00F60D77"/>
    <w:rsid w:val="00F619F9"/>
    <w:rsid w:val="00F628F2"/>
    <w:rsid w:val="00F64A65"/>
    <w:rsid w:val="00F64DB8"/>
    <w:rsid w:val="00F66250"/>
    <w:rsid w:val="00F67219"/>
    <w:rsid w:val="00F713E4"/>
    <w:rsid w:val="00F71B55"/>
    <w:rsid w:val="00F729D4"/>
    <w:rsid w:val="00F72B2D"/>
    <w:rsid w:val="00F72C20"/>
    <w:rsid w:val="00F72F59"/>
    <w:rsid w:val="00F731E5"/>
    <w:rsid w:val="00F7334E"/>
    <w:rsid w:val="00F74345"/>
    <w:rsid w:val="00F7446A"/>
    <w:rsid w:val="00F7453F"/>
    <w:rsid w:val="00F752C8"/>
    <w:rsid w:val="00F770B8"/>
    <w:rsid w:val="00F77732"/>
    <w:rsid w:val="00F7777F"/>
    <w:rsid w:val="00F77BB6"/>
    <w:rsid w:val="00F80A0A"/>
    <w:rsid w:val="00F824A4"/>
    <w:rsid w:val="00F82B19"/>
    <w:rsid w:val="00F8378D"/>
    <w:rsid w:val="00F83CC6"/>
    <w:rsid w:val="00F84A56"/>
    <w:rsid w:val="00F84F8A"/>
    <w:rsid w:val="00F8663D"/>
    <w:rsid w:val="00F86761"/>
    <w:rsid w:val="00F86D39"/>
    <w:rsid w:val="00F86D7E"/>
    <w:rsid w:val="00F86F16"/>
    <w:rsid w:val="00F91A2F"/>
    <w:rsid w:val="00F91B3F"/>
    <w:rsid w:val="00F91B74"/>
    <w:rsid w:val="00F9212D"/>
    <w:rsid w:val="00F92685"/>
    <w:rsid w:val="00F93C0F"/>
    <w:rsid w:val="00F947A6"/>
    <w:rsid w:val="00F94823"/>
    <w:rsid w:val="00F94869"/>
    <w:rsid w:val="00F9554C"/>
    <w:rsid w:val="00F95EB5"/>
    <w:rsid w:val="00F96228"/>
    <w:rsid w:val="00F965DA"/>
    <w:rsid w:val="00F97357"/>
    <w:rsid w:val="00FA0F1E"/>
    <w:rsid w:val="00FA1C3C"/>
    <w:rsid w:val="00FA24CC"/>
    <w:rsid w:val="00FA24FD"/>
    <w:rsid w:val="00FA3EB4"/>
    <w:rsid w:val="00FA406A"/>
    <w:rsid w:val="00FA43A0"/>
    <w:rsid w:val="00FA566A"/>
    <w:rsid w:val="00FA57B4"/>
    <w:rsid w:val="00FA5F76"/>
    <w:rsid w:val="00FA613B"/>
    <w:rsid w:val="00FA646C"/>
    <w:rsid w:val="00FB0414"/>
    <w:rsid w:val="00FB0A8B"/>
    <w:rsid w:val="00FB1394"/>
    <w:rsid w:val="00FB1CE1"/>
    <w:rsid w:val="00FB1F7A"/>
    <w:rsid w:val="00FB24C9"/>
    <w:rsid w:val="00FB2FC4"/>
    <w:rsid w:val="00FB3BDF"/>
    <w:rsid w:val="00FB44C6"/>
    <w:rsid w:val="00FB474A"/>
    <w:rsid w:val="00FB503A"/>
    <w:rsid w:val="00FB516C"/>
    <w:rsid w:val="00FB5EBC"/>
    <w:rsid w:val="00FB63F6"/>
    <w:rsid w:val="00FB7128"/>
    <w:rsid w:val="00FC00F0"/>
    <w:rsid w:val="00FC13A8"/>
    <w:rsid w:val="00FC1EE3"/>
    <w:rsid w:val="00FC3BB8"/>
    <w:rsid w:val="00FC5003"/>
    <w:rsid w:val="00FC51F9"/>
    <w:rsid w:val="00FC5899"/>
    <w:rsid w:val="00FC5A85"/>
    <w:rsid w:val="00FC6A66"/>
    <w:rsid w:val="00FD0236"/>
    <w:rsid w:val="00FD18F4"/>
    <w:rsid w:val="00FD1F33"/>
    <w:rsid w:val="00FD1FFF"/>
    <w:rsid w:val="00FD212E"/>
    <w:rsid w:val="00FD4869"/>
    <w:rsid w:val="00FD493E"/>
    <w:rsid w:val="00FD4D57"/>
    <w:rsid w:val="00FD4EB8"/>
    <w:rsid w:val="00FD54DB"/>
    <w:rsid w:val="00FD573A"/>
    <w:rsid w:val="00FD619F"/>
    <w:rsid w:val="00FD713F"/>
    <w:rsid w:val="00FE136E"/>
    <w:rsid w:val="00FE216F"/>
    <w:rsid w:val="00FE2172"/>
    <w:rsid w:val="00FE2A87"/>
    <w:rsid w:val="00FE3BAB"/>
    <w:rsid w:val="00FE4327"/>
    <w:rsid w:val="00FE5AB0"/>
    <w:rsid w:val="00FE5CC0"/>
    <w:rsid w:val="00FE66FE"/>
    <w:rsid w:val="00FE7761"/>
    <w:rsid w:val="00FF0761"/>
    <w:rsid w:val="00FF1AD9"/>
    <w:rsid w:val="00FF1CF4"/>
    <w:rsid w:val="00FF248F"/>
    <w:rsid w:val="00FF393A"/>
    <w:rsid w:val="00FF437B"/>
    <w:rsid w:val="00FF48D9"/>
    <w:rsid w:val="00FF5095"/>
    <w:rsid w:val="00FF6A75"/>
    <w:rsid w:val="00FF6BEE"/>
    <w:rsid w:val="01290F7E"/>
    <w:rsid w:val="015D1E09"/>
    <w:rsid w:val="02697903"/>
    <w:rsid w:val="02F96569"/>
    <w:rsid w:val="03EA7B21"/>
    <w:rsid w:val="05F83EAE"/>
    <w:rsid w:val="063E7D85"/>
    <w:rsid w:val="07293586"/>
    <w:rsid w:val="07295285"/>
    <w:rsid w:val="07636392"/>
    <w:rsid w:val="07770C56"/>
    <w:rsid w:val="08163548"/>
    <w:rsid w:val="092217DD"/>
    <w:rsid w:val="093A7294"/>
    <w:rsid w:val="095D6C2C"/>
    <w:rsid w:val="0A263993"/>
    <w:rsid w:val="0A2D3AC2"/>
    <w:rsid w:val="0AA755DF"/>
    <w:rsid w:val="0B120D44"/>
    <w:rsid w:val="0BD27BF6"/>
    <w:rsid w:val="0C3B3C7D"/>
    <w:rsid w:val="0CAB2EAE"/>
    <w:rsid w:val="0D621C7D"/>
    <w:rsid w:val="0E73034D"/>
    <w:rsid w:val="0F13775A"/>
    <w:rsid w:val="0F5F45FE"/>
    <w:rsid w:val="0F9A112B"/>
    <w:rsid w:val="106D2F64"/>
    <w:rsid w:val="10B63710"/>
    <w:rsid w:val="10F10820"/>
    <w:rsid w:val="111C2F7A"/>
    <w:rsid w:val="11665CA1"/>
    <w:rsid w:val="119813F7"/>
    <w:rsid w:val="13951726"/>
    <w:rsid w:val="14396509"/>
    <w:rsid w:val="14DD2C3C"/>
    <w:rsid w:val="16087E1D"/>
    <w:rsid w:val="17701D14"/>
    <w:rsid w:val="17735226"/>
    <w:rsid w:val="189F624C"/>
    <w:rsid w:val="1A1C66C0"/>
    <w:rsid w:val="1A42393B"/>
    <w:rsid w:val="1AAD45DE"/>
    <w:rsid w:val="1AE84061"/>
    <w:rsid w:val="1B046F80"/>
    <w:rsid w:val="1B3267B5"/>
    <w:rsid w:val="1B40161D"/>
    <w:rsid w:val="1B441859"/>
    <w:rsid w:val="1B6606B1"/>
    <w:rsid w:val="1C5E7925"/>
    <w:rsid w:val="1CFD070F"/>
    <w:rsid w:val="1D5F6196"/>
    <w:rsid w:val="1D6132A5"/>
    <w:rsid w:val="1D8E56D5"/>
    <w:rsid w:val="1E7A43DA"/>
    <w:rsid w:val="1FE7539E"/>
    <w:rsid w:val="20671BE0"/>
    <w:rsid w:val="20963CB8"/>
    <w:rsid w:val="20A81A1B"/>
    <w:rsid w:val="20B07FB6"/>
    <w:rsid w:val="20B646FB"/>
    <w:rsid w:val="213B74B1"/>
    <w:rsid w:val="215A2310"/>
    <w:rsid w:val="21DE318A"/>
    <w:rsid w:val="21EF5B80"/>
    <w:rsid w:val="22576990"/>
    <w:rsid w:val="22F47480"/>
    <w:rsid w:val="23DE1C48"/>
    <w:rsid w:val="240210CD"/>
    <w:rsid w:val="24BF09F7"/>
    <w:rsid w:val="252D53FE"/>
    <w:rsid w:val="25EC2D81"/>
    <w:rsid w:val="277057A2"/>
    <w:rsid w:val="281007D8"/>
    <w:rsid w:val="29206EB8"/>
    <w:rsid w:val="29595666"/>
    <w:rsid w:val="29874881"/>
    <w:rsid w:val="29E325E0"/>
    <w:rsid w:val="2A452503"/>
    <w:rsid w:val="2BA936A8"/>
    <w:rsid w:val="2C315A5A"/>
    <w:rsid w:val="2C4B1C25"/>
    <w:rsid w:val="2D9E56F5"/>
    <w:rsid w:val="2E667F96"/>
    <w:rsid w:val="2E8226AB"/>
    <w:rsid w:val="2FD065E6"/>
    <w:rsid w:val="2FD96870"/>
    <w:rsid w:val="30580BC9"/>
    <w:rsid w:val="311E2ED7"/>
    <w:rsid w:val="315619EE"/>
    <w:rsid w:val="315C449C"/>
    <w:rsid w:val="31B82709"/>
    <w:rsid w:val="31D05482"/>
    <w:rsid w:val="32400B34"/>
    <w:rsid w:val="329E6876"/>
    <w:rsid w:val="32F96062"/>
    <w:rsid w:val="333015F2"/>
    <w:rsid w:val="334B6320"/>
    <w:rsid w:val="33D934D4"/>
    <w:rsid w:val="33FE2F6A"/>
    <w:rsid w:val="340E07E5"/>
    <w:rsid w:val="34235BF7"/>
    <w:rsid w:val="358C5FA8"/>
    <w:rsid w:val="35C15DF1"/>
    <w:rsid w:val="36074A7F"/>
    <w:rsid w:val="36923549"/>
    <w:rsid w:val="36B75FBF"/>
    <w:rsid w:val="36BD0C45"/>
    <w:rsid w:val="37E00298"/>
    <w:rsid w:val="38B302F9"/>
    <w:rsid w:val="38C95C57"/>
    <w:rsid w:val="38F12CD3"/>
    <w:rsid w:val="38F94775"/>
    <w:rsid w:val="392971ED"/>
    <w:rsid w:val="39325651"/>
    <w:rsid w:val="3A872856"/>
    <w:rsid w:val="3B3763D1"/>
    <w:rsid w:val="3C2F6E1E"/>
    <w:rsid w:val="3C4F64BA"/>
    <w:rsid w:val="3CDA245A"/>
    <w:rsid w:val="3D1E06B7"/>
    <w:rsid w:val="3EDA0523"/>
    <w:rsid w:val="407A6407"/>
    <w:rsid w:val="4200449D"/>
    <w:rsid w:val="423A3BCC"/>
    <w:rsid w:val="424E57D2"/>
    <w:rsid w:val="42B26C49"/>
    <w:rsid w:val="433A6FE6"/>
    <w:rsid w:val="43480868"/>
    <w:rsid w:val="4350713C"/>
    <w:rsid w:val="436653E0"/>
    <w:rsid w:val="43C4431A"/>
    <w:rsid w:val="44B951CC"/>
    <w:rsid w:val="44CD14E0"/>
    <w:rsid w:val="44F20B0B"/>
    <w:rsid w:val="452E5F4C"/>
    <w:rsid w:val="45612018"/>
    <w:rsid w:val="458946E9"/>
    <w:rsid w:val="45A47C0E"/>
    <w:rsid w:val="46577FD6"/>
    <w:rsid w:val="46D955A7"/>
    <w:rsid w:val="47133957"/>
    <w:rsid w:val="47A07E0C"/>
    <w:rsid w:val="4870272E"/>
    <w:rsid w:val="49DC7715"/>
    <w:rsid w:val="4A023139"/>
    <w:rsid w:val="4A7B576F"/>
    <w:rsid w:val="4AF561A9"/>
    <w:rsid w:val="4C4A0649"/>
    <w:rsid w:val="4C7E5ECA"/>
    <w:rsid w:val="4C876AA5"/>
    <w:rsid w:val="4D0E00FB"/>
    <w:rsid w:val="4D176606"/>
    <w:rsid w:val="4DEC4FB0"/>
    <w:rsid w:val="4E075D8A"/>
    <w:rsid w:val="4EC00FAD"/>
    <w:rsid w:val="4F9843DC"/>
    <w:rsid w:val="4FC62A8C"/>
    <w:rsid w:val="4FE20F0D"/>
    <w:rsid w:val="4FE51552"/>
    <w:rsid w:val="50504C4B"/>
    <w:rsid w:val="509C6E7C"/>
    <w:rsid w:val="5162104E"/>
    <w:rsid w:val="53A039CC"/>
    <w:rsid w:val="53A1505A"/>
    <w:rsid w:val="54063E08"/>
    <w:rsid w:val="543437E8"/>
    <w:rsid w:val="54F73313"/>
    <w:rsid w:val="54F80955"/>
    <w:rsid w:val="555170A7"/>
    <w:rsid w:val="5587536D"/>
    <w:rsid w:val="559B174B"/>
    <w:rsid w:val="55CE0CF4"/>
    <w:rsid w:val="56B22A9C"/>
    <w:rsid w:val="57B72A76"/>
    <w:rsid w:val="57C3426C"/>
    <w:rsid w:val="57CE1F93"/>
    <w:rsid w:val="588743D1"/>
    <w:rsid w:val="5887701A"/>
    <w:rsid w:val="59771406"/>
    <w:rsid w:val="59C0439F"/>
    <w:rsid w:val="5ABE2233"/>
    <w:rsid w:val="5BDF5D95"/>
    <w:rsid w:val="5BFE7528"/>
    <w:rsid w:val="5E2467F1"/>
    <w:rsid w:val="5F1A2B43"/>
    <w:rsid w:val="5FB837BB"/>
    <w:rsid w:val="6062071A"/>
    <w:rsid w:val="60CC405A"/>
    <w:rsid w:val="61695AD8"/>
    <w:rsid w:val="61E215D8"/>
    <w:rsid w:val="621B3775"/>
    <w:rsid w:val="62364782"/>
    <w:rsid w:val="6394356A"/>
    <w:rsid w:val="63C61B2C"/>
    <w:rsid w:val="63D40BE9"/>
    <w:rsid w:val="63DC37E5"/>
    <w:rsid w:val="64102431"/>
    <w:rsid w:val="64A5243A"/>
    <w:rsid w:val="64F531DE"/>
    <w:rsid w:val="65373578"/>
    <w:rsid w:val="671F124A"/>
    <w:rsid w:val="677A33C6"/>
    <w:rsid w:val="681F6961"/>
    <w:rsid w:val="68610A2F"/>
    <w:rsid w:val="68805514"/>
    <w:rsid w:val="69316E2F"/>
    <w:rsid w:val="694E2071"/>
    <w:rsid w:val="69766163"/>
    <w:rsid w:val="697A3B33"/>
    <w:rsid w:val="69D44760"/>
    <w:rsid w:val="6A520EC7"/>
    <w:rsid w:val="6AF87E20"/>
    <w:rsid w:val="6B322639"/>
    <w:rsid w:val="6C636C38"/>
    <w:rsid w:val="6DB34098"/>
    <w:rsid w:val="6DB545B6"/>
    <w:rsid w:val="6DE02FB4"/>
    <w:rsid w:val="6E514CED"/>
    <w:rsid w:val="6EB563D5"/>
    <w:rsid w:val="6ED92677"/>
    <w:rsid w:val="6F225983"/>
    <w:rsid w:val="6F7E6219"/>
    <w:rsid w:val="6FFC5590"/>
    <w:rsid w:val="706D1DD0"/>
    <w:rsid w:val="70856B87"/>
    <w:rsid w:val="70D527EE"/>
    <w:rsid w:val="715B5300"/>
    <w:rsid w:val="71D27F8A"/>
    <w:rsid w:val="72553024"/>
    <w:rsid w:val="73122968"/>
    <w:rsid w:val="731F5D5E"/>
    <w:rsid w:val="73C51AD5"/>
    <w:rsid w:val="73D05340"/>
    <w:rsid w:val="741E793C"/>
    <w:rsid w:val="745E3944"/>
    <w:rsid w:val="7635099D"/>
    <w:rsid w:val="77762421"/>
    <w:rsid w:val="77B56B1F"/>
    <w:rsid w:val="780F09F4"/>
    <w:rsid w:val="78A90480"/>
    <w:rsid w:val="7A364017"/>
    <w:rsid w:val="7A8265E1"/>
    <w:rsid w:val="7B686D42"/>
    <w:rsid w:val="7B841746"/>
    <w:rsid w:val="7C6C5AC7"/>
    <w:rsid w:val="7CC6544B"/>
    <w:rsid w:val="7D0239FF"/>
    <w:rsid w:val="7D5E40CD"/>
    <w:rsid w:val="7DCD56F2"/>
    <w:rsid w:val="7F001CE7"/>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unhideWhenUsed="0" w:uiPriority="0" w:semiHidden="0" w:name="Subtitle" w:locked="1"/>
    <w:lsdException w:unhideWhenUsed="0" w:uiPriority="0" w:semiHidden="0" w:name="Salutation" w:locked="1"/>
    <w:lsdException w:qFormat="1" w:unhideWhenUsed="0" w:uiPriority="0" w:semiHidden="0" w:name="Date"/>
    <w:lsdException w:qFormat="1" w:uiPriority="99" w:semiHidden="0" w:name="Body Text First Indent" w:locked="1"/>
    <w:lsdException w:qFormat="1"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22" w:semiHidden="0" w:name="Strong" w:locked="1"/>
    <w:lsdException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59"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92"/>
    <w:unhideWhenUsed/>
    <w:qFormat/>
    <w:locked/>
    <w:uiPriority w:val="0"/>
    <w:pPr>
      <w:autoSpaceDE w:val="0"/>
      <w:autoSpaceDN w:val="0"/>
      <w:adjustRightInd w:val="0"/>
      <w:snapToGrid w:val="0"/>
      <w:outlineLvl w:val="1"/>
    </w:pPr>
    <w:rPr>
      <w:rFonts w:ascii="宋体" w:hAnsi="宋体" w:cs="宋体"/>
      <w:b/>
      <w:bCs/>
      <w:kern w:val="0"/>
      <w:szCs w:val="21"/>
    </w:rPr>
  </w:style>
  <w:style w:type="paragraph" w:styleId="4">
    <w:name w:val="heading 3"/>
    <w:basedOn w:val="1"/>
    <w:next w:val="1"/>
    <w:link w:val="112"/>
    <w:semiHidden/>
    <w:unhideWhenUsed/>
    <w:qFormat/>
    <w:locked/>
    <w:uiPriority w:val="0"/>
    <w:pPr>
      <w:keepNext/>
      <w:keepLines/>
      <w:spacing w:before="260" w:after="260" w:line="416" w:lineRule="auto"/>
      <w:outlineLvl w:val="2"/>
    </w:pPr>
    <w:rPr>
      <w:b/>
      <w:bCs/>
      <w:sz w:val="32"/>
      <w:szCs w:val="32"/>
    </w:rPr>
  </w:style>
  <w:style w:type="paragraph" w:styleId="5">
    <w:name w:val="heading 4"/>
    <w:basedOn w:val="1"/>
    <w:next w:val="1"/>
    <w:link w:val="51"/>
    <w:unhideWhenUsed/>
    <w:qFormat/>
    <w:locked/>
    <w:uiPriority w:val="0"/>
    <w:pPr>
      <w:keepNext/>
      <w:keepLines/>
      <w:spacing w:before="280" w:after="290" w:line="376" w:lineRule="auto"/>
      <w:outlineLvl w:val="3"/>
    </w:pPr>
    <w:rPr>
      <w:rFonts w:ascii="等线 Light" w:hAnsi="等线 Light" w:eastAsia="等线 Light"/>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link w:val="57"/>
    <w:unhideWhenUsed/>
    <w:qFormat/>
    <w:locked/>
    <w:uiPriority w:val="0"/>
    <w:pPr>
      <w:spacing w:line="300" w:lineRule="exact"/>
      <w:jc w:val="center"/>
    </w:pPr>
    <w:rPr>
      <w:lang w:val="zh-CN"/>
    </w:rPr>
  </w:style>
  <w:style w:type="paragraph" w:styleId="7">
    <w:name w:val="annotation text"/>
    <w:basedOn w:val="1"/>
    <w:link w:val="33"/>
    <w:semiHidden/>
    <w:qFormat/>
    <w:uiPriority w:val="0"/>
    <w:pPr>
      <w:jc w:val="left"/>
    </w:pPr>
    <w:rPr>
      <w:kern w:val="0"/>
      <w:sz w:val="24"/>
      <w:szCs w:val="20"/>
    </w:rPr>
  </w:style>
  <w:style w:type="paragraph" w:styleId="8">
    <w:name w:val="Body Text"/>
    <w:basedOn w:val="1"/>
    <w:link w:val="32"/>
    <w:qFormat/>
    <w:uiPriority w:val="0"/>
    <w:pPr>
      <w:widowControl/>
      <w:snapToGrid w:val="0"/>
      <w:spacing w:before="60" w:after="160" w:line="259" w:lineRule="auto"/>
      <w:ind w:right="113"/>
    </w:pPr>
    <w:rPr>
      <w:kern w:val="0"/>
      <w:sz w:val="18"/>
      <w:szCs w:val="20"/>
    </w:rPr>
  </w:style>
  <w:style w:type="paragraph" w:styleId="9">
    <w:name w:val="Body Text Indent"/>
    <w:basedOn w:val="1"/>
    <w:link w:val="41"/>
    <w:qFormat/>
    <w:uiPriority w:val="0"/>
    <w:pPr>
      <w:spacing w:after="120"/>
      <w:ind w:left="420" w:leftChars="200"/>
    </w:pPr>
    <w:rPr>
      <w:kern w:val="0"/>
      <w:sz w:val="24"/>
      <w:szCs w:val="20"/>
    </w:rPr>
  </w:style>
  <w:style w:type="paragraph" w:styleId="10">
    <w:name w:val="Plain Text"/>
    <w:basedOn w:val="1"/>
    <w:link w:val="56"/>
    <w:qFormat/>
    <w:locked/>
    <w:uiPriority w:val="0"/>
    <w:rPr>
      <w:rFonts w:ascii="宋体" w:hAnsi="Courier New"/>
    </w:rPr>
  </w:style>
  <w:style w:type="paragraph" w:styleId="11">
    <w:name w:val="Date"/>
    <w:basedOn w:val="1"/>
    <w:next w:val="1"/>
    <w:link w:val="28"/>
    <w:qFormat/>
    <w:uiPriority w:val="0"/>
    <w:pPr>
      <w:ind w:left="100" w:leftChars="2500"/>
    </w:pPr>
    <w:rPr>
      <w:kern w:val="0"/>
      <w:sz w:val="24"/>
      <w:szCs w:val="20"/>
    </w:rPr>
  </w:style>
  <w:style w:type="paragraph" w:styleId="12">
    <w:name w:val="Balloon Text"/>
    <w:basedOn w:val="1"/>
    <w:link w:val="37"/>
    <w:semiHidden/>
    <w:qFormat/>
    <w:uiPriority w:val="0"/>
    <w:rPr>
      <w:kern w:val="0"/>
      <w:sz w:val="18"/>
      <w:szCs w:val="20"/>
    </w:rPr>
  </w:style>
  <w:style w:type="paragraph" w:styleId="13">
    <w:name w:val="footer"/>
    <w:basedOn w:val="1"/>
    <w:link w:val="27"/>
    <w:qFormat/>
    <w:uiPriority w:val="99"/>
    <w:pPr>
      <w:tabs>
        <w:tab w:val="center" w:pos="4153"/>
        <w:tab w:val="right" w:pos="8306"/>
      </w:tabs>
      <w:snapToGrid w:val="0"/>
      <w:jc w:val="left"/>
    </w:pPr>
    <w:rPr>
      <w:kern w:val="0"/>
      <w:sz w:val="18"/>
      <w:szCs w:val="20"/>
    </w:rPr>
  </w:style>
  <w:style w:type="paragraph" w:styleId="14">
    <w:name w:val="header"/>
    <w:basedOn w:val="1"/>
    <w:link w:val="39"/>
    <w:qFormat/>
    <w:uiPriority w:val="0"/>
    <w:pPr>
      <w:pBdr>
        <w:bottom w:val="single" w:color="auto" w:sz="6" w:space="1"/>
      </w:pBdr>
      <w:tabs>
        <w:tab w:val="center" w:pos="4153"/>
        <w:tab w:val="right" w:pos="8306"/>
      </w:tabs>
      <w:snapToGrid w:val="0"/>
      <w:jc w:val="center"/>
    </w:pPr>
    <w:rPr>
      <w:kern w:val="0"/>
      <w:sz w:val="18"/>
      <w:szCs w:val="20"/>
    </w:rPr>
  </w:style>
  <w:style w:type="paragraph" w:styleId="15">
    <w:name w:val="Normal (Web)"/>
    <w:basedOn w:val="1"/>
    <w:link w:val="30"/>
    <w:qFormat/>
    <w:uiPriority w:val="0"/>
    <w:pPr>
      <w:widowControl/>
      <w:spacing w:before="100" w:beforeAutospacing="1" w:after="100" w:afterAutospacing="1"/>
      <w:jc w:val="left"/>
    </w:pPr>
    <w:rPr>
      <w:rFonts w:ascii="宋体" w:hAnsi="宋体"/>
      <w:kern w:val="0"/>
      <w:sz w:val="24"/>
      <w:szCs w:val="20"/>
    </w:rPr>
  </w:style>
  <w:style w:type="paragraph" w:styleId="16">
    <w:name w:val="Title"/>
    <w:basedOn w:val="1"/>
    <w:next w:val="1"/>
    <w:link w:val="73"/>
    <w:qFormat/>
    <w:locked/>
    <w:uiPriority w:val="0"/>
    <w:pPr>
      <w:adjustRightInd w:val="0"/>
      <w:snapToGrid w:val="0"/>
      <w:spacing w:before="60" w:after="60"/>
      <w:outlineLvl w:val="0"/>
    </w:pPr>
    <w:rPr>
      <w:rFonts w:ascii="等线 Light" w:hAnsi="等线 Light"/>
      <w:b/>
      <w:bCs/>
      <w:sz w:val="24"/>
    </w:rPr>
  </w:style>
  <w:style w:type="paragraph" w:styleId="17">
    <w:name w:val="annotation subject"/>
    <w:basedOn w:val="7"/>
    <w:next w:val="7"/>
    <w:link w:val="38"/>
    <w:semiHidden/>
    <w:qFormat/>
    <w:uiPriority w:val="0"/>
    <w:rPr>
      <w:b/>
    </w:rPr>
  </w:style>
  <w:style w:type="paragraph" w:styleId="18">
    <w:name w:val="Body Text First Indent"/>
    <w:basedOn w:val="8"/>
    <w:link w:val="104"/>
    <w:unhideWhenUsed/>
    <w:qFormat/>
    <w:locked/>
    <w:uiPriority w:val="99"/>
    <w:pPr>
      <w:widowControl w:val="0"/>
      <w:snapToGrid/>
      <w:spacing w:before="0" w:after="120" w:line="240" w:lineRule="auto"/>
      <w:ind w:right="0" w:firstLine="420" w:firstLineChars="100"/>
    </w:pPr>
    <w:rPr>
      <w:kern w:val="2"/>
      <w:sz w:val="21"/>
      <w:szCs w:val="24"/>
    </w:rPr>
  </w:style>
  <w:style w:type="paragraph" w:styleId="19">
    <w:name w:val="Body Text First Indent 2"/>
    <w:basedOn w:val="9"/>
    <w:link w:val="107"/>
    <w:unhideWhenUsed/>
    <w:qFormat/>
    <w:locked/>
    <w:uiPriority w:val="0"/>
    <w:pPr>
      <w:widowControl/>
      <w:ind w:firstLine="420" w:firstLineChars="200"/>
      <w:jc w:val="left"/>
    </w:pPr>
    <w:rPr>
      <w:kern w:val="2"/>
      <w:szCs w:val="24"/>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locked/>
    <w:uiPriority w:val="22"/>
    <w:rPr>
      <w:b/>
      <w:bCs/>
    </w:rPr>
  </w:style>
  <w:style w:type="character" w:styleId="24">
    <w:name w:val="page number"/>
    <w:basedOn w:val="22"/>
    <w:qFormat/>
    <w:locked/>
    <w:uiPriority w:val="0"/>
  </w:style>
  <w:style w:type="character" w:styleId="25">
    <w:name w:val="Hyperlink"/>
    <w:qFormat/>
    <w:locked/>
    <w:uiPriority w:val="0"/>
    <w:rPr>
      <w:color w:val="136EC2"/>
      <w:u w:val="single"/>
    </w:rPr>
  </w:style>
  <w:style w:type="character" w:styleId="26">
    <w:name w:val="annotation reference"/>
    <w:semiHidden/>
    <w:qFormat/>
    <w:uiPriority w:val="0"/>
    <w:rPr>
      <w:sz w:val="21"/>
    </w:rPr>
  </w:style>
  <w:style w:type="character" w:customStyle="1" w:styleId="27">
    <w:name w:val="页脚 字符1"/>
    <w:link w:val="13"/>
    <w:qFormat/>
    <w:locked/>
    <w:uiPriority w:val="99"/>
    <w:rPr>
      <w:sz w:val="18"/>
    </w:rPr>
  </w:style>
  <w:style w:type="character" w:customStyle="1" w:styleId="28">
    <w:name w:val="日期 字符1"/>
    <w:link w:val="11"/>
    <w:qFormat/>
    <w:locked/>
    <w:uiPriority w:val="0"/>
    <w:rPr>
      <w:rFonts w:ascii="Times New Roman" w:hAnsi="Times New Roman" w:eastAsia="宋体"/>
      <w:sz w:val="24"/>
    </w:rPr>
  </w:style>
  <w:style w:type="character" w:customStyle="1" w:styleId="29">
    <w:name w:val="页脚 字符"/>
    <w:basedOn w:val="22"/>
    <w:qFormat/>
    <w:uiPriority w:val="99"/>
  </w:style>
  <w:style w:type="character" w:customStyle="1" w:styleId="30">
    <w:name w:val="普通(网站) 字符"/>
    <w:link w:val="15"/>
    <w:qFormat/>
    <w:locked/>
    <w:uiPriority w:val="0"/>
    <w:rPr>
      <w:rFonts w:ascii="宋体" w:hAnsi="宋体" w:eastAsia="宋体"/>
      <w:sz w:val="24"/>
    </w:rPr>
  </w:style>
  <w:style w:type="character" w:customStyle="1" w:styleId="31">
    <w:name w:val="正文文本 字符1"/>
    <w:semiHidden/>
    <w:qFormat/>
    <w:uiPriority w:val="0"/>
    <w:rPr>
      <w:rFonts w:ascii="Times New Roman" w:hAnsi="Times New Roman" w:eastAsia="宋体"/>
      <w:sz w:val="24"/>
    </w:rPr>
  </w:style>
  <w:style w:type="character" w:customStyle="1" w:styleId="32">
    <w:name w:val="正文文本 字符"/>
    <w:link w:val="8"/>
    <w:qFormat/>
    <w:locked/>
    <w:uiPriority w:val="0"/>
    <w:rPr>
      <w:sz w:val="18"/>
    </w:rPr>
  </w:style>
  <w:style w:type="character" w:customStyle="1" w:styleId="33">
    <w:name w:val="批注文字 字符"/>
    <w:link w:val="7"/>
    <w:qFormat/>
    <w:locked/>
    <w:uiPriority w:val="0"/>
    <w:rPr>
      <w:rFonts w:ascii="Times New Roman" w:hAnsi="Times New Roman" w:eastAsia="宋体"/>
      <w:sz w:val="24"/>
    </w:rPr>
  </w:style>
  <w:style w:type="character" w:customStyle="1" w:styleId="34">
    <w:name w:val="表格 Char"/>
    <w:link w:val="35"/>
    <w:qFormat/>
    <w:locked/>
    <w:uiPriority w:val="0"/>
    <w:rPr>
      <w:rFonts w:ascii="宋体"/>
      <w:sz w:val="21"/>
    </w:rPr>
  </w:style>
  <w:style w:type="paragraph" w:customStyle="1" w:styleId="35">
    <w:name w:val="表格"/>
    <w:basedOn w:val="1"/>
    <w:next w:val="1"/>
    <w:link w:val="34"/>
    <w:qFormat/>
    <w:uiPriority w:val="0"/>
    <w:pPr>
      <w:adjustRightInd w:val="0"/>
      <w:snapToGrid w:val="0"/>
      <w:spacing w:beforeLines="10" w:afterLines="10" w:line="259" w:lineRule="auto"/>
      <w:jc w:val="center"/>
    </w:pPr>
    <w:rPr>
      <w:rFonts w:ascii="宋体"/>
      <w:kern w:val="0"/>
      <w:szCs w:val="20"/>
    </w:rPr>
  </w:style>
  <w:style w:type="character" w:customStyle="1" w:styleId="36">
    <w:name w:val="日期 字符"/>
    <w:semiHidden/>
    <w:qFormat/>
    <w:uiPriority w:val="0"/>
    <w:rPr>
      <w:rFonts w:ascii="Times New Roman" w:hAnsi="Times New Roman" w:eastAsia="宋体"/>
      <w:sz w:val="24"/>
    </w:rPr>
  </w:style>
  <w:style w:type="character" w:customStyle="1" w:styleId="37">
    <w:name w:val="批注框文本 字符"/>
    <w:link w:val="12"/>
    <w:semiHidden/>
    <w:qFormat/>
    <w:locked/>
    <w:uiPriority w:val="0"/>
    <w:rPr>
      <w:rFonts w:ascii="Times New Roman" w:hAnsi="Times New Roman" w:eastAsia="宋体"/>
      <w:sz w:val="18"/>
    </w:rPr>
  </w:style>
  <w:style w:type="character" w:customStyle="1" w:styleId="38">
    <w:name w:val="批注主题 字符"/>
    <w:link w:val="17"/>
    <w:semiHidden/>
    <w:qFormat/>
    <w:locked/>
    <w:uiPriority w:val="0"/>
    <w:rPr>
      <w:rFonts w:ascii="Times New Roman" w:hAnsi="Times New Roman" w:eastAsia="宋体"/>
      <w:b/>
      <w:kern w:val="2"/>
      <w:sz w:val="24"/>
    </w:rPr>
  </w:style>
  <w:style w:type="character" w:customStyle="1" w:styleId="39">
    <w:name w:val="页眉 字符"/>
    <w:link w:val="14"/>
    <w:qFormat/>
    <w:locked/>
    <w:uiPriority w:val="0"/>
    <w:rPr>
      <w:sz w:val="18"/>
    </w:rPr>
  </w:style>
  <w:style w:type="character" w:customStyle="1" w:styleId="40">
    <w:name w:val="批注文字 字符1"/>
    <w:semiHidden/>
    <w:qFormat/>
    <w:uiPriority w:val="0"/>
    <w:rPr>
      <w:rFonts w:ascii="Times New Roman" w:hAnsi="Times New Roman" w:eastAsia="宋体"/>
      <w:sz w:val="24"/>
    </w:rPr>
  </w:style>
  <w:style w:type="character" w:customStyle="1" w:styleId="41">
    <w:name w:val="正文文本缩进 字符"/>
    <w:link w:val="9"/>
    <w:semiHidden/>
    <w:qFormat/>
    <w:locked/>
    <w:uiPriority w:val="0"/>
    <w:rPr>
      <w:rFonts w:ascii="Times New Roman" w:hAnsi="Times New Roman" w:eastAsia="宋体"/>
      <w:sz w:val="24"/>
    </w:rPr>
  </w:style>
  <w:style w:type="paragraph" w:customStyle="1" w:styleId="4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44">
    <w:name w:val="表头 Char2"/>
    <w:link w:val="45"/>
    <w:qFormat/>
    <w:locked/>
    <w:uiPriority w:val="0"/>
    <w:rPr>
      <w:rFonts w:ascii="宋体" w:hAnsi="宋体"/>
      <w:sz w:val="21"/>
      <w:szCs w:val="21"/>
    </w:rPr>
  </w:style>
  <w:style w:type="paragraph" w:customStyle="1" w:styleId="45">
    <w:name w:val="表头"/>
    <w:basedOn w:val="46"/>
    <w:link w:val="44"/>
    <w:qFormat/>
    <w:uiPriority w:val="0"/>
    <w:pPr>
      <w:ind w:firstLine="0" w:firstLineChars="0"/>
      <w:jc w:val="center"/>
    </w:pPr>
    <w:rPr>
      <w:kern w:val="0"/>
      <w:sz w:val="21"/>
      <w:szCs w:val="21"/>
    </w:rPr>
  </w:style>
  <w:style w:type="paragraph" w:customStyle="1" w:styleId="46">
    <w:name w:val="文本"/>
    <w:basedOn w:val="1"/>
    <w:link w:val="47"/>
    <w:qFormat/>
    <w:uiPriority w:val="0"/>
    <w:pPr>
      <w:adjustRightInd w:val="0"/>
      <w:snapToGrid w:val="0"/>
      <w:spacing w:line="440" w:lineRule="exact"/>
      <w:ind w:firstLine="480" w:firstLineChars="200"/>
    </w:pPr>
    <w:rPr>
      <w:rFonts w:ascii="宋体" w:hAnsi="宋体"/>
      <w:sz w:val="24"/>
    </w:rPr>
  </w:style>
  <w:style w:type="character" w:customStyle="1" w:styleId="47">
    <w:name w:val="文本 字符"/>
    <w:link w:val="46"/>
    <w:qFormat/>
    <w:uiPriority w:val="0"/>
    <w:rPr>
      <w:rFonts w:ascii="宋体" w:hAnsi="宋体"/>
      <w:kern w:val="2"/>
      <w:sz w:val="24"/>
      <w:szCs w:val="24"/>
    </w:rPr>
  </w:style>
  <w:style w:type="character" w:customStyle="1" w:styleId="48">
    <w:name w:val="表格标题 Char"/>
    <w:link w:val="49"/>
    <w:qFormat/>
    <w:locked/>
    <w:uiPriority w:val="0"/>
    <w:rPr>
      <w:sz w:val="21"/>
      <w:szCs w:val="21"/>
    </w:rPr>
  </w:style>
  <w:style w:type="paragraph" w:customStyle="1" w:styleId="49">
    <w:name w:val="表格标题"/>
    <w:basedOn w:val="45"/>
    <w:link w:val="48"/>
    <w:qFormat/>
    <w:uiPriority w:val="0"/>
    <w:pPr>
      <w:numPr>
        <w:ilvl w:val="0"/>
        <w:numId w:val="1"/>
      </w:numPr>
    </w:pPr>
    <w:rPr>
      <w:rFonts w:ascii="Times New Roman" w:hAnsi="Times New Roman"/>
    </w:rPr>
  </w:style>
  <w:style w:type="paragraph" w:customStyle="1" w:styleId="50">
    <w:name w:val="正文呀呀呀"/>
    <w:basedOn w:val="1"/>
    <w:qFormat/>
    <w:uiPriority w:val="0"/>
    <w:pPr>
      <w:tabs>
        <w:tab w:val="left" w:pos="4752"/>
      </w:tabs>
      <w:snapToGrid w:val="0"/>
      <w:spacing w:line="460" w:lineRule="exact"/>
      <w:ind w:firstLine="480" w:firstLineChars="200"/>
    </w:pPr>
    <w:rPr>
      <w:sz w:val="24"/>
      <w:szCs w:val="28"/>
    </w:rPr>
  </w:style>
  <w:style w:type="character" w:customStyle="1" w:styleId="51">
    <w:name w:val="标题 4 字符"/>
    <w:link w:val="5"/>
    <w:qFormat/>
    <w:uiPriority w:val="0"/>
    <w:rPr>
      <w:rFonts w:ascii="等线 Light" w:hAnsi="等线 Light" w:eastAsia="等线 Light" w:cs="Times New Roman"/>
      <w:b/>
      <w:bCs/>
      <w:kern w:val="2"/>
      <w:sz w:val="28"/>
      <w:szCs w:val="28"/>
    </w:rPr>
  </w:style>
  <w:style w:type="paragraph" w:customStyle="1" w:styleId="52">
    <w:name w:val="表格内文字"/>
    <w:basedOn w:val="1"/>
    <w:link w:val="75"/>
    <w:qFormat/>
    <w:uiPriority w:val="0"/>
    <w:pPr>
      <w:tabs>
        <w:tab w:val="left" w:pos="0"/>
      </w:tabs>
      <w:adjustRightInd w:val="0"/>
      <w:snapToGrid w:val="0"/>
      <w:jc w:val="center"/>
    </w:pPr>
    <w:rPr>
      <w:szCs w:val="21"/>
    </w:rPr>
  </w:style>
  <w:style w:type="paragraph" w:styleId="53">
    <w:name w:val="List Paragraph"/>
    <w:basedOn w:val="1"/>
    <w:qFormat/>
    <w:uiPriority w:val="34"/>
    <w:pPr>
      <w:ind w:firstLine="420" w:firstLineChars="200"/>
    </w:pPr>
  </w:style>
  <w:style w:type="character" w:customStyle="1" w:styleId="54">
    <w:name w:val="表格内容5号 Char"/>
    <w:link w:val="55"/>
    <w:qFormat/>
    <w:locked/>
    <w:uiPriority w:val="0"/>
    <w:rPr>
      <w:kern w:val="2"/>
      <w:sz w:val="21"/>
      <w:szCs w:val="24"/>
    </w:rPr>
  </w:style>
  <w:style w:type="paragraph" w:customStyle="1" w:styleId="55">
    <w:name w:val="表格内容5号"/>
    <w:link w:val="54"/>
    <w:qFormat/>
    <w:uiPriority w:val="0"/>
    <w:pPr>
      <w:snapToGrid w:val="0"/>
      <w:spacing w:line="240" w:lineRule="atLeast"/>
      <w:jc w:val="center"/>
    </w:pPr>
    <w:rPr>
      <w:rFonts w:ascii="Times New Roman" w:hAnsi="Times New Roman" w:eastAsia="宋体" w:cs="Times New Roman"/>
      <w:kern w:val="2"/>
      <w:sz w:val="21"/>
      <w:szCs w:val="24"/>
      <w:lang w:val="en-US" w:eastAsia="zh-CN" w:bidi="ar-SA"/>
    </w:rPr>
  </w:style>
  <w:style w:type="character" w:customStyle="1" w:styleId="56">
    <w:name w:val="纯文本 字符"/>
    <w:link w:val="10"/>
    <w:qFormat/>
    <w:uiPriority w:val="0"/>
    <w:rPr>
      <w:rFonts w:ascii="宋体" w:hAnsi="Courier New"/>
      <w:kern w:val="2"/>
      <w:sz w:val="21"/>
      <w:szCs w:val="24"/>
    </w:rPr>
  </w:style>
  <w:style w:type="character" w:customStyle="1" w:styleId="57">
    <w:name w:val="正文缩进 字符"/>
    <w:link w:val="6"/>
    <w:qFormat/>
    <w:locked/>
    <w:uiPriority w:val="0"/>
    <w:rPr>
      <w:kern w:val="2"/>
      <w:sz w:val="21"/>
      <w:szCs w:val="24"/>
      <w:lang w:val="zh-CN"/>
    </w:rPr>
  </w:style>
  <w:style w:type="character" w:customStyle="1" w:styleId="58">
    <w:name w:val="ask-title"/>
    <w:qFormat/>
    <w:uiPriority w:val="0"/>
  </w:style>
  <w:style w:type="paragraph" w:customStyle="1" w:styleId="59">
    <w:name w:val="三级标题"/>
    <w:basedOn w:val="10"/>
    <w:link w:val="70"/>
    <w:qFormat/>
    <w:uiPriority w:val="0"/>
    <w:pPr>
      <w:adjustRightInd w:val="0"/>
      <w:snapToGrid w:val="0"/>
      <w:spacing w:before="30" w:beforeLines="30" w:after="30" w:afterLines="30" w:line="360" w:lineRule="exact"/>
      <w:ind w:firstLine="200" w:firstLineChars="200"/>
    </w:pPr>
    <w:rPr>
      <w:rFonts w:ascii="Times New Roman" w:hAnsi="Times New Roman"/>
      <w:bCs/>
      <w:sz w:val="24"/>
      <w:szCs w:val="28"/>
    </w:rPr>
  </w:style>
  <w:style w:type="character" w:customStyle="1" w:styleId="60">
    <w:name w:val="fontstyle01"/>
    <w:qFormat/>
    <w:uiPriority w:val="0"/>
    <w:rPr>
      <w:rFonts w:hint="eastAsia" w:ascii="宋体" w:hAnsi="宋体" w:eastAsia="宋体"/>
      <w:color w:val="000000"/>
      <w:sz w:val="24"/>
      <w:szCs w:val="24"/>
    </w:rPr>
  </w:style>
  <w:style w:type="paragraph" w:customStyle="1" w:styleId="6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2">
    <w:name w:val="_Style 4 Char"/>
    <w:link w:val="63"/>
    <w:qFormat/>
    <w:uiPriority w:val="0"/>
  </w:style>
  <w:style w:type="paragraph" w:customStyle="1" w:styleId="63">
    <w:name w:val="_Style 4"/>
    <w:basedOn w:val="1"/>
    <w:link w:val="62"/>
    <w:qFormat/>
    <w:uiPriority w:val="0"/>
    <w:rPr>
      <w:kern w:val="0"/>
      <w:sz w:val="20"/>
      <w:szCs w:val="20"/>
    </w:rPr>
  </w:style>
  <w:style w:type="character" w:customStyle="1" w:styleId="64">
    <w:name w:val="纯文本 字符1"/>
    <w:qFormat/>
    <w:locked/>
    <w:uiPriority w:val="0"/>
    <w:rPr>
      <w:rFonts w:ascii="宋体" w:hAnsi="Courier New" w:eastAsia="宋体"/>
      <w:szCs w:val="24"/>
    </w:rPr>
  </w:style>
  <w:style w:type="paragraph" w:customStyle="1" w:styleId="65">
    <w:name w:val="报告书正文"/>
    <w:basedOn w:val="1"/>
    <w:link w:val="66"/>
    <w:qFormat/>
    <w:uiPriority w:val="0"/>
    <w:pPr>
      <w:spacing w:line="360" w:lineRule="auto"/>
      <w:ind w:firstLine="560"/>
    </w:pPr>
    <w:rPr>
      <w:rFonts w:ascii="宋体" w:hAnsi="宋体"/>
      <w:sz w:val="24"/>
    </w:rPr>
  </w:style>
  <w:style w:type="character" w:customStyle="1" w:styleId="66">
    <w:name w:val="报告书正文 Char2"/>
    <w:link w:val="65"/>
    <w:qFormat/>
    <w:uiPriority w:val="0"/>
    <w:rPr>
      <w:rFonts w:ascii="宋体" w:hAnsi="宋体"/>
      <w:kern w:val="2"/>
      <w:sz w:val="24"/>
      <w:szCs w:val="24"/>
    </w:rPr>
  </w:style>
  <w:style w:type="character" w:customStyle="1" w:styleId="67">
    <w:name w:val="fontstyle11"/>
    <w:qFormat/>
    <w:uiPriority w:val="0"/>
    <w:rPr>
      <w:rFonts w:hint="default" w:ascii="Times New Roman" w:hAnsi="Times New Roman" w:cs="Times New Roman"/>
      <w:color w:val="000000"/>
      <w:sz w:val="28"/>
      <w:szCs w:val="28"/>
    </w:rPr>
  </w:style>
  <w:style w:type="paragraph" w:customStyle="1" w:styleId="68">
    <w:name w:val="主要内容"/>
    <w:basedOn w:val="1"/>
    <w:link w:val="69"/>
    <w:qFormat/>
    <w:uiPriority w:val="0"/>
    <w:pPr>
      <w:adjustRightInd w:val="0"/>
      <w:snapToGrid w:val="0"/>
      <w:spacing w:line="360" w:lineRule="exact"/>
      <w:ind w:firstLine="420" w:firstLineChars="200"/>
    </w:pPr>
    <w:rPr>
      <w:snapToGrid w:val="0"/>
      <w:kern w:val="0"/>
      <w:szCs w:val="21"/>
    </w:rPr>
  </w:style>
  <w:style w:type="character" w:customStyle="1" w:styleId="69">
    <w:name w:val="主要内容 字符"/>
    <w:link w:val="68"/>
    <w:qFormat/>
    <w:uiPriority w:val="0"/>
    <w:rPr>
      <w:snapToGrid w:val="0"/>
      <w:sz w:val="21"/>
      <w:szCs w:val="21"/>
    </w:rPr>
  </w:style>
  <w:style w:type="character" w:customStyle="1" w:styleId="70">
    <w:name w:val="三级标题 字符"/>
    <w:link w:val="59"/>
    <w:qFormat/>
    <w:uiPriority w:val="0"/>
    <w:rPr>
      <w:bCs/>
      <w:kern w:val="2"/>
      <w:sz w:val="24"/>
      <w:szCs w:val="28"/>
    </w:rPr>
  </w:style>
  <w:style w:type="character" w:customStyle="1" w:styleId="71">
    <w:name w:val="【正文】 Char"/>
    <w:link w:val="72"/>
    <w:qFormat/>
    <w:uiPriority w:val="0"/>
    <w:rPr>
      <w:sz w:val="21"/>
      <w:lang w:val="zh-CN"/>
    </w:rPr>
  </w:style>
  <w:style w:type="paragraph" w:customStyle="1" w:styleId="72">
    <w:name w:val="【正文】"/>
    <w:basedOn w:val="1"/>
    <w:link w:val="71"/>
    <w:qFormat/>
    <w:uiPriority w:val="0"/>
    <w:pPr>
      <w:spacing w:line="380" w:lineRule="exact"/>
      <w:ind w:firstLine="420" w:firstLineChars="200"/>
    </w:pPr>
    <w:rPr>
      <w:kern w:val="0"/>
      <w:szCs w:val="20"/>
      <w:lang w:val="zh-CN"/>
    </w:rPr>
  </w:style>
  <w:style w:type="character" w:customStyle="1" w:styleId="73">
    <w:name w:val="标题 字符"/>
    <w:link w:val="16"/>
    <w:qFormat/>
    <w:uiPriority w:val="0"/>
    <w:rPr>
      <w:rFonts w:ascii="等线 Light" w:hAnsi="等线 Light" w:cs="Times New Roman"/>
      <w:b/>
      <w:bCs/>
      <w:kern w:val="2"/>
      <w:sz w:val="24"/>
      <w:szCs w:val="24"/>
    </w:rPr>
  </w:style>
  <w:style w:type="character" w:customStyle="1" w:styleId="74">
    <w:name w:val="表格标题 字符"/>
    <w:qFormat/>
    <w:uiPriority w:val="0"/>
    <w:rPr>
      <w:rFonts w:hAnsi="宋体"/>
      <w:color w:val="000000"/>
      <w:kern w:val="2"/>
      <w:sz w:val="21"/>
      <w:szCs w:val="21"/>
    </w:rPr>
  </w:style>
  <w:style w:type="character" w:customStyle="1" w:styleId="75">
    <w:name w:val="表格内文字 Char"/>
    <w:link w:val="52"/>
    <w:qFormat/>
    <w:uiPriority w:val="0"/>
    <w:rPr>
      <w:kern w:val="2"/>
      <w:sz w:val="21"/>
      <w:szCs w:val="21"/>
    </w:rPr>
  </w:style>
  <w:style w:type="paragraph" w:customStyle="1" w:styleId="76">
    <w:name w:val="格式33"/>
    <w:basedOn w:val="1"/>
    <w:qFormat/>
    <w:uiPriority w:val="0"/>
    <w:pPr>
      <w:numPr>
        <w:ilvl w:val="2"/>
        <w:numId w:val="2"/>
      </w:numPr>
      <w:tabs>
        <w:tab w:val="left" w:pos="709"/>
        <w:tab w:val="left" w:pos="1418"/>
      </w:tabs>
      <w:spacing w:line="360" w:lineRule="auto"/>
      <w:jc w:val="left"/>
      <w:outlineLvl w:val="2"/>
    </w:pPr>
    <w:rPr>
      <w:b/>
      <w:sz w:val="28"/>
    </w:rPr>
  </w:style>
  <w:style w:type="paragraph" w:customStyle="1" w:styleId="77">
    <w:name w:val="二级标题"/>
    <w:basedOn w:val="3"/>
    <w:qFormat/>
    <w:uiPriority w:val="0"/>
  </w:style>
  <w:style w:type="paragraph" w:customStyle="1" w:styleId="78">
    <w:name w:val="环评正文样式"/>
    <w:basedOn w:val="1"/>
    <w:link w:val="79"/>
    <w:qFormat/>
    <w:uiPriority w:val="0"/>
    <w:pPr>
      <w:spacing w:line="440" w:lineRule="exact"/>
      <w:ind w:firstLine="480" w:firstLineChars="200"/>
    </w:pPr>
    <w:rPr>
      <w:color w:val="000000"/>
      <w:sz w:val="24"/>
    </w:rPr>
  </w:style>
  <w:style w:type="character" w:customStyle="1" w:styleId="79">
    <w:name w:val="环评正文样式 Char"/>
    <w:link w:val="78"/>
    <w:qFormat/>
    <w:uiPriority w:val="0"/>
    <w:rPr>
      <w:color w:val="000000"/>
      <w:kern w:val="2"/>
      <w:sz w:val="24"/>
      <w:szCs w:val="24"/>
    </w:rPr>
  </w:style>
  <w:style w:type="paragraph" w:customStyle="1" w:styleId="80">
    <w:name w:val="环评表格内容"/>
    <w:basedOn w:val="1"/>
    <w:link w:val="81"/>
    <w:qFormat/>
    <w:uiPriority w:val="0"/>
    <w:pPr>
      <w:jc w:val="center"/>
    </w:pPr>
    <w:rPr>
      <w:color w:val="000000"/>
      <w:szCs w:val="21"/>
    </w:rPr>
  </w:style>
  <w:style w:type="character" w:customStyle="1" w:styleId="81">
    <w:name w:val="环评表格内容 Char"/>
    <w:link w:val="80"/>
    <w:qFormat/>
    <w:uiPriority w:val="0"/>
    <w:rPr>
      <w:color w:val="000000"/>
      <w:kern w:val="2"/>
      <w:sz w:val="21"/>
      <w:szCs w:val="21"/>
    </w:rPr>
  </w:style>
  <w:style w:type="paragraph" w:customStyle="1" w:styleId="82">
    <w:name w:val="A常用文字"/>
    <w:basedOn w:val="1"/>
    <w:qFormat/>
    <w:uiPriority w:val="0"/>
    <w:pPr>
      <w:spacing w:line="440" w:lineRule="exact"/>
      <w:ind w:firstLine="567"/>
    </w:pPr>
    <w:rPr>
      <w:sz w:val="28"/>
      <w:szCs w:val="20"/>
    </w:rPr>
  </w:style>
  <w:style w:type="paragraph" w:customStyle="1" w:styleId="83">
    <w:name w:val="表格及图片名称"/>
    <w:basedOn w:val="1"/>
    <w:qFormat/>
    <w:uiPriority w:val="0"/>
    <w:pPr>
      <w:adjustRightInd w:val="0"/>
      <w:snapToGrid w:val="0"/>
      <w:spacing w:before="50" w:beforeLines="50" w:after="50" w:afterLines="50"/>
      <w:jc w:val="center"/>
    </w:pPr>
    <w:rPr>
      <w:rFonts w:ascii="华文中宋" w:hAnsi="华文中宋" w:eastAsia="华文中宋"/>
      <w:b/>
      <w:snapToGrid w:val="0"/>
      <w:color w:val="0000FF"/>
      <w:kern w:val="0"/>
      <w:sz w:val="24"/>
    </w:rPr>
  </w:style>
  <w:style w:type="paragraph" w:customStyle="1" w:styleId="84">
    <w:name w:val="【一级标题】"/>
    <w:basedOn w:val="1"/>
    <w:link w:val="85"/>
    <w:qFormat/>
    <w:uiPriority w:val="0"/>
    <w:pPr>
      <w:adjustRightInd w:val="0"/>
      <w:snapToGrid w:val="0"/>
      <w:spacing w:before="60" w:after="60" w:line="360" w:lineRule="exact"/>
    </w:pPr>
    <w:rPr>
      <w:rFonts w:ascii="宋体" w:hAnsi="宋体"/>
      <w:b/>
      <w:sz w:val="24"/>
    </w:rPr>
  </w:style>
  <w:style w:type="character" w:customStyle="1" w:styleId="85">
    <w:name w:val="【一级标题】 字符"/>
    <w:link w:val="84"/>
    <w:qFormat/>
    <w:uiPriority w:val="0"/>
    <w:rPr>
      <w:rFonts w:ascii="宋体" w:hAnsi="宋体"/>
      <w:b/>
      <w:kern w:val="2"/>
      <w:sz w:val="24"/>
      <w:szCs w:val="24"/>
    </w:rPr>
  </w:style>
  <w:style w:type="paragraph" w:customStyle="1" w:styleId="86">
    <w:name w:val="正文内容"/>
    <w:basedOn w:val="1"/>
    <w:link w:val="87"/>
    <w:qFormat/>
    <w:uiPriority w:val="0"/>
    <w:pPr>
      <w:autoSpaceDE w:val="0"/>
      <w:autoSpaceDN w:val="0"/>
      <w:adjustRightInd w:val="0"/>
      <w:snapToGrid w:val="0"/>
      <w:spacing w:line="340" w:lineRule="exact"/>
      <w:ind w:firstLine="420" w:firstLineChars="200"/>
    </w:pPr>
    <w:rPr>
      <w:kern w:val="0"/>
      <w:szCs w:val="21"/>
    </w:rPr>
  </w:style>
  <w:style w:type="character" w:customStyle="1" w:styleId="87">
    <w:name w:val="正文内容 Char"/>
    <w:link w:val="86"/>
    <w:qFormat/>
    <w:uiPriority w:val="0"/>
    <w:rPr>
      <w:sz w:val="21"/>
      <w:szCs w:val="21"/>
    </w:rPr>
  </w:style>
  <w:style w:type="paragraph" w:customStyle="1" w:styleId="88">
    <w:name w:val="表格标题.."/>
    <w:basedOn w:val="46"/>
    <w:link w:val="89"/>
    <w:qFormat/>
    <w:uiPriority w:val="0"/>
    <w:pPr>
      <w:spacing w:before="95" w:beforeLines="25" w:line="240" w:lineRule="auto"/>
      <w:ind w:firstLine="0" w:firstLineChars="0"/>
      <w:jc w:val="center"/>
    </w:pPr>
    <w:rPr>
      <w:rFonts w:ascii="Times New Roman" w:hAnsi="Times New Roman" w:eastAsia="华文中宋"/>
      <w:snapToGrid w:val="0"/>
      <w:kern w:val="0"/>
      <w:shd w:val="clear" w:color="auto" w:fill="FFFFFF"/>
    </w:rPr>
  </w:style>
  <w:style w:type="character" w:customStyle="1" w:styleId="89">
    <w:name w:val="表格标题.. 字符"/>
    <w:link w:val="88"/>
    <w:qFormat/>
    <w:uiPriority w:val="0"/>
    <w:rPr>
      <w:rFonts w:eastAsia="华文中宋"/>
      <w:snapToGrid w:val="0"/>
      <w:sz w:val="24"/>
      <w:szCs w:val="24"/>
    </w:rPr>
  </w:style>
  <w:style w:type="paragraph" w:customStyle="1" w:styleId="90">
    <w:name w:val="Char Char Char Char Char Char Char Char Char Char Char Char Char"/>
    <w:basedOn w:val="1"/>
    <w:qFormat/>
    <w:uiPriority w:val="0"/>
    <w:pPr>
      <w:adjustRightInd w:val="0"/>
      <w:snapToGrid w:val="0"/>
      <w:spacing w:line="360" w:lineRule="auto"/>
      <w:ind w:firstLine="200" w:firstLineChars="200"/>
    </w:pPr>
  </w:style>
  <w:style w:type="paragraph" w:customStyle="1" w:styleId="91">
    <w:name w:val="一级标题"/>
    <w:basedOn w:val="16"/>
    <w:link w:val="93"/>
    <w:qFormat/>
    <w:uiPriority w:val="0"/>
    <w:rPr>
      <w:rFonts w:ascii="Times New Roman" w:hAnsi="Times New Roman"/>
    </w:rPr>
  </w:style>
  <w:style w:type="character" w:customStyle="1" w:styleId="92">
    <w:name w:val="标题 2 字符"/>
    <w:link w:val="3"/>
    <w:qFormat/>
    <w:uiPriority w:val="0"/>
    <w:rPr>
      <w:rFonts w:ascii="宋体" w:hAnsi="宋体" w:cs="宋体"/>
      <w:b/>
      <w:bCs/>
      <w:sz w:val="21"/>
      <w:szCs w:val="21"/>
    </w:rPr>
  </w:style>
  <w:style w:type="character" w:customStyle="1" w:styleId="93">
    <w:name w:val="一级标题 字符"/>
    <w:basedOn w:val="73"/>
    <w:link w:val="91"/>
    <w:qFormat/>
    <w:uiPriority w:val="0"/>
    <w:rPr>
      <w:rFonts w:ascii="等线 Light" w:hAnsi="等线 Light" w:cs="Times New Roman"/>
      <w:kern w:val="2"/>
      <w:sz w:val="24"/>
      <w:szCs w:val="24"/>
    </w:rPr>
  </w:style>
  <w:style w:type="paragraph" w:customStyle="1" w:styleId="94">
    <w:name w:val="Char Char Char Char Char Char Char Char Char Char Char Char Char1"/>
    <w:basedOn w:val="1"/>
    <w:qFormat/>
    <w:uiPriority w:val="0"/>
    <w:pPr>
      <w:adjustRightInd w:val="0"/>
      <w:snapToGrid w:val="0"/>
      <w:spacing w:line="360" w:lineRule="auto"/>
      <w:ind w:firstLine="200" w:firstLineChars="200"/>
    </w:pPr>
  </w:style>
  <w:style w:type="paragraph" w:customStyle="1" w:styleId="95">
    <w:name w:val="表格正文"/>
    <w:basedOn w:val="1"/>
    <w:link w:val="96"/>
    <w:qFormat/>
    <w:uiPriority w:val="0"/>
    <w:pPr>
      <w:spacing w:line="360" w:lineRule="exact"/>
      <w:ind w:firstLine="420" w:firstLineChars="200"/>
    </w:pPr>
  </w:style>
  <w:style w:type="character" w:customStyle="1" w:styleId="96">
    <w:name w:val="表格正文 字符"/>
    <w:link w:val="95"/>
    <w:qFormat/>
    <w:uiPriority w:val="0"/>
    <w:rPr>
      <w:kern w:val="2"/>
      <w:sz w:val="21"/>
      <w:szCs w:val="24"/>
    </w:rPr>
  </w:style>
  <w:style w:type="character" w:customStyle="1" w:styleId="97">
    <w:name w:val="表格内容 Char"/>
    <w:link w:val="98"/>
    <w:qFormat/>
    <w:uiPriority w:val="0"/>
    <w:rPr>
      <w:rFonts w:hAnsi="宋体"/>
      <w:kern w:val="2"/>
      <w:sz w:val="21"/>
      <w:szCs w:val="24"/>
    </w:rPr>
  </w:style>
  <w:style w:type="paragraph" w:customStyle="1" w:styleId="98">
    <w:name w:val="表格内容"/>
    <w:basedOn w:val="1"/>
    <w:link w:val="97"/>
    <w:qFormat/>
    <w:uiPriority w:val="0"/>
    <w:pPr>
      <w:tabs>
        <w:tab w:val="left" w:pos="2340"/>
      </w:tabs>
      <w:snapToGrid w:val="0"/>
      <w:jc w:val="center"/>
    </w:pPr>
    <w:rPr>
      <w:rFonts w:hAnsi="宋体"/>
    </w:rPr>
  </w:style>
  <w:style w:type="paragraph" w:customStyle="1" w:styleId="99">
    <w:name w:val="正文正文"/>
    <w:basedOn w:val="1"/>
    <w:link w:val="100"/>
    <w:qFormat/>
    <w:uiPriority w:val="0"/>
    <w:pPr>
      <w:spacing w:line="400" w:lineRule="exact"/>
      <w:ind w:firstLine="480" w:firstLineChars="200"/>
    </w:pPr>
    <w:rPr>
      <w:rFonts w:ascii="Calibri" w:hAnsi="Calibri"/>
      <w:sz w:val="24"/>
    </w:rPr>
  </w:style>
  <w:style w:type="character" w:customStyle="1" w:styleId="100">
    <w:name w:val="正文正文 Char"/>
    <w:link w:val="99"/>
    <w:qFormat/>
    <w:uiPriority w:val="0"/>
    <w:rPr>
      <w:rFonts w:ascii="Calibri" w:hAnsi="Calibri"/>
      <w:kern w:val="2"/>
      <w:sz w:val="24"/>
      <w:szCs w:val="24"/>
    </w:rPr>
  </w:style>
  <w:style w:type="paragraph" w:customStyle="1" w:styleId="101">
    <w:name w:val="2级"/>
    <w:basedOn w:val="1"/>
    <w:qFormat/>
    <w:uiPriority w:val="0"/>
    <w:pPr>
      <w:adjustRightInd w:val="0"/>
      <w:snapToGrid w:val="0"/>
      <w:spacing w:before="120" w:after="120" w:line="440" w:lineRule="exact"/>
      <w:ind w:firstLine="482" w:firstLineChars="200"/>
      <w:outlineLvl w:val="2"/>
    </w:pPr>
    <w:rPr>
      <w:rFonts w:ascii="Calibri" w:hAnsi="Calibri"/>
      <w:b/>
      <w:bCs/>
      <w:kern w:val="0"/>
      <w:sz w:val="24"/>
    </w:rPr>
  </w:style>
  <w:style w:type="paragraph" w:customStyle="1" w:styleId="102">
    <w:name w:val="正文首行缩进1"/>
    <w:basedOn w:val="8"/>
    <w:qFormat/>
    <w:locked/>
    <w:uiPriority w:val="0"/>
    <w:pPr>
      <w:widowControl w:val="0"/>
      <w:snapToGrid/>
      <w:spacing w:before="0" w:after="120" w:line="240" w:lineRule="auto"/>
      <w:ind w:right="0" w:firstLine="420" w:firstLineChars="100"/>
    </w:pPr>
    <w:rPr>
      <w:rFonts w:ascii="Calibri" w:hAnsi="Calibri"/>
      <w:kern w:val="2"/>
      <w:sz w:val="21"/>
      <w:szCs w:val="24"/>
    </w:rPr>
  </w:style>
  <w:style w:type="paragraph" w:customStyle="1" w:styleId="103">
    <w:name w:val="正文格式"/>
    <w:basedOn w:val="78"/>
    <w:link w:val="109"/>
    <w:qFormat/>
    <w:uiPriority w:val="0"/>
    <w:pPr>
      <w:spacing w:line="240" w:lineRule="auto"/>
      <w:ind w:firstLine="200"/>
    </w:pPr>
    <w:rPr>
      <w:rFonts w:ascii="Calibri" w:hAnsi="Calibri"/>
      <w:sz w:val="21"/>
      <w:szCs w:val="21"/>
    </w:rPr>
  </w:style>
  <w:style w:type="character" w:customStyle="1" w:styleId="104">
    <w:name w:val="正文文本首行缩进 字符"/>
    <w:basedOn w:val="32"/>
    <w:link w:val="18"/>
    <w:qFormat/>
    <w:uiPriority w:val="99"/>
    <w:rPr>
      <w:kern w:val="2"/>
      <w:sz w:val="21"/>
      <w:szCs w:val="24"/>
    </w:rPr>
  </w:style>
  <w:style w:type="paragraph" w:customStyle="1" w:styleId="105">
    <w:name w:val="表格表头"/>
    <w:basedOn w:val="1"/>
    <w:link w:val="106"/>
    <w:qFormat/>
    <w:uiPriority w:val="0"/>
    <w:pPr>
      <w:numPr>
        <w:ilvl w:val="0"/>
        <w:numId w:val="3"/>
      </w:numPr>
      <w:adjustRightInd w:val="0"/>
      <w:snapToGrid w:val="0"/>
      <w:spacing w:line="440" w:lineRule="exact"/>
      <w:ind w:left="442" w:hanging="442"/>
      <w:jc w:val="center"/>
    </w:pPr>
    <w:rPr>
      <w:b/>
      <w:bCs/>
      <w:color w:val="000000"/>
      <w:kern w:val="0"/>
      <w:szCs w:val="21"/>
    </w:rPr>
  </w:style>
  <w:style w:type="character" w:customStyle="1" w:styleId="106">
    <w:name w:val="表格表头 字符"/>
    <w:link w:val="105"/>
    <w:qFormat/>
    <w:uiPriority w:val="0"/>
    <w:rPr>
      <w:b/>
      <w:bCs/>
      <w:color w:val="000000"/>
      <w:sz w:val="21"/>
      <w:szCs w:val="21"/>
    </w:rPr>
  </w:style>
  <w:style w:type="character" w:customStyle="1" w:styleId="107">
    <w:name w:val="正文文本首行缩进 2 字符"/>
    <w:basedOn w:val="41"/>
    <w:link w:val="19"/>
    <w:qFormat/>
    <w:uiPriority w:val="0"/>
    <w:rPr>
      <w:rFonts w:ascii="Times New Roman" w:hAnsi="Times New Roman" w:eastAsia="宋体"/>
      <w:kern w:val="2"/>
      <w:sz w:val="24"/>
      <w:szCs w:val="24"/>
    </w:rPr>
  </w:style>
  <w:style w:type="paragraph" w:customStyle="1" w:styleId="108">
    <w:name w:val="Char Char Char Char Char Char1 Char Char Char Char"/>
    <w:basedOn w:val="1"/>
    <w:next w:val="1"/>
    <w:qFormat/>
    <w:uiPriority w:val="0"/>
    <w:pPr>
      <w:spacing w:line="360" w:lineRule="auto"/>
      <w:ind w:firstLine="200"/>
    </w:pPr>
  </w:style>
  <w:style w:type="character" w:customStyle="1" w:styleId="109">
    <w:name w:val="正文格式 字符"/>
    <w:link w:val="103"/>
    <w:qFormat/>
    <w:uiPriority w:val="0"/>
    <w:rPr>
      <w:rFonts w:ascii="Calibri" w:hAnsi="Calibri"/>
      <w:color w:val="000000"/>
      <w:kern w:val="2"/>
      <w:sz w:val="21"/>
      <w:szCs w:val="21"/>
    </w:rPr>
  </w:style>
  <w:style w:type="paragraph" w:customStyle="1" w:styleId="11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0WSX正文格式"/>
    <w:basedOn w:val="1"/>
    <w:qFormat/>
    <w:uiPriority w:val="0"/>
    <w:pPr>
      <w:adjustRightInd w:val="0"/>
      <w:snapToGrid w:val="0"/>
      <w:spacing w:line="440" w:lineRule="exact"/>
      <w:ind w:firstLine="200" w:firstLineChars="200"/>
      <w:jc w:val="left"/>
    </w:pPr>
    <w:rPr>
      <w:kern w:val="0"/>
      <w:szCs w:val="20"/>
    </w:rPr>
  </w:style>
  <w:style w:type="character" w:customStyle="1" w:styleId="112">
    <w:name w:val="标题 3 字符"/>
    <w:basedOn w:val="22"/>
    <w:link w:val="4"/>
    <w:semiHidden/>
    <w:qFormat/>
    <w:uiPriority w:val="0"/>
    <w:rPr>
      <w:b/>
      <w:bCs/>
      <w:kern w:val="2"/>
      <w:sz w:val="32"/>
      <w:szCs w:val="32"/>
    </w:rPr>
  </w:style>
  <w:style w:type="paragraph" w:customStyle="1" w:styleId="113">
    <w:name w:val="正文文"/>
    <w:basedOn w:val="1"/>
    <w:link w:val="114"/>
    <w:qFormat/>
    <w:uiPriority w:val="0"/>
    <w:pPr>
      <w:spacing w:line="400" w:lineRule="exact"/>
      <w:ind w:firstLine="480" w:firstLineChars="200"/>
    </w:pPr>
    <w:rPr>
      <w:sz w:val="24"/>
    </w:rPr>
  </w:style>
  <w:style w:type="character" w:customStyle="1" w:styleId="114">
    <w:name w:val="正文文 字符"/>
    <w:basedOn w:val="22"/>
    <w:link w:val="113"/>
    <w:qFormat/>
    <w:uiPriority w:val="0"/>
    <w:rPr>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customXml" Target="../customXml/item1.xml"/><Relationship Id="rId25" Type="http://schemas.openxmlformats.org/officeDocument/2006/relationships/numbering" Target="numbering.xml"/><Relationship Id="rId24" Type="http://schemas.openxmlformats.org/officeDocument/2006/relationships/image" Target="media/image14.emf"/><Relationship Id="rId23" Type="http://schemas.openxmlformats.org/officeDocument/2006/relationships/image" Target="media/image13.emf"/><Relationship Id="rId22" Type="http://schemas.openxmlformats.org/officeDocument/2006/relationships/image" Target="media/image12.emf"/><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emf"/><Relationship Id="rId13" Type="http://schemas.openxmlformats.org/officeDocument/2006/relationships/package" Target="embeddings/Microsoft_Visio___2.vsdx"/><Relationship Id="rId12" Type="http://schemas.openxmlformats.org/officeDocument/2006/relationships/image" Target="media/image3.emf"/><Relationship Id="rId11" Type="http://schemas.openxmlformats.org/officeDocument/2006/relationships/package" Target="embeddings/Microsoft_Visio___1.vsdx"/><Relationship Id="rId10" Type="http://schemas.openxmlformats.org/officeDocument/2006/relationships/image" Target="media/image2.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c7f7d236-28bd-45b6-9d1a-36eca76648fe</errorID>
      <errorWord>盘石</errorWord>
      <group>L1_Word</group>
      <groupName>字词问题</groupName>
      <ability>L2_Variant</ability>
      <abilityName>异形词</abilityName>
      <candidateList>
        <item>磐石</item>
      </candidateList>
      <explain>词汇[盘石]的规范词形写作[磐石]。</explain>
      <paraID>28DE504E</paraID>
      <start>143</start>
      <end>145</end>
      <status>unmodified</status>
      <modifiedWord/>
      <trackRevisions>false</trackRevisions>
    </reviewItem>
    <reviewItem>
      <errorID>018ef749-ac5f-4354-a15f-15a9e16119d5</errorID>
      <errorWord>盘石</errorWord>
      <group>L1_Word</group>
      <groupName>字词问题</groupName>
      <ability>L2_Variant</ability>
      <abilityName>异形词</abilityName>
      <candidateList>
        <item>磐石</item>
      </candidateList>
      <explain>词汇[盘石]的规范词形写作[磐石]。</explain>
      <paraID>28DE504E</paraID>
      <start>147</start>
      <end>149</end>
      <status>unmodified</status>
      <modifiedWord/>
      <trackRevisions>false</trackRevisions>
    </reviewItem>
    <reviewItem>
      <errorID>1b2cf32c-cd31-4f14-80de-89fb938c98fd</errorID>
      <errorWord>罩口</errorWord>
      <group>L1_Word</group>
      <groupName>字词问题</groupName>
      <ability>L2_Typo</ability>
      <abilityName>字词错误</abilityName>
      <candidateList>
        <item>口罩</item>
      </candidateList>
      <explain/>
      <paraID>674230F3</paraID>
      <start>0</start>
      <end>2</end>
      <status>unmodified</status>
      <modifiedWord/>
      <trackRevisions>false</trackRevisions>
    </reviewItem>
    <reviewItem>
      <errorID>774c15d1-9483-41bc-b10f-71113ac1b4c1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318F8BE2</paraID>
      <start>38</start>
      <end>39</end>
      <status>unmodified</status>
      <modifiedWord/>
      <trackRevisions>false</trackRevisions>
    </reviewItem>
    <reviewItem>
      <errorID>e0c9286a-aa34-4fdf-b311-27be97340668</errorID>
      <errorWord>接受</errorWord>
      <group>L1_Word</group>
      <groupName>字词问题</groupName>
      <ability>L2_Typo</ability>
      <abilityName>字词错误</abilityName>
      <candidateList>
        <item>接收</item>
      </candidateList>
      <explain>存在发音相同字词的误用。</explain>
      <paraID> 11F9ED1</paraID>
      <start>122</start>
      <end>124</end>
      <status>unmodified</status>
      <modifiedWord/>
      <trackRevisions>false</trackRevisions>
    </reviewItem>
    <reviewItem>
      <errorID>78393e89-972c-46a7-9952-e233d055bb12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42143D9E</paraID>
      <start>53</start>
      <end>54</end>
      <status>unmodified</status>
      <modifiedWord/>
      <trackRevisions>false</trackRevisions>
    </reviewItem>
    <reviewItem>
      <errorID>30c0b13a-6012-4537-8f8b-351243917ae3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42143D9E</paraID>
      <start>92</start>
      <end>93</end>
      <status>unmodified</status>
      <modifiedWord/>
      <trackRevisions>false</trackRevisions>
    </reviewItem>
    <reviewItem>
      <errorID>070a2017-3d5f-4bd5-8abe-b71f340fbc69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7AA610DA</paraID>
      <start>96</start>
      <end>97</end>
      <status>unmodified</status>
      <modifiedWord/>
      <trackRevisions>false</trackRevisions>
    </reviewItem>
    <reviewItem>
      <errorID>71c894c3-d7d8-429a-a90e-7bf8b490f38f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3CC19EAA</paraID>
      <start>66</start>
      <end>67</end>
      <status>unmodified</status>
      <modifiedWord/>
      <trackRevisions>false</trackRevisions>
    </reviewItem>
    <reviewItem>
      <errorID>abfc2fb7-cc25-4454-a679-47e91ac43d2b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3CC19EAA</paraID>
      <start>105</start>
      <end>106</end>
      <status>unmodified</status>
      <modifiedWord/>
      <trackRevisions>false</trackRevisions>
    </reviewItem>
    <reviewItem>
      <errorID>263975eb-b350-4b3f-bafc-668424f40f4a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3CC19EAA</paraID>
      <start>171</start>
      <end>172</end>
      <status>unmodified</status>
      <modifiedWord/>
      <trackRevisions>false</trackRevisions>
    </reviewItem>
  </reviewItems>
  <config/>
</contractReview>
</file>

<file path=customXml/itemProps1.xml><?xml version="1.0" encoding="utf-8"?>
<ds:datastoreItem xmlns:ds="http://schemas.openxmlformats.org/officeDocument/2006/customXml" ds:itemID="{3C443BE3-AF48-4CA9-A903-B06C9EE2EBF3}">
  <ds:schemaRefs/>
</ds:datastoreItem>
</file>

<file path=customXml/itemProps2.xml><?xml version="1.0" encoding="utf-8"?>
<ds:datastoreItem xmlns:ds="http://schemas.openxmlformats.org/officeDocument/2006/customXml" ds:itemID="{4c656a8a-5723-4256-ae9b-6257d23d3a95}">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49</Pages>
  <Words>4564</Words>
  <Characters>4761</Characters>
  <Lines>256</Lines>
  <Paragraphs>72</Paragraphs>
  <TotalTime>45</TotalTime>
  <ScaleCrop>false</ScaleCrop>
  <LinksUpToDate>false</LinksUpToDate>
  <CharactersWithSpaces>4830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2026-09-17T10:56:00Z</dcterms:created>
  <dc:creator>lhj</dc:creator>
  <cp:lastModifiedBy>淡定</cp:lastModifiedBy>
  <cp:lastPrinted>2026-09-17T08:54:00Z</cp:lastPrinted>
  <dcterms:modified xsi:type="dcterms:W3CDTF">2026-09-20T00:53:12Z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eyJoZGlkIjoiOTJkYTY3Y2FiMzRjZWY5MzA3M2FlZWM5ZWNjNWVjM2UiLCJ1c2VySWQiOiIzNDI3NTg4OTEifQ==</vt:lpwstr>
  </property>
  <property fmtid="{D5CDD505-2E9C-101B-9397-08002B2CF9AE}" pid="4" name="ICV">
    <vt:lpwstr>CDBE463F88594395B3D915BEA830D269_12</vt:lpwstr>
  </property>
</Properties>
</file>