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915A6">
      <w:pPr>
        <w:rPr>
          <w:rFonts w:ascii="仿宋" w:hAnsi="仿宋" w:cs="仿宋"/>
          <w:sz w:val="30"/>
          <w:szCs w:val="30"/>
        </w:rPr>
      </w:pPr>
    </w:p>
    <w:p w14:paraId="27FA2C00">
      <w:pPr>
        <w:rPr>
          <w:rFonts w:ascii="仿宋" w:hAnsi="仿宋" w:cs="仿宋"/>
          <w:sz w:val="30"/>
          <w:szCs w:val="30"/>
        </w:rPr>
      </w:pPr>
    </w:p>
    <w:p w14:paraId="76B645E1">
      <w:pPr>
        <w:keepNext/>
        <w:keepLines/>
        <w:spacing w:beforeLines="50" w:afterLines="50"/>
        <w:ind w:firstLine="0" w:firstLineChars="0"/>
        <w:jc w:val="center"/>
        <w:rPr>
          <w:rFonts w:ascii="黑体" w:hAnsi="黑体" w:eastAsia="黑体" w:cs="黑体"/>
          <w:spacing w:val="20"/>
          <w:sz w:val="48"/>
          <w:szCs w:val="48"/>
        </w:rPr>
      </w:pPr>
      <w:r>
        <w:rPr>
          <w:rFonts w:hint="eastAsia" w:ascii="黑体" w:hAnsi="黑体" w:eastAsia="黑体" w:cs="黑体"/>
          <w:spacing w:val="20"/>
          <w:sz w:val="48"/>
          <w:szCs w:val="48"/>
        </w:rPr>
        <w:t>阳泉市盂县国土空间生态修复规划</w:t>
      </w:r>
    </w:p>
    <w:p w14:paraId="7B737848">
      <w:pPr>
        <w:keepNext/>
        <w:keepLines/>
        <w:spacing w:beforeLines="50" w:afterLines="50"/>
        <w:ind w:firstLine="0" w:firstLineChars="0"/>
        <w:jc w:val="center"/>
        <w:rPr>
          <w:rFonts w:ascii="黑体" w:hAnsi="黑体" w:eastAsia="黑体" w:cs="黑体"/>
          <w:sz w:val="48"/>
          <w:szCs w:val="48"/>
        </w:rPr>
      </w:pPr>
      <w:r>
        <w:rPr>
          <w:rFonts w:hint="eastAsia" w:ascii="黑体" w:hAnsi="黑体" w:eastAsia="黑体" w:cs="黑体"/>
          <w:sz w:val="48"/>
          <w:szCs w:val="48"/>
        </w:rPr>
        <w:t>（2021年-2035年）</w:t>
      </w:r>
    </w:p>
    <w:p w14:paraId="1C67DAB6">
      <w:pPr>
        <w:rPr>
          <w:rFonts w:ascii="仿宋" w:hAnsi="仿宋" w:cs="仿宋"/>
          <w:sz w:val="30"/>
          <w:szCs w:val="30"/>
        </w:rPr>
      </w:pPr>
    </w:p>
    <w:p w14:paraId="06D7FB3D">
      <w:pPr>
        <w:keepNext/>
        <w:keepLines/>
        <w:spacing w:beforeLines="50" w:afterLines="50"/>
        <w:ind w:firstLine="0" w:firstLineChars="0"/>
        <w:jc w:val="center"/>
        <w:rPr>
          <w:rFonts w:ascii="黑体" w:hAnsi="黑体" w:eastAsia="黑体" w:cs="黑体"/>
          <w:sz w:val="48"/>
          <w:szCs w:val="48"/>
        </w:rPr>
      </w:pPr>
      <w:r>
        <w:rPr>
          <w:rFonts w:hint="eastAsia" w:ascii="黑体" w:hAnsi="黑体" w:eastAsia="黑体" w:cs="黑体"/>
          <w:sz w:val="48"/>
          <w:szCs w:val="48"/>
        </w:rPr>
        <w:t>（公众版）</w:t>
      </w:r>
    </w:p>
    <w:p w14:paraId="5AD3E581">
      <w:pPr>
        <w:rPr>
          <w:rFonts w:ascii="仿宋" w:hAnsi="仿宋" w:cs="仿宋"/>
          <w:sz w:val="30"/>
          <w:szCs w:val="30"/>
        </w:rPr>
      </w:pPr>
    </w:p>
    <w:p w14:paraId="6C983857">
      <w:pPr>
        <w:rPr>
          <w:rFonts w:ascii="仿宋" w:hAnsi="仿宋" w:cs="仿宋"/>
          <w:sz w:val="30"/>
          <w:szCs w:val="30"/>
        </w:rPr>
      </w:pPr>
    </w:p>
    <w:p w14:paraId="5398140B">
      <w:pPr>
        <w:rPr>
          <w:rFonts w:ascii="仿宋" w:hAnsi="仿宋" w:cs="仿宋"/>
          <w:sz w:val="30"/>
          <w:szCs w:val="30"/>
        </w:rPr>
      </w:pPr>
    </w:p>
    <w:p w14:paraId="2871A8B7">
      <w:pPr>
        <w:rPr>
          <w:rFonts w:ascii="仿宋" w:hAnsi="仿宋" w:cs="仿宋"/>
          <w:sz w:val="30"/>
          <w:szCs w:val="30"/>
        </w:rPr>
      </w:pPr>
    </w:p>
    <w:p w14:paraId="23A53A3B">
      <w:pPr>
        <w:rPr>
          <w:rFonts w:ascii="仿宋" w:hAnsi="仿宋" w:cs="仿宋"/>
          <w:sz w:val="30"/>
          <w:szCs w:val="30"/>
        </w:rPr>
      </w:pPr>
    </w:p>
    <w:p w14:paraId="70C37948">
      <w:pPr>
        <w:rPr>
          <w:rFonts w:ascii="仿宋" w:hAnsi="仿宋" w:cs="仿宋"/>
          <w:sz w:val="30"/>
          <w:szCs w:val="30"/>
        </w:rPr>
      </w:pPr>
    </w:p>
    <w:p w14:paraId="05D93104">
      <w:pPr>
        <w:rPr>
          <w:rFonts w:ascii="仿宋" w:hAnsi="仿宋" w:cs="仿宋"/>
          <w:sz w:val="30"/>
          <w:szCs w:val="30"/>
        </w:rPr>
      </w:pPr>
    </w:p>
    <w:p w14:paraId="6033DA17">
      <w:pPr>
        <w:keepNext/>
        <w:keepLines/>
        <w:pageBreakBefore w:val="0"/>
        <w:widowControl w:val="0"/>
        <w:kinsoku/>
        <w:wordWrap/>
        <w:overflowPunct/>
        <w:topLinePunct w:val="0"/>
        <w:autoSpaceDE/>
        <w:autoSpaceDN/>
        <w:bidi w:val="0"/>
        <w:adjustRightInd w:val="0"/>
        <w:snapToGrid w:val="0"/>
        <w:spacing w:before="0" w:beforeLines="50" w:after="0" w:afterLines="50"/>
        <w:ind w:firstLine="0" w:firstLineChars="0"/>
        <w:jc w:val="both"/>
        <w:textAlignment w:val="auto"/>
        <w:outlineLvl w:val="9"/>
        <w:rPr>
          <w:color w:val="auto"/>
        </w:rPr>
      </w:pPr>
    </w:p>
    <w:p w14:paraId="67E436EE">
      <w:pPr>
        <w:pStyle w:val="2"/>
        <w:rPr>
          <w:color w:val="auto"/>
        </w:rPr>
      </w:pPr>
    </w:p>
    <w:p w14:paraId="3888FB64">
      <w:pPr>
        <w:pStyle w:val="2"/>
        <w:rPr>
          <w:color w:val="auto"/>
        </w:rPr>
      </w:pPr>
    </w:p>
    <w:p w14:paraId="1530179E">
      <w:pPr>
        <w:pStyle w:val="2"/>
        <w:rPr>
          <w:color w:val="auto"/>
        </w:rPr>
      </w:pPr>
    </w:p>
    <w:p w14:paraId="53C4C4CB">
      <w:pPr>
        <w:pStyle w:val="2"/>
        <w:rPr>
          <w:color w:val="auto"/>
        </w:rPr>
      </w:pPr>
    </w:p>
    <w:p w14:paraId="27FF93AF">
      <w:pPr>
        <w:pStyle w:val="2"/>
        <w:rPr>
          <w:color w:val="auto"/>
        </w:rPr>
      </w:pPr>
    </w:p>
    <w:p w14:paraId="14092B7D">
      <w:pPr>
        <w:pStyle w:val="2"/>
        <w:rPr>
          <w:color w:val="auto"/>
        </w:rPr>
      </w:pPr>
    </w:p>
    <w:p w14:paraId="5E46C8D6">
      <w:pPr>
        <w:pStyle w:val="2"/>
        <w:ind w:firstLine="3202" w:firstLineChars="1000"/>
        <w:rPr>
          <w:color w:val="auto"/>
        </w:rPr>
        <w:sectPr>
          <w:pgSz w:w="11906" w:h="16839"/>
          <w:pgMar w:top="1431" w:right="1785" w:bottom="0" w:left="1785" w:header="0" w:footer="0" w:gutter="0"/>
          <w:cols w:space="720" w:num="1"/>
        </w:sectPr>
      </w:pPr>
      <w:r>
        <w:rPr>
          <w:rFonts w:hint="eastAsia"/>
          <w:b/>
          <w:bCs/>
          <w:color w:val="auto"/>
          <w:sz w:val="32"/>
          <w:szCs w:val="28"/>
          <w:lang w:val="en-US" w:eastAsia="zh-CN"/>
        </w:rPr>
        <w:t>盂县</w:t>
      </w:r>
      <w:r>
        <w:rPr>
          <w:b/>
          <w:bCs/>
          <w:color w:val="auto"/>
          <w:sz w:val="32"/>
          <w:szCs w:val="28"/>
        </w:rPr>
        <w:t>自然资源局</w:t>
      </w:r>
    </w:p>
    <w:p w14:paraId="2612E6F4">
      <w:pPr>
        <w:pStyle w:val="4"/>
        <w:ind w:firstLine="0" w:firstLineChars="0"/>
        <w:jc w:val="left"/>
        <w:rPr>
          <w:u w:val="double" w:color="0000FF"/>
        </w:rPr>
      </w:pPr>
      <w:bookmarkStart w:id="0" w:name="_Toc13445"/>
      <w:bookmarkStart w:id="1" w:name="_Toc19928"/>
      <w:bookmarkStart w:id="2" w:name="_Toc20341"/>
      <w:bookmarkStart w:id="3" w:name="_Toc15051"/>
      <w:r>
        <w:rPr>
          <w:rFonts w:hint="eastAsia"/>
          <w:u w:val="double" w:color="0000FF"/>
        </w:rPr>
        <w:t>前  言</w:t>
      </w:r>
      <w:bookmarkEnd w:id="0"/>
      <w:bookmarkEnd w:id="1"/>
      <w:bookmarkEnd w:id="2"/>
      <w:bookmarkEnd w:id="3"/>
      <w:r>
        <w:rPr>
          <w:rFonts w:hint="eastAsia"/>
          <w:u w:val="double" w:color="0000FF"/>
        </w:rPr>
        <w:t xml:space="preserve">                                        </w:t>
      </w:r>
    </w:p>
    <w:p w14:paraId="640F6FB1">
      <w:pPr>
        <w:ind w:firstLine="560"/>
        <w:rPr>
          <w:rFonts w:cs="Times New Roman"/>
          <w:szCs w:val="28"/>
        </w:rPr>
      </w:pPr>
    </w:p>
    <w:p w14:paraId="68810C24">
      <w:pPr>
        <w:ind w:firstLine="560"/>
        <w:rPr>
          <w:rFonts w:cs="Times New Roman"/>
          <w:color w:val="0000FF"/>
          <w:szCs w:val="28"/>
        </w:rPr>
      </w:pPr>
      <w:r>
        <w:rPr>
          <w:rFonts w:cs="Times New Roman"/>
          <w:szCs w:val="28"/>
        </w:rPr>
        <w:t>盂县地处山西省阳泉市北部，作为太行山生态屏障的重要组成部分，其地形以山地丘陵为主，承载着水源涵养、水土保持等重要生态功能。然而，长期以来，矿产资源开发及人类生产生活对区域生态环境造成了一定程度的影响，主要表现为生态空间碎片化、局部水土流失加剧、矿山地质环境有待恢复等问题。当前，国家将生态文明建</w:t>
      </w:r>
      <w:r>
        <w:rPr>
          <w:rFonts w:hint="eastAsia" w:ascii="仿宋" w:hAnsi="仿宋" w:cs="仿宋"/>
          <w:szCs w:val="28"/>
        </w:rPr>
        <w:t>设纳入“五位一体”总体布局，明确提出“统筹山水林田湖草系统治理”的战略要</w:t>
      </w:r>
      <w:r>
        <w:rPr>
          <w:rFonts w:cs="Times New Roman"/>
          <w:szCs w:val="28"/>
        </w:rPr>
        <w:t>求，山西省亦将黄河流域生态保护和高质量发展列为省级战略重点。在此背景下，开展国土空间生态修复工作尤为重要，通过系统性修复工程，重塑县域生态安全格局，为可持续发展奠定基础。</w:t>
      </w:r>
    </w:p>
    <w:p w14:paraId="42840358">
      <w:pPr>
        <w:ind w:firstLine="560"/>
        <w:rPr>
          <w:rFonts w:cs="Times New Roman"/>
          <w:szCs w:val="28"/>
        </w:rPr>
      </w:pPr>
      <w:r>
        <w:rPr>
          <w:rFonts w:cs="Times New Roman"/>
          <w:szCs w:val="28"/>
        </w:rPr>
        <w:t>《规划》以</w:t>
      </w:r>
      <w:r>
        <w:rPr>
          <w:rFonts w:cs="Times New Roman"/>
          <w:szCs w:val="28"/>
          <w:lang w:val="zh-TW"/>
        </w:rPr>
        <w:t>习近平新时代中国特色社会主义思想为指导，按照党中央、国务院决策部署，坚持新发展理念，统筹山水林田湖草</w:t>
      </w:r>
      <w:r>
        <w:rPr>
          <w:rFonts w:cs="Times New Roman"/>
          <w:szCs w:val="28"/>
        </w:rPr>
        <w:t>沙</w:t>
      </w:r>
      <w:r>
        <w:rPr>
          <w:rFonts w:cs="Times New Roman"/>
          <w:szCs w:val="28"/>
          <w:lang w:val="zh-TW"/>
        </w:rPr>
        <w:t>一体化保护和修复，</w:t>
      </w:r>
      <w:r>
        <w:rPr>
          <w:rFonts w:cs="Times New Roman"/>
          <w:szCs w:val="28"/>
        </w:rPr>
        <w:t>改善人居环境，实现生态、经济、社会效益的协同发展。立足地域特征与太行山生态屏障功能定位，通过修复矿山地质环境、治理水土流失、保护生物多样性等，显著提升生态系统稳定性和碳汇能力；全面构</w:t>
      </w:r>
      <w:r>
        <w:rPr>
          <w:rFonts w:hint="eastAsia" w:ascii="仿宋" w:hAnsi="仿宋" w:cs="仿宋"/>
          <w:szCs w:val="28"/>
        </w:rPr>
        <w:t>建“一带两屏双廊多节点”</w:t>
      </w:r>
      <w:r>
        <w:rPr>
          <w:rFonts w:cs="Times New Roman"/>
          <w:szCs w:val="28"/>
        </w:rPr>
        <w:t>的生态安全格局，提升生态系统服务能力，为阳泉</w:t>
      </w:r>
      <w:r>
        <w:rPr>
          <w:rFonts w:hint="eastAsia" w:ascii="仿宋" w:hAnsi="仿宋" w:cs="仿宋"/>
          <w:szCs w:val="28"/>
        </w:rPr>
        <w:t>市“东大门”生态</w:t>
      </w:r>
      <w:r>
        <w:rPr>
          <w:rFonts w:cs="Times New Roman"/>
          <w:szCs w:val="28"/>
        </w:rPr>
        <w:t>屏障建设提供支撑。《规划》在全面分析阳泉市盂县自然生态系统状况和主要问题基础上，统筹考虑生态系统的完整性、地理单元的连续性和经济社会发展的可持续性，面临的机遇和挑战，提出国土空间生态修复的总体目标和主要指标，划定生态修复分区，制定保护修复策略，确定生态修复重点区域和重点工程。规划范围为阳泉市盂县全域国土空间，总面积2514.62</w:t>
      </w:r>
      <w:r>
        <w:rPr>
          <w:rFonts w:hint="eastAsia" w:cs="Times New Roman"/>
          <w:szCs w:val="28"/>
        </w:rPr>
        <w:t>平方公里</w:t>
      </w:r>
      <w:r>
        <w:rPr>
          <w:rFonts w:cs="Times New Roman"/>
          <w:szCs w:val="28"/>
        </w:rPr>
        <w:t>。规划基准年为2020年，规划期2021-2035年，其中近期2021-2025年，中远期2026-2035年。</w:t>
      </w:r>
    </w:p>
    <w:p w14:paraId="56DAB1C7">
      <w:pPr>
        <w:pStyle w:val="4"/>
        <w:ind w:firstLine="0" w:firstLineChars="0"/>
        <w:jc w:val="left"/>
        <w:rPr>
          <w:u w:val="double" w:color="0000FF"/>
        </w:rPr>
      </w:pPr>
      <w:bookmarkStart w:id="4" w:name="_Toc27548"/>
      <w:bookmarkStart w:id="5" w:name="_Toc26259"/>
      <w:bookmarkStart w:id="6" w:name="_Toc16921"/>
      <w:bookmarkStart w:id="7" w:name="_Toc9187"/>
      <w:r>
        <w:rPr>
          <w:rFonts w:hint="eastAsia"/>
          <w:u w:val="double" w:color="0000FF"/>
        </w:rPr>
        <w:t>第一章 现状与</w:t>
      </w:r>
      <w:bookmarkEnd w:id="4"/>
      <w:bookmarkEnd w:id="5"/>
      <w:bookmarkEnd w:id="6"/>
      <w:r>
        <w:rPr>
          <w:rFonts w:hint="eastAsia"/>
          <w:u w:val="double" w:color="0000FF"/>
        </w:rPr>
        <w:t>形势</w:t>
      </w:r>
      <w:bookmarkEnd w:id="7"/>
      <w:r>
        <w:rPr>
          <w:rFonts w:hint="eastAsia"/>
          <w:u w:val="double" w:color="0000FF"/>
        </w:rPr>
        <w:t xml:space="preserve">                            </w:t>
      </w:r>
    </w:p>
    <w:p w14:paraId="5F92226F">
      <w:pPr>
        <w:pStyle w:val="5"/>
        <w:ind w:firstLine="0" w:firstLineChars="0"/>
        <w:jc w:val="left"/>
      </w:pPr>
      <w:bookmarkStart w:id="8" w:name="_Toc20035"/>
      <w:bookmarkStart w:id="9" w:name="_Toc8549"/>
      <w:bookmarkStart w:id="10" w:name="_Toc24712"/>
      <w:bookmarkStart w:id="11" w:name="_Toc9966"/>
      <w:r>
        <w:rPr>
          <w:rFonts w:hint="eastAsia"/>
        </w:rPr>
        <w:t>第一节  自然地理和生态现状</w:t>
      </w:r>
      <w:bookmarkEnd w:id="8"/>
      <w:bookmarkEnd w:id="9"/>
      <w:bookmarkEnd w:id="10"/>
      <w:bookmarkEnd w:id="11"/>
    </w:p>
    <w:p w14:paraId="4EE21F7C">
      <w:pPr>
        <w:pStyle w:val="6"/>
        <w:numPr>
          <w:ilvl w:val="0"/>
          <w:numId w:val="1"/>
        </w:numPr>
        <w:spacing w:before="156" w:after="156"/>
      </w:pPr>
      <w:bookmarkStart w:id="12" w:name="_Toc3760"/>
      <w:r>
        <w:rPr>
          <w:rFonts w:hint="eastAsia"/>
        </w:rPr>
        <w:t>一、自然地理</w:t>
      </w:r>
      <w:bookmarkEnd w:id="12"/>
    </w:p>
    <w:p w14:paraId="6D180FE3">
      <w:pPr>
        <w:ind w:firstLine="562"/>
        <w:rPr>
          <w:szCs w:val="28"/>
        </w:rPr>
      </w:pPr>
      <w:r>
        <w:rPr>
          <w:rFonts w:hint="eastAsia"/>
          <w:b/>
          <w:bCs/>
          <w:szCs w:val="28"/>
        </w:rPr>
        <w:t>地理位置：</w:t>
      </w:r>
      <w:r>
        <w:rPr>
          <w:szCs w:val="28"/>
        </w:rPr>
        <w:t>盂县位于山西省东部盆地，地处太行山</w:t>
      </w:r>
      <w:r>
        <w:rPr>
          <w:rFonts w:hint="eastAsia"/>
          <w:szCs w:val="28"/>
        </w:rPr>
        <w:t>西麓</w:t>
      </w:r>
      <w:r>
        <w:rPr>
          <w:szCs w:val="28"/>
        </w:rPr>
        <w:t>，东与河北省平山县、井陉县接壤</w:t>
      </w:r>
      <w:r>
        <w:rPr>
          <w:rFonts w:hint="eastAsia"/>
          <w:szCs w:val="28"/>
        </w:rPr>
        <w:t>，南接</w:t>
      </w:r>
      <w:r>
        <w:rPr>
          <w:szCs w:val="28"/>
        </w:rPr>
        <w:t>本省平定县</w:t>
      </w:r>
      <w:r>
        <w:rPr>
          <w:rFonts w:hint="eastAsia"/>
          <w:szCs w:val="28"/>
        </w:rPr>
        <w:t>、阳泉市郊区和寿阳县</w:t>
      </w:r>
      <w:r>
        <w:rPr>
          <w:szCs w:val="28"/>
        </w:rPr>
        <w:t>，西临本</w:t>
      </w:r>
      <w:r>
        <w:rPr>
          <w:rFonts w:hint="eastAsia"/>
          <w:szCs w:val="28"/>
        </w:rPr>
        <w:t>省</w:t>
      </w:r>
      <w:r>
        <w:rPr>
          <w:szCs w:val="28"/>
        </w:rPr>
        <w:t>阳曲县，北靠五台县与定襄县</w:t>
      </w:r>
      <w:r>
        <w:rPr>
          <w:rFonts w:hint="eastAsia"/>
          <w:szCs w:val="28"/>
        </w:rPr>
        <w:t>。县域面积2514.62平方公里，下辖13个乡镇277个行政村和1个城镇办事处（11个社区），总人口约28万</w:t>
      </w:r>
      <w:r>
        <w:rPr>
          <w:szCs w:val="28"/>
        </w:rPr>
        <w:t>。</w:t>
      </w:r>
      <w:r>
        <w:rPr>
          <w:rFonts w:hint="eastAsia"/>
          <w:szCs w:val="28"/>
        </w:rPr>
        <w:t>其地理坐标，</w:t>
      </w:r>
      <w:r>
        <w:rPr>
          <w:szCs w:val="28"/>
        </w:rPr>
        <w:t>北纬37°56′45″～38°31′35″，东经112°54′46″～113°49′45″，东西长75</w:t>
      </w:r>
      <w:r>
        <w:rPr>
          <w:rFonts w:hint="eastAsia"/>
          <w:szCs w:val="28"/>
        </w:rPr>
        <w:t>公里</w:t>
      </w:r>
      <w:r>
        <w:rPr>
          <w:szCs w:val="28"/>
        </w:rPr>
        <w:t>，南北宽63</w:t>
      </w:r>
      <w:r>
        <w:rPr>
          <w:rFonts w:hint="eastAsia"/>
          <w:szCs w:val="28"/>
        </w:rPr>
        <w:t>公里</w:t>
      </w:r>
      <w:r>
        <w:rPr>
          <w:szCs w:val="28"/>
        </w:rPr>
        <w:t>。</w:t>
      </w:r>
    </w:p>
    <w:p w14:paraId="18E7F81B">
      <w:pPr>
        <w:ind w:firstLine="562"/>
        <w:rPr>
          <w:szCs w:val="28"/>
        </w:rPr>
      </w:pPr>
      <w:r>
        <w:rPr>
          <w:rFonts w:hint="eastAsia" w:cs="Times New Roman"/>
          <w:b/>
          <w:bCs/>
          <w:szCs w:val="28"/>
        </w:rPr>
        <w:t>地形地貌：</w:t>
      </w:r>
      <w:r>
        <w:rPr>
          <w:rFonts w:cs="Times New Roman"/>
          <w:szCs w:val="28"/>
        </w:rPr>
        <w:t>盂县地处山西省东部太行山西麓，四周群山环抱，境内山脉纵横交错，沟谷发育。中南部为低山丘陵区，东部、北部山多谷深，西部为山间盆地。山地约占总面积的76%，丘陵约占总面积的14%，平川约占总面积的10%。白马山东西横亘，管头山－七东山南北纵贯，内部夹有盂县和西烟两个主要盆地</w:t>
      </w:r>
      <w:r>
        <w:rPr>
          <w:rFonts w:hint="eastAsia"/>
          <w:szCs w:val="28"/>
        </w:rPr>
        <w:t>，形成“两山夹两盆”的独特地貌。盂县总体地势西南高、东北低，</w:t>
      </w:r>
      <w:r>
        <w:rPr>
          <w:szCs w:val="28"/>
        </w:rPr>
        <w:t>海拔高度一般为900～1500m。</w:t>
      </w:r>
    </w:p>
    <w:p w14:paraId="298DB1BC">
      <w:pPr>
        <w:ind w:firstLine="562"/>
        <w:rPr>
          <w:szCs w:val="28"/>
        </w:rPr>
      </w:pPr>
      <w:r>
        <w:rPr>
          <w:rFonts w:hint="eastAsia"/>
          <w:b/>
          <w:bCs/>
          <w:szCs w:val="28"/>
        </w:rPr>
        <w:t>气象气候：</w:t>
      </w:r>
      <w:r>
        <w:rPr>
          <w:szCs w:val="28"/>
        </w:rPr>
        <w:t>盂县</w:t>
      </w:r>
      <w:r>
        <w:rPr>
          <w:rFonts w:hint="eastAsia"/>
          <w:szCs w:val="28"/>
        </w:rPr>
        <w:t>位</w:t>
      </w:r>
      <w:r>
        <w:rPr>
          <w:szCs w:val="28"/>
        </w:rPr>
        <w:t>于</w:t>
      </w:r>
      <w:r>
        <w:rPr>
          <w:rFonts w:hint="eastAsia" w:ascii="仿宋" w:hAnsi="仿宋" w:cs="仿宋"/>
          <w:szCs w:val="28"/>
        </w:rPr>
        <w:t>“暖温带晋东北轻半干旱地区”中的“系舟山与寿阳盆地气候区”</w:t>
      </w:r>
      <w:r>
        <w:rPr>
          <w:szCs w:val="28"/>
        </w:rPr>
        <w:t>。四季分明</w:t>
      </w:r>
      <w:r>
        <w:rPr>
          <w:rFonts w:hint="eastAsia"/>
          <w:szCs w:val="28"/>
        </w:rPr>
        <w:t>，昼夜温差大，冬季寒冷干燥，春季干旱无雨，夏季炎热多雨，秋季温度适中。</w:t>
      </w:r>
      <w:r>
        <w:rPr>
          <w:szCs w:val="28"/>
        </w:rPr>
        <w:t>年平均气温8.7</w:t>
      </w:r>
      <w:r>
        <w:rPr>
          <w:rFonts w:hint="eastAsia"/>
          <w:szCs w:val="28"/>
        </w:rPr>
        <w:t>℃</w:t>
      </w:r>
      <w:r>
        <w:rPr>
          <w:szCs w:val="28"/>
        </w:rPr>
        <w:t>，最高气温在七月份，平均温度22.3</w:t>
      </w:r>
      <w:r>
        <w:rPr>
          <w:rFonts w:hint="eastAsia"/>
          <w:szCs w:val="28"/>
        </w:rPr>
        <w:t>℃</w:t>
      </w:r>
      <w:r>
        <w:rPr>
          <w:szCs w:val="28"/>
        </w:rPr>
        <w:t>，最低气温在一月份，平均温度-6.7</w:t>
      </w:r>
      <w:r>
        <w:rPr>
          <w:rFonts w:hint="eastAsia"/>
          <w:szCs w:val="28"/>
        </w:rPr>
        <w:t>℃</w:t>
      </w:r>
      <w:r>
        <w:rPr>
          <w:szCs w:val="28"/>
        </w:rPr>
        <w:t>；年平均降水量</w:t>
      </w:r>
      <w:r>
        <w:rPr>
          <w:rFonts w:hint="eastAsia"/>
          <w:szCs w:val="28"/>
        </w:rPr>
        <w:t>约563.2</w:t>
      </w:r>
      <w:r>
        <w:rPr>
          <w:szCs w:val="28"/>
        </w:rPr>
        <w:t>mm，多集中于七、八、九三个月内。全年春、夏两季多为东南风，秋、冬两季多为西北风，年平均风速2.10m/s，最大月平均风速为2.80m/s，最小月平均风速为1.80m/s。</w:t>
      </w:r>
    </w:p>
    <w:p w14:paraId="3076FE3F">
      <w:pPr>
        <w:ind w:firstLine="562"/>
        <w:rPr>
          <w:szCs w:val="28"/>
        </w:rPr>
      </w:pPr>
      <w:r>
        <w:rPr>
          <w:rFonts w:hint="eastAsia"/>
          <w:b/>
          <w:bCs/>
          <w:szCs w:val="28"/>
        </w:rPr>
        <w:t>水文水系：</w:t>
      </w:r>
      <w:r>
        <w:rPr>
          <w:szCs w:val="28"/>
        </w:rPr>
        <w:t>盂县境内河流</w:t>
      </w:r>
      <w:r>
        <w:rPr>
          <w:rFonts w:hint="eastAsia"/>
          <w:szCs w:val="28"/>
        </w:rPr>
        <w:t>除</w:t>
      </w:r>
      <w:r>
        <w:rPr>
          <w:rFonts w:cs="Times New Roman"/>
          <w:szCs w:val="28"/>
        </w:rPr>
        <w:t>西部有22</w:t>
      </w:r>
      <w:r>
        <w:rPr>
          <w:rFonts w:hint="eastAsia" w:cs="Times New Roman"/>
          <w:szCs w:val="28"/>
        </w:rPr>
        <w:t>平方公里</w:t>
      </w:r>
      <w:r>
        <w:rPr>
          <w:rFonts w:cs="Times New Roman"/>
          <w:szCs w:val="28"/>
        </w:rPr>
        <w:t>属于黄河流域汾河水系外，</w:t>
      </w:r>
      <w:r>
        <w:rPr>
          <w:rFonts w:hint="eastAsia"/>
          <w:szCs w:val="28"/>
        </w:rPr>
        <w:t>其余均</w:t>
      </w:r>
      <w:r>
        <w:rPr>
          <w:szCs w:val="28"/>
        </w:rPr>
        <w:t>属于</w:t>
      </w:r>
      <w:r>
        <w:rPr>
          <w:rFonts w:hint="eastAsia"/>
          <w:szCs w:val="28"/>
        </w:rPr>
        <w:t>海河流域子牙河水系</w:t>
      </w:r>
      <w:r>
        <w:rPr>
          <w:szCs w:val="28"/>
        </w:rPr>
        <w:t>，主要河流有滹沱河、乌河、</w:t>
      </w:r>
      <w:r>
        <w:rPr>
          <w:rFonts w:hint="eastAsia"/>
          <w:szCs w:val="28"/>
        </w:rPr>
        <w:t>龙华河、</w:t>
      </w:r>
      <w:r>
        <w:rPr>
          <w:szCs w:val="28"/>
        </w:rPr>
        <w:t>温河</w:t>
      </w:r>
      <w:r>
        <w:rPr>
          <w:rFonts w:hint="eastAsia"/>
          <w:szCs w:val="28"/>
        </w:rPr>
        <w:t>和秀水河等</w:t>
      </w:r>
      <w:r>
        <w:rPr>
          <w:szCs w:val="28"/>
        </w:rPr>
        <w:t>。</w:t>
      </w:r>
    </w:p>
    <w:p w14:paraId="5D06E358">
      <w:pPr>
        <w:ind w:firstLine="562"/>
        <w:rPr>
          <w:szCs w:val="28"/>
        </w:rPr>
      </w:pPr>
      <w:r>
        <w:rPr>
          <w:rFonts w:hint="eastAsia"/>
          <w:b/>
          <w:bCs/>
          <w:szCs w:val="28"/>
        </w:rPr>
        <w:t>植物：</w:t>
      </w:r>
      <w:r>
        <w:rPr>
          <w:rFonts w:hint="eastAsia"/>
          <w:szCs w:val="28"/>
        </w:rPr>
        <w:t>县境中北部、东部植被主要以草灌植被为主，木本植物及草甸植物夹杂分布，植被主要有</w:t>
      </w:r>
      <w:r>
        <w:rPr>
          <w:szCs w:val="28"/>
        </w:rPr>
        <w:t>油松、侧柏、山杨、青杨、柞树、白桦、山桃、黄刺梅、铁杆蒿和野蔷薇等</w:t>
      </w:r>
      <w:r>
        <w:rPr>
          <w:rFonts w:hint="eastAsia"/>
          <w:szCs w:val="28"/>
        </w:rPr>
        <w:t>；县境南部及西部地区植被主要以木本植物及草灌植物夹杂分布为主，植被主要为白杨、油松、</w:t>
      </w:r>
      <w:r>
        <w:rPr>
          <w:szCs w:val="28"/>
        </w:rPr>
        <w:t>沙棘、拧条、山荆子等丛林和狗尾草、黄背草、白羊草等草类</w:t>
      </w:r>
      <w:r>
        <w:rPr>
          <w:rFonts w:hint="eastAsia"/>
          <w:szCs w:val="28"/>
        </w:rPr>
        <w:t>；山间河谷区及盆地区内植被主要以木本植物为主，间夹草灌丛等，主要植被包括白杨、刺槐、柳树及草</w:t>
      </w:r>
      <w:r>
        <w:rPr>
          <w:rFonts w:hint="eastAsia"/>
          <w:szCs w:val="28"/>
          <w:lang w:eastAsia="zh-CN"/>
        </w:rPr>
        <w:t>灌丛</w:t>
      </w:r>
      <w:r>
        <w:rPr>
          <w:rFonts w:hint="eastAsia"/>
          <w:szCs w:val="28"/>
        </w:rPr>
        <w:t>等。</w:t>
      </w:r>
    </w:p>
    <w:p w14:paraId="1AFB2786">
      <w:pPr>
        <w:ind w:firstLine="562"/>
        <w:rPr>
          <w:szCs w:val="28"/>
        </w:rPr>
      </w:pPr>
      <w:r>
        <w:rPr>
          <w:rFonts w:hint="eastAsia"/>
          <w:b/>
          <w:bCs/>
          <w:szCs w:val="28"/>
        </w:rPr>
        <w:t>土壤：</w:t>
      </w:r>
      <w:r>
        <w:rPr>
          <w:rFonts w:hint="eastAsia"/>
          <w:szCs w:val="28"/>
        </w:rPr>
        <w:t>盂县境内土壤种类主要分褐土、草甸土两个土类，六个亚类。褐土类遍布全县，其中淋溶褐土分布于海拔1470～2000米的高山林灌下，占土壤面积的0.9%；粗骨性褐土分布在海拔570～1250米的北部中低山区，占土壤面积的2.8%；山地褐土分布在全县广大中低山区，占土壤面积的79.2%；褐土性土分布在海拔1000～1300米的丘陵梁地上，多属耕作农田，占土壤面积的12.3%；淡褐土分布在海拔950～2100米的山涧盆地和残垣地带，占土壤面积的3.5%。草甸土只有浅色草甸土一个亚类，分布在滹沱河、龙华河、乌河、温河的河漫滩地及一级阶地，多为耕地，占土壤面积的1.3%。</w:t>
      </w:r>
    </w:p>
    <w:p w14:paraId="146AA4C2">
      <w:pPr>
        <w:pStyle w:val="6"/>
        <w:numPr>
          <w:ilvl w:val="0"/>
          <w:numId w:val="1"/>
        </w:numPr>
        <w:spacing w:before="156" w:after="156"/>
      </w:pPr>
      <w:bookmarkStart w:id="13" w:name="_Toc30343"/>
      <w:r>
        <w:rPr>
          <w:rFonts w:hint="eastAsia"/>
        </w:rPr>
        <w:t>二、生态系统评价</w:t>
      </w:r>
      <w:bookmarkEnd w:id="13"/>
    </w:p>
    <w:p w14:paraId="555FF368">
      <w:pPr>
        <w:ind w:firstLine="560"/>
      </w:pPr>
      <w:r>
        <w:rPr>
          <w:rFonts w:hint="eastAsia"/>
        </w:rPr>
        <w:t>盂县地处黄土高原</w:t>
      </w:r>
      <w:r>
        <w:t>东缘，地形以山地、丘陵为主，属温带大陆性季风气候，境内拥有滹沱河、乌河、</w:t>
      </w:r>
      <w:r>
        <w:rPr>
          <w:rFonts w:hint="eastAsia"/>
        </w:rPr>
        <w:t>龙华河、</w:t>
      </w:r>
      <w:r>
        <w:t>温河</w:t>
      </w:r>
      <w:r>
        <w:rPr>
          <w:rFonts w:hint="eastAsia"/>
        </w:rPr>
        <w:t>和秀水河</w:t>
      </w:r>
      <w:r>
        <w:t>等水系</w:t>
      </w:r>
      <w:r>
        <w:rPr>
          <w:rFonts w:hint="eastAsia"/>
        </w:rPr>
        <w:t>，</w:t>
      </w:r>
      <w:r>
        <w:t>空气质量优良天数比例连续四年稳定在70%以上</w:t>
      </w:r>
      <w:r>
        <w:rPr>
          <w:rFonts w:hint="eastAsia"/>
        </w:rPr>
        <w:t>，</w:t>
      </w:r>
      <w:r>
        <w:t>滹沱河湿地、调蓄水库等成为候鸟迁徙补给站</w:t>
      </w:r>
      <w:r>
        <w:rPr>
          <w:rFonts w:hint="eastAsia"/>
        </w:rPr>
        <w:t>，</w:t>
      </w:r>
      <w:bookmarkStart w:id="141" w:name="_GoBack"/>
      <w:r>
        <w:t>构建</w:t>
      </w:r>
      <w:r>
        <w:rPr>
          <w:rFonts w:hint="eastAsia" w:ascii="仿宋" w:hAnsi="仿宋" w:cs="仿宋"/>
        </w:rPr>
        <w:t>为</w:t>
      </w:r>
      <w:bookmarkEnd w:id="141"/>
      <w:r>
        <w:rPr>
          <w:rFonts w:hint="eastAsia" w:ascii="仿宋" w:hAnsi="仿宋" w:cs="仿宋"/>
        </w:rPr>
        <w:t>“一带两屏两廊”生态修复格局，包括滹沱河生态涵养带、北方山和白马山生态屏障、龙华河和乌</w:t>
      </w:r>
      <w:r>
        <w:rPr>
          <w:rFonts w:hint="eastAsia"/>
        </w:rPr>
        <w:t>河生态</w:t>
      </w:r>
      <w:r>
        <w:t>廊道</w:t>
      </w:r>
      <w:r>
        <w:rPr>
          <w:rFonts w:hint="eastAsia"/>
        </w:rPr>
        <w:t>。作为</w:t>
      </w:r>
      <w:r>
        <w:t>山西省东部太行山区的重要生态屏障，近年来通过系统性生态修复与综合治理，生态系统质量显著提升，但仍面临资源开发与生态保护的平衡挑战</w:t>
      </w:r>
      <w:r>
        <w:rPr>
          <w:rFonts w:hint="eastAsia"/>
        </w:rPr>
        <w:t>，亟需破解资源开发与生态保护的矛盾，推动全域绿色转型，为太行山区乃至黄河流域生态安全提供示范。</w:t>
      </w:r>
    </w:p>
    <w:p w14:paraId="175EEF2E">
      <w:pPr>
        <w:pStyle w:val="5"/>
        <w:ind w:firstLine="0" w:firstLineChars="0"/>
        <w:jc w:val="left"/>
      </w:pPr>
      <w:bookmarkStart w:id="14" w:name="_Toc19271"/>
      <w:bookmarkStart w:id="15" w:name="_Toc15129"/>
      <w:bookmarkStart w:id="16" w:name="_Toc21223"/>
      <w:bookmarkStart w:id="17" w:name="_Toc20547"/>
      <w:r>
        <w:rPr>
          <w:rFonts w:hint="eastAsia"/>
        </w:rPr>
        <w:t>第二节  生态修复成效与问题</w:t>
      </w:r>
      <w:bookmarkEnd w:id="14"/>
      <w:bookmarkEnd w:id="15"/>
      <w:bookmarkEnd w:id="16"/>
      <w:bookmarkEnd w:id="17"/>
    </w:p>
    <w:p w14:paraId="373C16AC">
      <w:pPr>
        <w:pStyle w:val="6"/>
        <w:numPr>
          <w:ilvl w:val="0"/>
          <w:numId w:val="1"/>
        </w:numPr>
        <w:spacing w:before="156" w:after="156"/>
      </w:pPr>
      <w:bookmarkStart w:id="18" w:name="_Toc29943"/>
      <w:r>
        <w:rPr>
          <w:rFonts w:hint="eastAsia"/>
        </w:rPr>
        <w:t>一、生态修复工作成效</w:t>
      </w:r>
      <w:bookmarkEnd w:id="18"/>
    </w:p>
    <w:p w14:paraId="0F0D0182">
      <w:pPr>
        <w:pStyle w:val="7"/>
        <w:ind w:left="-140"/>
      </w:pPr>
      <w:r>
        <w:rPr>
          <w:rFonts w:hint="eastAsia"/>
        </w:rPr>
        <w:t>（一）矿山生态修复与工矿废弃地转型利用</w:t>
      </w:r>
    </w:p>
    <w:p w14:paraId="0F5CFD2F">
      <w:pPr>
        <w:ind w:firstLine="562"/>
        <w:rPr>
          <w:rFonts w:cs="Times New Roman"/>
          <w:szCs w:val="28"/>
        </w:rPr>
      </w:pPr>
      <w:r>
        <w:rPr>
          <w:rFonts w:cs="Times New Roman"/>
          <w:b/>
          <w:bCs/>
          <w:szCs w:val="28"/>
        </w:rPr>
        <w:t>历史遗留矿山修复治理成效显著。</w:t>
      </w:r>
      <w:r>
        <w:rPr>
          <w:rFonts w:cs="Times New Roman"/>
          <w:szCs w:val="28"/>
        </w:rPr>
        <w:t>近年来，盂县针对历史遗留废弃矿山开展</w:t>
      </w:r>
      <w:r>
        <w:rPr>
          <w:rFonts w:hint="eastAsia" w:ascii="仿宋" w:hAnsi="仿宋" w:cs="仿宋"/>
          <w:szCs w:val="28"/>
        </w:rPr>
        <w:t>了“一矿一策”修</w:t>
      </w:r>
      <w:r>
        <w:rPr>
          <w:rFonts w:cs="Times New Roman"/>
          <w:szCs w:val="28"/>
        </w:rPr>
        <w:t>复治理，治理措施主要为地形重塑和植被重建。京津冀周边及汾渭平原重点城市废弃露天矿山生态修复治理项目投资约6600万元，修复治理面积265公顷；历史遗留私挖滥采坑点及涉煤涉矿工程治理面积</w:t>
      </w:r>
      <w:r>
        <w:rPr>
          <w:rFonts w:hint="eastAsia" w:cs="Times New Roman"/>
          <w:szCs w:val="28"/>
        </w:rPr>
        <w:t>约</w:t>
      </w:r>
      <w:r>
        <w:rPr>
          <w:rFonts w:cs="Times New Roman"/>
          <w:szCs w:val="28"/>
        </w:rPr>
        <w:t>8200余亩。</w:t>
      </w:r>
    </w:p>
    <w:p w14:paraId="6AB9D6C9">
      <w:pPr>
        <w:ind w:firstLine="562"/>
        <w:rPr>
          <w:rFonts w:ascii="仿宋" w:hAnsi="仿宋" w:cs="仿宋"/>
          <w:szCs w:val="28"/>
        </w:rPr>
      </w:pPr>
      <w:r>
        <w:rPr>
          <w:rFonts w:hint="eastAsia" w:ascii="仿宋" w:hAnsi="仿宋" w:cs="仿宋"/>
          <w:b/>
          <w:bCs/>
          <w:szCs w:val="28"/>
        </w:rPr>
        <w:t>采煤沉陷区生态功能迭代升级。</w:t>
      </w:r>
      <w:r>
        <w:rPr>
          <w:rFonts w:hint="eastAsia" w:ascii="仿宋" w:hAnsi="仿宋" w:cs="仿宋"/>
          <w:szCs w:val="28"/>
        </w:rPr>
        <w:t>近年来，针对采煤沉陷区问题开展了大量工作，有效减少了地表水下渗、缓解了矿井水患问题，改善了区域小气候和水源涵养能力。尤其是石店煤业将原本地表裂隙遍布、水土流失严重的矿区转化为万亩生态园区，累计治理塌陷土地</w:t>
      </w:r>
      <w:r>
        <w:rPr>
          <w:rFonts w:cs="Times New Roman"/>
          <w:szCs w:val="28"/>
        </w:rPr>
        <w:t>5200</w:t>
      </w:r>
      <w:r>
        <w:rPr>
          <w:rFonts w:hint="eastAsia" w:ascii="仿宋" w:hAnsi="仿宋" w:cs="仿宋"/>
          <w:szCs w:val="28"/>
        </w:rPr>
        <w:t>余亩，生态园融合了农业种植、观光旅游、科普教育等功能。</w:t>
      </w:r>
    </w:p>
    <w:p w14:paraId="3BAAFE48">
      <w:pPr>
        <w:pStyle w:val="2"/>
        <w:ind w:firstLine="562"/>
        <w:rPr>
          <w:rFonts w:cs="Times New Roman"/>
          <w:szCs w:val="28"/>
        </w:rPr>
      </w:pPr>
      <w:r>
        <w:rPr>
          <w:rFonts w:cs="Times New Roman"/>
          <w:b/>
          <w:bCs/>
          <w:szCs w:val="28"/>
        </w:rPr>
        <w:t>高铁沿线生态服务功能提升。</w:t>
      </w:r>
      <w:r>
        <w:rPr>
          <w:rFonts w:cs="Times New Roman"/>
          <w:szCs w:val="28"/>
        </w:rPr>
        <w:t>依托石太高铁盂县段52.4公里沿线，实施</w:t>
      </w:r>
      <w:r>
        <w:rPr>
          <w:rFonts w:hint="eastAsia" w:ascii="仿宋" w:hAnsi="仿宋" w:cs="仿宋"/>
          <w:szCs w:val="28"/>
        </w:rPr>
        <w:t>“山体修复+植被隔离”工</w:t>
      </w:r>
      <w:r>
        <w:rPr>
          <w:rFonts w:cs="Times New Roman"/>
          <w:szCs w:val="28"/>
        </w:rPr>
        <w:t>程：对途经的4个乡镇19个村落开展荒滩生态开发，在高铁轨道与自然林地间种植侧柏、油松等乡土乔木带，搭配沙棘灌木层，形成宽度30-50米的混交林隔离带。通过客土回填、微地形改造种植林木125亩，配套渗水沟渠减少人类活动对动物迁徙廊道的切割。新增绿地70公顷，提升森林覆盖率0.5%</w:t>
      </w:r>
      <w:r>
        <w:rPr>
          <w:rFonts w:hint="eastAsia" w:cs="Times New Roman"/>
          <w:szCs w:val="28"/>
        </w:rPr>
        <w:t>，</w:t>
      </w:r>
      <w:r>
        <w:rPr>
          <w:rFonts w:cs="Times New Roman"/>
          <w:szCs w:val="28"/>
        </w:rPr>
        <w:t>同时阻隔</w:t>
      </w:r>
      <w:r>
        <w:rPr>
          <w:rFonts w:hint="eastAsia" w:cs="Times New Roman"/>
          <w:szCs w:val="28"/>
        </w:rPr>
        <w:t>了</w:t>
      </w:r>
      <w:r>
        <w:rPr>
          <w:rFonts w:cs="Times New Roman"/>
          <w:szCs w:val="28"/>
        </w:rPr>
        <w:t>高铁噪音、垃圾污染向滹沱河湿地核心区蔓延。</w:t>
      </w:r>
    </w:p>
    <w:p w14:paraId="707A4B0A">
      <w:pPr>
        <w:pStyle w:val="7"/>
        <w:ind w:left="-140"/>
      </w:pPr>
      <w:r>
        <w:rPr>
          <w:rFonts w:hint="eastAsia"/>
        </w:rPr>
        <w:t>（二）水环境综合治理与生态功能重构</w:t>
      </w:r>
    </w:p>
    <w:p w14:paraId="5C42E76C">
      <w:pPr>
        <w:ind w:firstLine="562"/>
        <w:rPr>
          <w:szCs w:val="28"/>
        </w:rPr>
      </w:pPr>
      <w:r>
        <w:rPr>
          <w:rFonts w:hint="eastAsia"/>
          <w:b/>
          <w:bCs/>
          <w:szCs w:val="28"/>
        </w:rPr>
        <w:t>防洪减灾体系建设。</w:t>
      </w:r>
      <w:r>
        <w:rPr>
          <w:rFonts w:hint="eastAsia"/>
          <w:szCs w:val="28"/>
        </w:rPr>
        <w:t>“十三五”期间，在全县开展了乡镇防汛大演练，及时发布了预警信息，实现了水库不垮坝、堤防不决口的防洪目标。加强和提高了城乡和农田防洪能力，包括龙华河、香河、乌河河道治理工程；专群结合的山洪监测预警体系建设；苌池镇和上社镇抗旱应急水源工程等。全县实施防洪减灾工程总投资9629.35万元。</w:t>
      </w:r>
    </w:p>
    <w:p w14:paraId="4A7F5853">
      <w:pPr>
        <w:ind w:firstLine="562"/>
        <w:rPr>
          <w:rFonts w:ascii="仿宋" w:hAnsi="仿宋" w:cs="仿宋"/>
          <w:b/>
          <w:bCs/>
          <w:szCs w:val="28"/>
        </w:rPr>
      </w:pPr>
      <w:r>
        <w:rPr>
          <w:rFonts w:hint="eastAsia" w:ascii="仿宋" w:hAnsi="仿宋" w:cs="仿宋"/>
          <w:b/>
          <w:bCs/>
          <w:szCs w:val="28"/>
        </w:rPr>
        <w:t>水生态环境保护体系建设。</w:t>
      </w:r>
      <w:r>
        <w:rPr>
          <w:rFonts w:hint="eastAsia"/>
          <w:szCs w:val="28"/>
        </w:rPr>
        <w:t>“十三五”期间，全县累计治理水土流失面积44万亩，包括西潘小流域、铜炉小流域和羊泉小流域水土保持综合治理工程，总投资1857万元；盂县娘子关泉域岩溶污染井封堵项目投资418万元。</w:t>
      </w:r>
    </w:p>
    <w:p w14:paraId="5A7E423E">
      <w:pPr>
        <w:ind w:firstLine="562"/>
        <w:rPr>
          <w:rFonts w:cs="Times New Roman"/>
          <w:szCs w:val="28"/>
        </w:rPr>
      </w:pPr>
      <w:r>
        <w:rPr>
          <w:rFonts w:hint="eastAsia" w:ascii="仿宋" w:hAnsi="仿宋" w:cs="仿宋"/>
          <w:b/>
          <w:bCs/>
          <w:szCs w:val="28"/>
        </w:rPr>
        <w:t>农村饮水安全体系建设。</w:t>
      </w:r>
      <w:r>
        <w:rPr>
          <w:rFonts w:hint="eastAsia" w:ascii="仿宋" w:hAnsi="仿宋" w:cs="仿宋"/>
          <w:szCs w:val="28"/>
        </w:rPr>
        <w:t>“十三五”期间，全县持续实施农村饮用水安全巩固提升工程，</w:t>
      </w:r>
      <w:r>
        <w:rPr>
          <w:rFonts w:cs="Times New Roman"/>
          <w:szCs w:val="28"/>
        </w:rPr>
        <w:t>投资2524万元建设农村饮水安全巩固提升工程139处，改善和提高了10.53万农村群众的饮水安全条件和水平；对59个建档立卡贫困村饮水安全情况开展了调查摸底，有针对性的全面解决了贫困村饮水不安全的问题。</w:t>
      </w:r>
    </w:p>
    <w:p w14:paraId="56E88CE7">
      <w:pPr>
        <w:ind w:firstLine="562"/>
        <w:rPr>
          <w:rFonts w:cs="Times New Roman"/>
          <w:szCs w:val="28"/>
        </w:rPr>
      </w:pPr>
      <w:r>
        <w:rPr>
          <w:rFonts w:hint="eastAsia" w:ascii="仿宋" w:hAnsi="仿宋" w:cs="仿宋"/>
          <w:b/>
          <w:bCs/>
          <w:szCs w:val="28"/>
        </w:rPr>
        <w:t>完善农村水利基础设施。</w:t>
      </w:r>
      <w:r>
        <w:rPr>
          <w:rFonts w:hint="eastAsia" w:ascii="仿宋" w:hAnsi="仿宋" w:cs="仿宋"/>
          <w:szCs w:val="28"/>
        </w:rPr>
        <w:t>盂县“十三五”期间大力开展农田</w:t>
      </w:r>
      <w:r>
        <w:rPr>
          <w:rFonts w:cs="Times New Roman"/>
          <w:szCs w:val="28"/>
        </w:rPr>
        <w:t>水利建设，积极推广节水新技术，投资325万建设膜下滴灌工程3处，节水灌溉工程6处，发展节水灌溉面积3400亩，为农业经济发展注入了新动力。</w:t>
      </w:r>
    </w:p>
    <w:p w14:paraId="5494BFDE">
      <w:pPr>
        <w:pStyle w:val="7"/>
        <w:ind w:left="-140"/>
      </w:pPr>
      <w:r>
        <w:rPr>
          <w:rFonts w:hint="eastAsia"/>
        </w:rPr>
        <w:t>（三）土地综合整治与高标准农田成效显著</w:t>
      </w:r>
    </w:p>
    <w:p w14:paraId="5E128E40">
      <w:pPr>
        <w:ind w:firstLine="560"/>
        <w:rPr>
          <w:rFonts w:ascii="仿宋" w:hAnsi="仿宋" w:cs="仿宋"/>
          <w:szCs w:val="28"/>
        </w:rPr>
      </w:pPr>
      <w:r>
        <w:rPr>
          <w:rFonts w:hint="eastAsia"/>
          <w:szCs w:val="28"/>
        </w:rPr>
        <w:t>“十三五”期间</w:t>
      </w:r>
      <w:r>
        <w:rPr>
          <w:rFonts w:hint="eastAsia" w:ascii="仿宋" w:hAnsi="仿宋" w:cs="仿宋"/>
          <w:szCs w:val="28"/>
        </w:rPr>
        <w:t>，盂县自然资源局及农业农村局职能部门承担并完成了基本农田整理、土地整治、高标准基本农田整理等一大批农田</w:t>
      </w:r>
      <w:r>
        <w:rPr>
          <w:rFonts w:cs="Times New Roman"/>
          <w:szCs w:val="28"/>
        </w:rPr>
        <w:t>基础设施工程，完成高标准农田建设项目33个，建设高标准农田面积8.24万亩，项目总投资12041万元，通过对项目区内的土地平整、土壤改良、灌溉与排水、田间道路、农田防护与生态环境保持等建设，改善了项目区内的耕种条</w:t>
      </w:r>
      <w:r>
        <w:rPr>
          <w:rFonts w:hint="eastAsia" w:ascii="仿宋" w:hAnsi="仿宋" w:cs="仿宋"/>
          <w:szCs w:val="28"/>
        </w:rPr>
        <w:t>件，提高了耕地质量，为保障农民增产增收奠定坚实的基础。</w:t>
      </w:r>
    </w:p>
    <w:p w14:paraId="1CCD716A">
      <w:pPr>
        <w:pStyle w:val="7"/>
        <w:ind w:left="-140"/>
        <w:rPr>
          <w:rFonts w:ascii="Times New Roman" w:hAnsi="Times New Roman" w:cs="Times New Roman"/>
        </w:rPr>
      </w:pPr>
      <w:r>
        <w:rPr>
          <w:rFonts w:ascii="Times New Roman" w:hAnsi="Times New Roman" w:cs="Times New Roman"/>
        </w:rPr>
        <w:t>（四）生态环保治理迈上新台阶</w:t>
      </w:r>
    </w:p>
    <w:p w14:paraId="39ED1107">
      <w:pPr>
        <w:ind w:firstLine="560"/>
        <w:rPr>
          <w:rFonts w:cs="Times New Roman"/>
          <w:szCs w:val="28"/>
        </w:rPr>
      </w:pPr>
      <w:r>
        <w:rPr>
          <w:rFonts w:cs="Times New Roman"/>
          <w:szCs w:val="28"/>
        </w:rPr>
        <w:t>统筹推进蓝天、碧水、净土三大保卫战，煤炭行业全产业链绿色低碳、清洁、高效、安全、智能发展向前推进。</w:t>
      </w:r>
      <w:r>
        <w:rPr>
          <w:rFonts w:hint="eastAsia" w:ascii="仿宋" w:hAnsi="仿宋" w:cs="仿宋"/>
          <w:szCs w:val="28"/>
        </w:rPr>
        <w:t>“十三五”期</w:t>
      </w:r>
      <w:r>
        <w:rPr>
          <w:rFonts w:cs="Times New Roman"/>
          <w:szCs w:val="28"/>
        </w:rPr>
        <w:t>间，完成二氧化硫减排2162.54吨、氮氧化物减排3438.66吨、烟尘减排176吨、粉尘减排175吨、化学需氧量减排8500.22吨、氨氮减排597.79吨。深入实施环城、通道、荒山、景区、厂矿、乡村绿</w:t>
      </w:r>
      <w:r>
        <w:rPr>
          <w:rFonts w:hint="eastAsia" w:ascii="仿宋" w:hAnsi="仿宋" w:cs="仿宋"/>
          <w:szCs w:val="28"/>
        </w:rPr>
        <w:t>化“六大造林绿化”工程</w:t>
      </w:r>
      <w:r>
        <w:rPr>
          <w:rFonts w:hint="eastAsia" w:cs="Times New Roman"/>
          <w:szCs w:val="28"/>
        </w:rPr>
        <w:t>，</w:t>
      </w:r>
      <w:r>
        <w:rPr>
          <w:rFonts w:cs="Times New Roman"/>
          <w:szCs w:val="28"/>
        </w:rPr>
        <w:t>森林覆盖率</w:t>
      </w:r>
      <w:r>
        <w:rPr>
          <w:rFonts w:hint="eastAsia" w:ascii="仿宋" w:hAnsi="仿宋" w:cs="仿宋"/>
          <w:szCs w:val="28"/>
        </w:rPr>
        <w:t>逐年提升</w:t>
      </w:r>
      <w:r>
        <w:rPr>
          <w:rFonts w:cs="Times New Roman"/>
          <w:szCs w:val="28"/>
        </w:rPr>
        <w:t>。</w:t>
      </w:r>
    </w:p>
    <w:p w14:paraId="112D870D">
      <w:pPr>
        <w:pStyle w:val="6"/>
        <w:numPr>
          <w:ilvl w:val="0"/>
          <w:numId w:val="1"/>
        </w:numPr>
        <w:spacing w:before="156" w:after="156"/>
      </w:pPr>
      <w:bookmarkStart w:id="19" w:name="_Toc21078"/>
      <w:r>
        <w:rPr>
          <w:rFonts w:hint="eastAsia"/>
        </w:rPr>
        <w:t>二、存在的主要生态问题</w:t>
      </w:r>
      <w:bookmarkEnd w:id="19"/>
    </w:p>
    <w:p w14:paraId="69580228">
      <w:pPr>
        <w:pStyle w:val="7"/>
        <w:ind w:left="-140"/>
      </w:pPr>
      <w:r>
        <w:rPr>
          <w:rFonts w:hint="eastAsia"/>
        </w:rPr>
        <w:t>（一）生态本底脆弱性与修复复杂性并存</w:t>
      </w:r>
    </w:p>
    <w:p w14:paraId="77259595">
      <w:pPr>
        <w:ind w:firstLine="560"/>
      </w:pPr>
      <w:r>
        <w:rPr>
          <w:rFonts w:hint="eastAsia"/>
        </w:rPr>
        <w:t>盂县地处太行山土石山区与黄土丘陵过渡带，地形破碎、沟壑纵横，生态系统自身调节能力相对较弱。矿山开采形成的高陡边坡、采空区等地质环境问题与水土流失相互交织，一定程度制约了地表植被的自然恢复进程。滹沱河流域湿地与山地生态系统空间异质性显著，不同地貌单元适宜不同的修复方式，对修复技术的精准性和适应性提出了更高要求。</w:t>
      </w:r>
    </w:p>
    <w:p w14:paraId="7692AB33">
      <w:pPr>
        <w:pStyle w:val="7"/>
        <w:ind w:left="-140"/>
      </w:pPr>
      <w:r>
        <w:rPr>
          <w:rFonts w:hint="eastAsia"/>
        </w:rPr>
        <w:t>（二）空间管控要求与区域发展需求尚需协调</w:t>
      </w:r>
    </w:p>
    <w:p w14:paraId="7E5631A3">
      <w:pPr>
        <w:ind w:firstLine="560"/>
        <w:rPr>
          <w:color w:val="0000FF"/>
        </w:rPr>
      </w:pPr>
      <w:r>
        <w:rPr>
          <w:rFonts w:hint="eastAsia"/>
        </w:rPr>
        <w:t>国土空间规划中生态保护红线、永久基本农田与城镇开发边界的划定，对项目实施提出了明确的管控要求。在实际工作中，生态保护红线范围内的历史工矿用地与当前修复安排存在一定空间重叠，需要在政策框架内妥善处理。城镇建设和产业发展对土地资源的现实需求，与生态空间保护之间存在一定张力，需要统筹兼顾。生态廊道建设与交通等基础设施规划在空间布局上也需进一步衔接。</w:t>
      </w:r>
    </w:p>
    <w:p w14:paraId="3A122056">
      <w:pPr>
        <w:pStyle w:val="7"/>
        <w:ind w:left="-140"/>
      </w:pPr>
      <w:r>
        <w:rPr>
          <w:rFonts w:hint="eastAsia"/>
        </w:rPr>
        <w:t>（三）林草地资源结构有待优化</w:t>
      </w:r>
    </w:p>
    <w:p w14:paraId="1571745C">
      <w:pPr>
        <w:ind w:firstLine="560"/>
      </w:pPr>
      <w:r>
        <w:rPr>
          <w:rFonts w:hint="eastAsia"/>
        </w:rPr>
        <w:t>县域内人工林占比较高，部分林分树种组成相对单一，森林生态功能仍有提升空间。个别针叶纯林经营方式需进一步优化，以促进土壤改善和生物多样性增强；经济林在局部区域的过度发展对水土保持带来一定压力，林下生态系统服务功能有待恢复。草地资源因历史放牧与垦殖活动，原生植被受到一定程度影响，林地斑块破碎化对野生动植物栖息地连通性造成一定影响。</w:t>
      </w:r>
    </w:p>
    <w:p w14:paraId="04E4EFFB">
      <w:pPr>
        <w:pStyle w:val="7"/>
        <w:ind w:left="-140"/>
      </w:pPr>
      <w:r>
        <w:rPr>
          <w:rFonts w:hint="eastAsia"/>
        </w:rPr>
        <w:t>（四）耕地质量与利用方式需统筹优化</w:t>
      </w:r>
    </w:p>
    <w:p w14:paraId="6CE9ABDE">
      <w:pPr>
        <w:ind w:firstLine="560"/>
      </w:pPr>
      <w:r>
        <w:rPr>
          <w:rFonts w:hint="eastAsia"/>
        </w:rPr>
        <w:t>长期耕作对土壤有机质含量和结构产生一定影响，化肥农药的连续使用导致土壤板结等问题逐步显现，耕地生态系统功能有待改善。区域内坡耕地比重较大、田块较为细碎，对规模化生态农业的推广形成一定制约。传统耕作习惯与水土保持要求之间存在协调空间，需进一步引导优化。耕地利用结构调整过程中，经济作物种植面积有所增加，面源污染防治压力相应上升。</w:t>
      </w:r>
    </w:p>
    <w:p w14:paraId="75491B42">
      <w:pPr>
        <w:pStyle w:val="7"/>
        <w:ind w:left="-140"/>
      </w:pPr>
      <w:r>
        <w:rPr>
          <w:rFonts w:hint="eastAsia"/>
        </w:rPr>
        <w:t>（五）水环境治理体系仍需完善</w:t>
      </w:r>
    </w:p>
    <w:p w14:paraId="6FF51017">
      <w:pPr>
        <w:ind w:firstLine="560"/>
      </w:pPr>
      <w:r>
        <w:rPr>
          <w:rFonts w:hint="eastAsia"/>
        </w:rPr>
        <w:t>滹沱河流域水资源时空分布不均，部分时段生态基流保障不够充分，局部河段存在断流现象，水生动植物栖息环境受到影响。工矿排水、农业退水与生活污水等多类污染源叠加，使河道自净能力恢复面临一定压力。地下水开采导致的水位变化和地面沉降问题需持续关注，地表水与地下水之间的水力联系有待恢复。</w:t>
      </w:r>
    </w:p>
    <w:p w14:paraId="1D0876F2">
      <w:pPr>
        <w:pStyle w:val="7"/>
        <w:ind w:left="-140"/>
      </w:pPr>
      <w:r>
        <w:rPr>
          <w:rFonts w:hint="eastAsia"/>
        </w:rPr>
        <w:t>（六）矿山废弃地治理与产业转型衔接需加强</w:t>
      </w:r>
    </w:p>
    <w:p w14:paraId="349E4F79">
      <w:pPr>
        <w:ind w:firstLine="560"/>
      </w:pPr>
      <w:r>
        <w:rPr>
          <w:rFonts w:hint="eastAsia"/>
        </w:rPr>
        <w:t>历史遗留的废弃矿山、尾矿库及工业场地，在土壤环境改善、地质安全隐患消除和生态功能恢复等方面仍面临较多任务。传统的覆土复绿模式与区域产业转型发展之间的衔接还不够紧密，部分修复项目在后续土地利用方向上的规划不够明确。矿山生态修复与新能源、循环经济等新兴产业的融合尚处于探索阶段，修复成果向经济效益转化的路径有待拓宽。</w:t>
      </w:r>
    </w:p>
    <w:p w14:paraId="0A736CA2">
      <w:pPr>
        <w:pStyle w:val="7"/>
        <w:ind w:left="-140"/>
      </w:pPr>
      <w:r>
        <w:rPr>
          <w:rFonts w:hint="eastAsia"/>
        </w:rPr>
        <w:t>（七）部门协同与参与机制有待健全</w:t>
      </w:r>
    </w:p>
    <w:p w14:paraId="34EDE5BA">
      <w:pPr>
        <w:ind w:firstLine="560"/>
      </w:pPr>
      <w:r>
        <w:rPr>
          <w:rFonts w:hint="eastAsia"/>
        </w:rPr>
        <w:t>生态修复工作涉及自然资源、生态环境、农业农村等多个部门，目前跨部门统筹协调机制仍在完善过程中。水土保持与面源污染治理在管理上分属不同体系，工程措施的系统性有待增强；流域上下游之间在生态补偿标准和利益分配方面需进一步达成共识。社会公众参与渠道还需拓宽，企业和村民在项目规划决策中的参与度有待提高。</w:t>
      </w:r>
    </w:p>
    <w:p w14:paraId="6791153C">
      <w:pPr>
        <w:pStyle w:val="4"/>
        <w:ind w:firstLine="0" w:firstLineChars="0"/>
        <w:jc w:val="left"/>
        <w:rPr>
          <w:u w:val="double" w:color="0000FF"/>
        </w:rPr>
      </w:pPr>
      <w:bookmarkStart w:id="20" w:name="_Toc9133"/>
      <w:bookmarkStart w:id="21" w:name="_Toc22947"/>
      <w:bookmarkStart w:id="22" w:name="_Toc9683"/>
      <w:bookmarkStart w:id="23" w:name="_Toc646"/>
      <w:r>
        <w:rPr>
          <w:rFonts w:hint="eastAsia"/>
          <w:u w:val="double" w:color="0000FF"/>
        </w:rPr>
        <w:t>第二章  总体要求</w:t>
      </w:r>
      <w:bookmarkEnd w:id="20"/>
      <w:bookmarkEnd w:id="21"/>
      <w:bookmarkEnd w:id="22"/>
      <w:bookmarkEnd w:id="23"/>
      <w:r>
        <w:rPr>
          <w:rFonts w:hint="eastAsia"/>
          <w:u w:val="double" w:color="0000FF"/>
        </w:rPr>
        <w:t xml:space="preserve">                              </w:t>
      </w:r>
    </w:p>
    <w:p w14:paraId="0869A385">
      <w:pPr>
        <w:pStyle w:val="6"/>
        <w:numPr>
          <w:ilvl w:val="0"/>
          <w:numId w:val="1"/>
        </w:numPr>
        <w:spacing w:before="156" w:after="156"/>
        <w:rPr>
          <w:rFonts w:cs="Times New Roman"/>
        </w:rPr>
      </w:pPr>
      <w:bookmarkStart w:id="24" w:name="_Toc163465760"/>
      <w:bookmarkStart w:id="25" w:name="_Toc26780"/>
      <w:r>
        <w:rPr>
          <w:rFonts w:cs="Times New Roman"/>
        </w:rPr>
        <w:t>一、</w:t>
      </w:r>
      <w:r>
        <w:rPr>
          <w:rFonts w:hint="eastAsia" w:cs="Times New Roman"/>
        </w:rPr>
        <w:t>总体目标</w:t>
      </w:r>
      <w:bookmarkEnd w:id="24"/>
      <w:bookmarkEnd w:id="25"/>
    </w:p>
    <w:p w14:paraId="6B22717C">
      <w:pPr>
        <w:ind w:firstLine="560"/>
      </w:pPr>
      <w:r>
        <w:rPr>
          <w:rFonts w:cs="Times New Roman"/>
        </w:rPr>
        <w:t>衔接国家、省</w:t>
      </w:r>
      <w:r>
        <w:rPr>
          <w:rFonts w:hint="eastAsia" w:cs="Times New Roman"/>
        </w:rPr>
        <w:t>市</w:t>
      </w:r>
      <w:r>
        <w:rPr>
          <w:rFonts w:cs="Times New Roman"/>
        </w:rPr>
        <w:t>级层面规划要求和任务传导，统筹</w:t>
      </w:r>
      <w:r>
        <w:rPr>
          <w:rFonts w:hint="eastAsia" w:cs="Times New Roman"/>
        </w:rPr>
        <w:t>全县</w:t>
      </w:r>
      <w:r>
        <w:rPr>
          <w:rFonts w:cs="Times New Roman"/>
        </w:rPr>
        <w:t>各要素资源，实施山水林田湖草沙一体化保护和修复，突出做好</w:t>
      </w:r>
      <w:r>
        <w:rPr>
          <w:rFonts w:hint="eastAsia" w:cs="Times New Roman"/>
        </w:rPr>
        <w:t>“</w:t>
      </w:r>
      <w:r>
        <w:rPr>
          <w:rFonts w:hint="eastAsia" w:cs="仿宋"/>
          <w:szCs w:val="32"/>
        </w:rPr>
        <w:t>一带两屏双廊</w:t>
      </w:r>
      <w:r>
        <w:rPr>
          <w:rFonts w:hint="eastAsia" w:cs="Times New Roman"/>
        </w:rPr>
        <w:t>”</w:t>
      </w:r>
      <w:r>
        <w:rPr>
          <w:rFonts w:cs="Times New Roman"/>
        </w:rPr>
        <w:t>生态保护，</w:t>
      </w:r>
      <w:r>
        <w:rPr>
          <w:rFonts w:hint="eastAsia"/>
        </w:rPr>
        <w:t>建设太行山脉、系舟山脉和滹沱河、温河两大水系等生态廊道，</w:t>
      </w:r>
      <w:r>
        <w:rPr>
          <w:rFonts w:cs="Times New Roman"/>
        </w:rPr>
        <w:t>推动实施一批重大生态保护工程，</w:t>
      </w:r>
      <w:r>
        <w:rPr>
          <w:rFonts w:hint="eastAsia"/>
        </w:rPr>
        <w:t>打造京津冀西部重要安全屏障</w:t>
      </w:r>
      <w:r>
        <w:rPr>
          <w:rFonts w:hint="eastAsia" w:cs="Times New Roman"/>
        </w:rPr>
        <w:t>，</w:t>
      </w:r>
      <w:r>
        <w:rPr>
          <w:rFonts w:cs="Times New Roman"/>
        </w:rPr>
        <w:t>提高生态承载能力，建设美丽宜居</w:t>
      </w:r>
      <w:r>
        <w:rPr>
          <w:rFonts w:hint="eastAsia" w:cs="Times New Roman"/>
        </w:rPr>
        <w:t>盂县。</w:t>
      </w:r>
    </w:p>
    <w:p w14:paraId="1B485BB6">
      <w:pPr>
        <w:pStyle w:val="6"/>
        <w:numPr>
          <w:ilvl w:val="0"/>
          <w:numId w:val="1"/>
        </w:numPr>
        <w:spacing w:before="156" w:after="156"/>
        <w:rPr>
          <w:rFonts w:cs="Times New Roman"/>
        </w:rPr>
      </w:pPr>
      <w:bookmarkStart w:id="26" w:name="_Toc14121"/>
      <w:bookmarkStart w:id="27" w:name="_Toc163465761"/>
      <w:r>
        <w:rPr>
          <w:rFonts w:cs="Times New Roman"/>
        </w:rPr>
        <w:t>二</w:t>
      </w:r>
      <w:r>
        <w:rPr>
          <w:rFonts w:hint="eastAsia" w:cs="Times New Roman"/>
        </w:rPr>
        <w:t>、</w:t>
      </w:r>
      <w:r>
        <w:rPr>
          <w:rFonts w:cs="Times New Roman"/>
        </w:rPr>
        <w:t>阶段目标</w:t>
      </w:r>
      <w:bookmarkEnd w:id="26"/>
      <w:bookmarkEnd w:id="27"/>
    </w:p>
    <w:p w14:paraId="18CFB6E9">
      <w:pPr>
        <w:ind w:firstLine="524"/>
        <w:rPr>
          <w:rFonts w:cs="Times New Roman"/>
          <w:spacing w:val="-9"/>
        </w:rPr>
      </w:pPr>
      <w:r>
        <w:rPr>
          <w:rFonts w:hint="eastAsia" w:cs="Times New Roman"/>
          <w:spacing w:val="-9"/>
        </w:rPr>
        <w:t>到2025年，重要生态系统保护和修复重大工程有序推进，重大生态问题得到有效遏制，全县生态保护红线面积不少于751.84平方公里，森林覆盖率达到28.01%，水土保持率达66.80%，新增水土流失治理面积140平方公里，历史遗留矿山治理面积9.62平方公里，重要河湖自然岸线保有率达35%，各类自然保护地数量和面积达到稳定水平，生态系统稳定性持续提升，生态脆弱地区监测能力不断加强，生态系统服务功能进一步增强，重点生态功能区生态安全保障能力全面提升，资源利用水平进一步提高，城乡人居环境品质显著改善，夯实美丽盂县生态根基。</w:t>
      </w:r>
    </w:p>
    <w:p w14:paraId="7E2E16FB">
      <w:pPr>
        <w:ind w:firstLine="524"/>
        <w:rPr>
          <w:rFonts w:cs="Times New Roman"/>
          <w:spacing w:val="-5"/>
        </w:rPr>
      </w:pPr>
      <w:r>
        <w:rPr>
          <w:rFonts w:hint="eastAsia" w:cs="Times New Roman"/>
          <w:spacing w:val="-9"/>
        </w:rPr>
        <w:t>到2035年，全县生态保护红线面积不少于751.84平方公里，森林覆盖率达到33.01%，水土保持率达73.11%，重要河湖自然岸线保有率达40%。国土空间内自然生态系统稳定并充满活力，山水林田湖草沙生命共同体持续正向发育演替，抗自然风险能力大大提高，形成牢固的生态安全格局；森林生态系统质量、功能和惠民效益持续提升，人居生态环境不断优化和改善，全面构建安全、健康、美丽的国土空间格局，基本形成人与自然和谐共生的新格局。</w:t>
      </w:r>
    </w:p>
    <w:p w14:paraId="135DCBC4">
      <w:pPr>
        <w:pStyle w:val="4"/>
        <w:ind w:firstLine="0" w:firstLineChars="0"/>
        <w:jc w:val="left"/>
        <w:rPr>
          <w:u w:val="double" w:color="0000FF"/>
        </w:rPr>
      </w:pPr>
      <w:bookmarkStart w:id="28" w:name="_Toc15332"/>
      <w:bookmarkStart w:id="29" w:name="_Toc27235"/>
      <w:bookmarkStart w:id="30" w:name="_Toc16496"/>
      <w:bookmarkStart w:id="31" w:name="_Toc15761"/>
      <w:r>
        <w:rPr>
          <w:rFonts w:hint="eastAsia"/>
          <w:u w:val="double" w:color="0000FF"/>
        </w:rPr>
        <w:t>第三章  生态修复布局</w:t>
      </w:r>
      <w:bookmarkEnd w:id="28"/>
      <w:bookmarkEnd w:id="29"/>
      <w:bookmarkEnd w:id="30"/>
      <w:bookmarkEnd w:id="31"/>
      <w:r>
        <w:rPr>
          <w:rFonts w:hint="eastAsia"/>
          <w:u w:val="double" w:color="0000FF"/>
        </w:rPr>
        <w:t xml:space="preserve">                          </w:t>
      </w:r>
    </w:p>
    <w:p w14:paraId="5DC5A0CB">
      <w:pPr>
        <w:pStyle w:val="5"/>
        <w:ind w:firstLine="0" w:firstLineChars="0"/>
        <w:jc w:val="both"/>
      </w:pPr>
      <w:bookmarkStart w:id="32" w:name="_Toc27360"/>
      <w:bookmarkStart w:id="33" w:name="_Toc11826"/>
      <w:bookmarkStart w:id="34" w:name="_Toc25184"/>
      <w:bookmarkStart w:id="35" w:name="_Toc21766"/>
      <w:r>
        <w:rPr>
          <w:rFonts w:hint="eastAsia"/>
        </w:rPr>
        <w:t>第一节  总体格局</w:t>
      </w:r>
      <w:bookmarkEnd w:id="32"/>
      <w:bookmarkEnd w:id="33"/>
      <w:bookmarkEnd w:id="34"/>
      <w:bookmarkEnd w:id="35"/>
    </w:p>
    <w:p w14:paraId="7167AF62">
      <w:pPr>
        <w:ind w:firstLine="560"/>
        <w:rPr>
          <w:rFonts w:cs="仿宋"/>
          <w:szCs w:val="32"/>
        </w:rPr>
      </w:pPr>
      <w:r>
        <w:rPr>
          <w:rFonts w:hint="eastAsia" w:cs="仿宋"/>
          <w:szCs w:val="32"/>
        </w:rPr>
        <w:t>尊重县域“七山两丘一平川”的自然地理格局，以资源环境承载能力和国土空间开发适宜性评价为基础，构建以“一带两屏双廊”为骨架的生态空间布局。</w:t>
      </w:r>
    </w:p>
    <w:p w14:paraId="1CFF7160">
      <w:pPr>
        <w:ind w:firstLine="560"/>
        <w:rPr>
          <w:rFonts w:cs="仿宋"/>
          <w:szCs w:val="32"/>
        </w:rPr>
      </w:pPr>
      <w:r>
        <w:rPr>
          <w:rFonts w:hint="eastAsia" w:eastAsia="楷体" w:cs="楷体"/>
          <w:szCs w:val="32"/>
        </w:rPr>
        <w:t>“一带”：</w:t>
      </w:r>
      <w:r>
        <w:rPr>
          <w:rFonts w:hint="eastAsia" w:cs="仿宋"/>
          <w:szCs w:val="32"/>
        </w:rPr>
        <w:t>滹沱河生态涵养带。重点以保护为主，统筹推进水资源、水环境、水生态、水安全、水文化协同治理，加快建设水利长廊、生态长廊、文化长廊和产业长廊。</w:t>
      </w:r>
    </w:p>
    <w:p w14:paraId="56030211">
      <w:pPr>
        <w:ind w:firstLine="560"/>
        <w:rPr>
          <w:rFonts w:cs="仿宋"/>
          <w:szCs w:val="32"/>
        </w:rPr>
      </w:pPr>
      <w:r>
        <w:rPr>
          <w:rFonts w:hint="eastAsia" w:eastAsia="楷体" w:cs="楷体"/>
          <w:szCs w:val="32"/>
        </w:rPr>
        <w:t>“两屏”：</w:t>
      </w:r>
      <w:r>
        <w:rPr>
          <w:rFonts w:hint="eastAsia" w:cs="仿宋"/>
          <w:szCs w:val="32"/>
        </w:rPr>
        <w:t>以北方山山脉、白马山山脉为主的两大生态屏障。重点以保护和修复生态环境、提供生态产品为首要任务，严格控制开发强度，保持生态屏障完整性，强化水源涵养、水土保持和生物多样性功能。</w:t>
      </w:r>
    </w:p>
    <w:p w14:paraId="64692BA6">
      <w:pPr>
        <w:ind w:firstLine="560"/>
        <w:rPr>
          <w:rFonts w:cs="仿宋"/>
          <w:szCs w:val="32"/>
        </w:rPr>
      </w:pPr>
      <w:r>
        <w:rPr>
          <w:rFonts w:hint="eastAsia" w:eastAsia="楷体" w:cs="楷体"/>
          <w:szCs w:val="32"/>
        </w:rPr>
        <w:t>“双廊”：</w:t>
      </w:r>
      <w:r>
        <w:rPr>
          <w:rFonts w:hint="eastAsia" w:cs="仿宋"/>
          <w:szCs w:val="32"/>
        </w:rPr>
        <w:t>龙华河、乌河两条生态廊道，发挥着水资源供给、防洪排涝等重要功能，是连接“两屏”和“一带”的重要生态廊道和纽带。</w:t>
      </w:r>
    </w:p>
    <w:p w14:paraId="1A076231">
      <w:pPr>
        <w:pStyle w:val="5"/>
        <w:ind w:firstLine="0" w:firstLineChars="0"/>
        <w:jc w:val="left"/>
      </w:pPr>
      <w:bookmarkStart w:id="36" w:name="_Toc32542"/>
      <w:bookmarkStart w:id="37" w:name="_Toc24910"/>
      <w:bookmarkStart w:id="38" w:name="_Toc22513"/>
      <w:bookmarkStart w:id="39" w:name="_Toc17414"/>
      <w:r>
        <w:rPr>
          <w:rFonts w:hint="eastAsia"/>
        </w:rPr>
        <w:t>第二节  生态修复分区</w:t>
      </w:r>
      <w:bookmarkEnd w:id="36"/>
      <w:bookmarkEnd w:id="37"/>
      <w:bookmarkEnd w:id="38"/>
      <w:bookmarkEnd w:id="39"/>
    </w:p>
    <w:p w14:paraId="1BFF8D7F">
      <w:pPr>
        <w:ind w:firstLine="560"/>
        <w:rPr>
          <w:rFonts w:cs="仿宋"/>
          <w:szCs w:val="32"/>
        </w:rPr>
      </w:pPr>
      <w:bookmarkStart w:id="40" w:name="_Toc7200"/>
      <w:bookmarkStart w:id="41" w:name="_Toc16348"/>
      <w:bookmarkStart w:id="42" w:name="_Toc30975"/>
      <w:bookmarkStart w:id="43" w:name="_Toc163465765"/>
      <w:bookmarkStart w:id="44" w:name="_Toc126935953"/>
      <w:bookmarkStart w:id="45" w:name="_Toc21022"/>
      <w:r>
        <w:rPr>
          <w:rFonts w:hint="eastAsia" w:cs="仿宋"/>
          <w:szCs w:val="32"/>
        </w:rPr>
        <w:t>基于区域的主体功能定位、生态功能重要性、生态保护红线以及重要生态问题等，根据分区主导生态问题和生态恢复能力，在“一带两屏双廊”总体格局的基础上，将阳泉市盂县生态保护修复空间划分出四个生态修复分区：诸龙山水源涵养与水土保持生态修复区、尖山水源涵养与水土保持生态修复区、滹沱河流域水生态系统保护修复区、温河流域土地综合整治与水生态系统保护修复区。</w:t>
      </w:r>
    </w:p>
    <w:p w14:paraId="2B410FCE">
      <w:pPr>
        <w:pStyle w:val="6"/>
        <w:numPr>
          <w:ilvl w:val="0"/>
          <w:numId w:val="1"/>
        </w:numPr>
        <w:spacing w:before="156" w:after="156"/>
      </w:pPr>
      <w:r>
        <w:t>一、诸龙山水源涵养与水土保持生态修复区</w:t>
      </w:r>
      <w:bookmarkEnd w:id="40"/>
      <w:bookmarkEnd w:id="41"/>
      <w:bookmarkEnd w:id="42"/>
      <w:bookmarkEnd w:id="43"/>
      <w:bookmarkEnd w:id="44"/>
      <w:bookmarkEnd w:id="45"/>
    </w:p>
    <w:p w14:paraId="3694CA83">
      <w:pPr>
        <w:ind w:firstLine="562"/>
        <w:rPr>
          <w:rFonts w:cs="Times New Roman"/>
        </w:rPr>
      </w:pPr>
      <w:r>
        <w:rPr>
          <w:rFonts w:cs="Times New Roman"/>
          <w:b/>
        </w:rPr>
        <w:t>区域范围：</w:t>
      </w:r>
      <w:r>
        <w:rPr>
          <w:rFonts w:cs="Times New Roman"/>
        </w:rPr>
        <w:t>本区域</w:t>
      </w:r>
      <w:r>
        <w:rPr>
          <w:rFonts w:hint="eastAsia" w:cs="Times New Roman"/>
        </w:rPr>
        <w:t>主要</w:t>
      </w:r>
      <w:r>
        <w:rPr>
          <w:rFonts w:cs="Times New Roman"/>
        </w:rPr>
        <w:t>位于</w:t>
      </w:r>
      <w:r>
        <w:rPr>
          <w:rFonts w:hint="eastAsia" w:cs="Times New Roman"/>
        </w:rPr>
        <w:t>盂县西部</w:t>
      </w:r>
      <w:r>
        <w:rPr>
          <w:rFonts w:cs="Times New Roman"/>
        </w:rPr>
        <w:t>，涉及西潘乡、西烟镇、东梁乡、上社镇、苌池镇、南娄镇</w:t>
      </w:r>
      <w:r>
        <w:rPr>
          <w:rFonts w:hint="eastAsia" w:cs="Times New Roman"/>
        </w:rPr>
        <w:t>和路家村镇</w:t>
      </w:r>
      <w:r>
        <w:rPr>
          <w:rFonts w:cs="Times New Roman"/>
        </w:rPr>
        <w:t>，面积</w:t>
      </w:r>
      <w:r>
        <w:rPr>
          <w:rFonts w:hint="eastAsia" w:cs="Times New Roman"/>
        </w:rPr>
        <w:t>1129.27平方公里</w:t>
      </w:r>
      <w:r>
        <w:rPr>
          <w:rFonts w:cs="Times New Roman"/>
        </w:rPr>
        <w:t>。</w:t>
      </w:r>
    </w:p>
    <w:p w14:paraId="476C30A3">
      <w:pPr>
        <w:pStyle w:val="6"/>
        <w:numPr>
          <w:ilvl w:val="0"/>
          <w:numId w:val="1"/>
        </w:numPr>
        <w:spacing w:before="156" w:after="156"/>
        <w:rPr>
          <w:rFonts w:cs="Times New Roman"/>
        </w:rPr>
      </w:pPr>
      <w:bookmarkStart w:id="46" w:name="_Toc163465766"/>
      <w:bookmarkStart w:id="47" w:name="_Toc126935954"/>
      <w:bookmarkStart w:id="48" w:name="_Toc17882"/>
      <w:bookmarkStart w:id="49" w:name="_Toc895"/>
      <w:bookmarkStart w:id="50" w:name="_Toc20424"/>
      <w:bookmarkStart w:id="51" w:name="_Toc1480"/>
      <w:r>
        <w:rPr>
          <w:rFonts w:cs="Times New Roman"/>
        </w:rPr>
        <w:t>二、尖山水源涵养与水土保持生态修复区</w:t>
      </w:r>
      <w:bookmarkEnd w:id="46"/>
      <w:bookmarkEnd w:id="47"/>
      <w:bookmarkEnd w:id="48"/>
      <w:bookmarkEnd w:id="49"/>
      <w:bookmarkEnd w:id="50"/>
      <w:bookmarkEnd w:id="51"/>
    </w:p>
    <w:p w14:paraId="1A153C31">
      <w:pPr>
        <w:ind w:firstLine="562"/>
        <w:rPr>
          <w:rFonts w:cs="Times New Roman"/>
        </w:rPr>
      </w:pPr>
      <w:r>
        <w:rPr>
          <w:rFonts w:cs="Times New Roman"/>
          <w:b/>
        </w:rPr>
        <w:t>区域范围：</w:t>
      </w:r>
      <w:r>
        <w:rPr>
          <w:rFonts w:cs="Times New Roman"/>
        </w:rPr>
        <w:t>本区域位于</w:t>
      </w:r>
      <w:r>
        <w:rPr>
          <w:rFonts w:hint="eastAsia" w:cs="Times New Roman"/>
        </w:rPr>
        <w:t>盂县</w:t>
      </w:r>
      <w:r>
        <w:rPr>
          <w:rFonts w:cs="Times New Roman"/>
        </w:rPr>
        <w:t>东部，涉及上社镇、苌池镇、孙家庄镇、北下庄乡</w:t>
      </w:r>
      <w:r>
        <w:rPr>
          <w:rFonts w:hint="eastAsia" w:cs="Times New Roman"/>
        </w:rPr>
        <w:t>和</w:t>
      </w:r>
      <w:r>
        <w:rPr>
          <w:rFonts w:cs="Times New Roman"/>
        </w:rPr>
        <w:t>仙人乡，面积</w:t>
      </w:r>
      <w:r>
        <w:rPr>
          <w:rFonts w:hint="eastAsia" w:cs="Times New Roman"/>
        </w:rPr>
        <w:t>649.95平方公里</w:t>
      </w:r>
      <w:r>
        <w:rPr>
          <w:rFonts w:cs="Times New Roman"/>
        </w:rPr>
        <w:t>。</w:t>
      </w:r>
    </w:p>
    <w:p w14:paraId="4D608528">
      <w:pPr>
        <w:pStyle w:val="6"/>
        <w:numPr>
          <w:ilvl w:val="0"/>
          <w:numId w:val="1"/>
        </w:numPr>
        <w:spacing w:before="156" w:after="156"/>
        <w:rPr>
          <w:rFonts w:cs="Times New Roman"/>
          <w:szCs w:val="30"/>
        </w:rPr>
      </w:pPr>
      <w:bookmarkStart w:id="52" w:name="_bookmark34"/>
      <w:bookmarkEnd w:id="52"/>
      <w:bookmarkStart w:id="53" w:name="（三）中条山水源涵养及水土保持生态保育区"/>
      <w:bookmarkEnd w:id="53"/>
      <w:bookmarkStart w:id="54" w:name="_Toc163465769"/>
      <w:bookmarkStart w:id="55" w:name="_Toc30632"/>
      <w:r>
        <w:rPr>
          <w:rFonts w:hint="eastAsia" w:cs="Times New Roman"/>
          <w:szCs w:val="30"/>
        </w:rPr>
        <w:t>三</w:t>
      </w:r>
      <w:r>
        <w:rPr>
          <w:rFonts w:cs="Times New Roman"/>
          <w:szCs w:val="30"/>
        </w:rPr>
        <w:t>、</w:t>
      </w:r>
      <w:r>
        <w:rPr>
          <w:rFonts w:hint="eastAsia" w:cs="Times New Roman"/>
          <w:szCs w:val="30"/>
        </w:rPr>
        <w:t>滹沱河流域</w:t>
      </w:r>
      <w:r>
        <w:rPr>
          <w:rFonts w:cs="Times New Roman"/>
          <w:szCs w:val="30"/>
        </w:rPr>
        <w:t>水生态系统保护修复区</w:t>
      </w:r>
      <w:bookmarkEnd w:id="54"/>
      <w:bookmarkEnd w:id="55"/>
    </w:p>
    <w:p w14:paraId="7D520565">
      <w:pPr>
        <w:pStyle w:val="2"/>
        <w:ind w:firstLine="602"/>
        <w:rPr>
          <w:sz w:val="30"/>
          <w:szCs w:val="30"/>
        </w:rPr>
      </w:pPr>
      <w:r>
        <w:rPr>
          <w:rFonts w:hint="eastAsia"/>
          <w:b/>
          <w:sz w:val="30"/>
          <w:szCs w:val="30"/>
        </w:rPr>
        <w:t>区域范围：</w:t>
      </w:r>
      <w:r>
        <w:rPr>
          <w:rFonts w:hint="eastAsia"/>
          <w:sz w:val="30"/>
          <w:szCs w:val="30"/>
        </w:rPr>
        <w:t>本区域位于盂县北部，涉及盂县梁家寨乡、上社镇，面积420.22平方公里。</w:t>
      </w:r>
    </w:p>
    <w:p w14:paraId="0A31E5AA">
      <w:pPr>
        <w:pStyle w:val="6"/>
        <w:numPr>
          <w:ilvl w:val="0"/>
          <w:numId w:val="1"/>
        </w:numPr>
        <w:spacing w:before="156" w:after="156"/>
        <w:rPr>
          <w:rFonts w:cs="Times New Roman"/>
        </w:rPr>
      </w:pPr>
      <w:bookmarkStart w:id="56" w:name="_Toc126935957"/>
      <w:bookmarkStart w:id="57" w:name="_Toc163465770"/>
      <w:bookmarkStart w:id="58" w:name="_Toc24049"/>
      <w:r>
        <w:rPr>
          <w:rFonts w:hint="eastAsia" w:cs="Times New Roman"/>
        </w:rPr>
        <w:t>四</w:t>
      </w:r>
      <w:r>
        <w:rPr>
          <w:rFonts w:cs="Times New Roman"/>
        </w:rPr>
        <w:t>、</w:t>
      </w:r>
      <w:bookmarkEnd w:id="56"/>
      <w:r>
        <w:rPr>
          <w:rFonts w:hint="eastAsia" w:cs="Times New Roman"/>
        </w:rPr>
        <w:t>温河流域土地综合整治与水生态系统保护修复区</w:t>
      </w:r>
      <w:bookmarkEnd w:id="57"/>
      <w:bookmarkEnd w:id="58"/>
    </w:p>
    <w:p w14:paraId="73674030">
      <w:pPr>
        <w:ind w:firstLine="560"/>
      </w:pPr>
      <w:r>
        <w:t>区域范围：本区域主要位于</w:t>
      </w:r>
      <w:r>
        <w:rPr>
          <w:rFonts w:hint="eastAsia"/>
        </w:rPr>
        <w:t>盂县南部</w:t>
      </w:r>
      <w:r>
        <w:t>，涉及</w:t>
      </w:r>
      <w:r>
        <w:rPr>
          <w:rFonts w:hint="eastAsia"/>
        </w:rPr>
        <w:t>孙家庄镇、秀水镇、南娄镇、路家村镇、牛村镇，面积315.18平方公里。</w:t>
      </w:r>
    </w:p>
    <w:p w14:paraId="7592236F">
      <w:pPr>
        <w:pStyle w:val="5"/>
        <w:ind w:firstLine="0" w:firstLineChars="0"/>
        <w:jc w:val="left"/>
      </w:pPr>
      <w:bookmarkStart w:id="59" w:name="_Toc17968"/>
      <w:bookmarkStart w:id="60" w:name="_Toc24072"/>
      <w:bookmarkStart w:id="61" w:name="_Toc1005"/>
      <w:bookmarkStart w:id="62" w:name="_Toc819"/>
      <w:r>
        <w:rPr>
          <w:rFonts w:hint="eastAsia"/>
        </w:rPr>
        <w:t>第三节  生态修复重点分区</w:t>
      </w:r>
      <w:bookmarkEnd w:id="59"/>
      <w:bookmarkEnd w:id="60"/>
      <w:bookmarkEnd w:id="61"/>
      <w:bookmarkEnd w:id="62"/>
    </w:p>
    <w:p w14:paraId="2D5C3493">
      <w:pPr>
        <w:pStyle w:val="2"/>
        <w:ind w:firstLine="560"/>
      </w:pPr>
      <w:bookmarkStart w:id="63" w:name="_Toc4247"/>
      <w:bookmarkStart w:id="64" w:name="_Toc22581"/>
      <w:bookmarkStart w:id="65" w:name="_Toc29027"/>
      <w:r>
        <w:rPr>
          <w:rFonts w:hint="eastAsia"/>
        </w:rPr>
        <w:t>根据阳泉市盂县资源环境承载综合评价结果和生态问题识别诊断情况，充分结合市级国土空间生态修复规划确定的重点区域，调整细化县域范围生态修复重点区域。</w:t>
      </w:r>
      <w:bookmarkEnd w:id="63"/>
      <w:bookmarkEnd w:id="64"/>
      <w:bookmarkEnd w:id="65"/>
    </w:p>
    <w:p w14:paraId="5C9DBA8C">
      <w:pPr>
        <w:pStyle w:val="6"/>
        <w:numPr>
          <w:ilvl w:val="0"/>
          <w:numId w:val="2"/>
        </w:numPr>
        <w:spacing w:before="156" w:after="156"/>
        <w:rPr>
          <w:szCs w:val="30"/>
        </w:rPr>
      </w:pPr>
      <w:bookmarkStart w:id="66" w:name="_Toc163465772"/>
      <w:bookmarkStart w:id="67" w:name="_Toc20702"/>
      <w:r>
        <w:rPr>
          <w:szCs w:val="30"/>
        </w:rPr>
        <w:t>一、诸龙山水源涵养与水土保持生态修复重点区域</w:t>
      </w:r>
      <w:bookmarkEnd w:id="66"/>
      <w:bookmarkEnd w:id="67"/>
    </w:p>
    <w:p w14:paraId="5D2DE9A7">
      <w:pPr>
        <w:ind w:firstLine="560"/>
      </w:pPr>
      <w:r>
        <w:rPr>
          <w:rFonts w:hint="eastAsia"/>
        </w:rPr>
        <w:t>（一）诸龙山</w:t>
      </w:r>
      <w:r>
        <w:t>矿山生态修复重点区</w:t>
      </w:r>
    </w:p>
    <w:p w14:paraId="411CDE35">
      <w:pPr>
        <w:ind w:firstLine="560"/>
      </w:pPr>
      <w:r>
        <w:rPr>
          <w:rFonts w:hint="eastAsia"/>
        </w:rPr>
        <w:t>（二）诸龙山林草质量提升与水土流失治理重点区</w:t>
      </w:r>
    </w:p>
    <w:p w14:paraId="4C0277A8">
      <w:pPr>
        <w:ind w:firstLine="560"/>
      </w:pPr>
      <w:r>
        <w:rPr>
          <w:rFonts w:hint="eastAsia"/>
        </w:rPr>
        <w:t>（三）诸龙山农业生态提升与综合整治重点区</w:t>
      </w:r>
    </w:p>
    <w:p w14:paraId="2469B0DB">
      <w:pPr>
        <w:pStyle w:val="6"/>
        <w:numPr>
          <w:ilvl w:val="0"/>
          <w:numId w:val="2"/>
        </w:numPr>
        <w:spacing w:before="156" w:after="156"/>
        <w:rPr>
          <w:szCs w:val="30"/>
        </w:rPr>
      </w:pPr>
      <w:bookmarkStart w:id="68" w:name="_Toc163465773"/>
      <w:bookmarkStart w:id="69" w:name="_Toc15168"/>
      <w:r>
        <w:rPr>
          <w:szCs w:val="30"/>
        </w:rPr>
        <w:t>二、尖山水源涵养与水土保持生态修复</w:t>
      </w:r>
      <w:r>
        <w:rPr>
          <w:rFonts w:hint="eastAsia"/>
          <w:szCs w:val="30"/>
        </w:rPr>
        <w:t>重点</w:t>
      </w:r>
      <w:r>
        <w:rPr>
          <w:szCs w:val="30"/>
        </w:rPr>
        <w:t>区域</w:t>
      </w:r>
      <w:bookmarkEnd w:id="68"/>
      <w:bookmarkEnd w:id="69"/>
    </w:p>
    <w:p w14:paraId="35D9C985">
      <w:pPr>
        <w:ind w:firstLine="560"/>
      </w:pPr>
      <w:r>
        <w:rPr>
          <w:rFonts w:hint="eastAsia"/>
        </w:rPr>
        <w:t>（一）尖山矿山生态修复重点区</w:t>
      </w:r>
    </w:p>
    <w:p w14:paraId="18B603A1">
      <w:pPr>
        <w:ind w:firstLine="560"/>
      </w:pPr>
      <w:r>
        <w:rPr>
          <w:rFonts w:hint="eastAsia"/>
        </w:rPr>
        <w:t>（二）尖山林草质量提升与水土流失治理重点区</w:t>
      </w:r>
    </w:p>
    <w:p w14:paraId="6E0B84C5">
      <w:pPr>
        <w:ind w:firstLine="560"/>
      </w:pPr>
      <w:r>
        <w:rPr>
          <w:rFonts w:hint="eastAsia"/>
        </w:rPr>
        <w:t>（三）尖山农业生态提升与综合整治重点区</w:t>
      </w:r>
    </w:p>
    <w:p w14:paraId="5941A133">
      <w:pPr>
        <w:pStyle w:val="6"/>
        <w:keepNext w:val="0"/>
        <w:keepLines w:val="0"/>
        <w:numPr>
          <w:ilvl w:val="0"/>
          <w:numId w:val="2"/>
        </w:numPr>
        <w:spacing w:before="156" w:after="156"/>
      </w:pPr>
      <w:bookmarkStart w:id="70" w:name="_Toc163465776"/>
      <w:bookmarkStart w:id="71" w:name="_Toc7900"/>
      <w:r>
        <w:rPr>
          <w:rFonts w:hint="eastAsia"/>
        </w:rPr>
        <w:t>三</w:t>
      </w:r>
      <w:r>
        <w:t>、</w:t>
      </w:r>
      <w:r>
        <w:rPr>
          <w:rFonts w:hint="eastAsia"/>
        </w:rPr>
        <w:t>滹沱河流域</w:t>
      </w:r>
      <w:r>
        <w:t>水生态系统保护修复</w:t>
      </w:r>
      <w:r>
        <w:rPr>
          <w:rFonts w:hint="eastAsia"/>
        </w:rPr>
        <w:t>重点</w:t>
      </w:r>
      <w:r>
        <w:t>区域</w:t>
      </w:r>
      <w:bookmarkEnd w:id="70"/>
      <w:bookmarkEnd w:id="71"/>
    </w:p>
    <w:p w14:paraId="10013AB1">
      <w:pPr>
        <w:ind w:firstLine="560"/>
      </w:pPr>
      <w:r>
        <w:rPr>
          <w:rFonts w:hint="eastAsia"/>
        </w:rPr>
        <w:t>（一）滹沱河流域矿山生态修复重点区</w:t>
      </w:r>
    </w:p>
    <w:p w14:paraId="721B4CA8">
      <w:pPr>
        <w:ind w:firstLine="560"/>
      </w:pPr>
      <w:r>
        <w:rPr>
          <w:rFonts w:hint="eastAsia"/>
        </w:rPr>
        <w:t>（二）滹沱河流域水生态系统修复重点区</w:t>
      </w:r>
    </w:p>
    <w:p w14:paraId="1CD8332A">
      <w:pPr>
        <w:ind w:firstLine="560"/>
      </w:pPr>
      <w:r>
        <w:rPr>
          <w:rFonts w:hint="eastAsia"/>
        </w:rPr>
        <w:t>（三）滹沱河流域林草质量提升与水土流失治理重点区</w:t>
      </w:r>
    </w:p>
    <w:p w14:paraId="72D36380">
      <w:pPr>
        <w:pStyle w:val="6"/>
        <w:numPr>
          <w:ilvl w:val="0"/>
          <w:numId w:val="2"/>
        </w:numPr>
        <w:spacing w:before="156" w:after="156"/>
      </w:pPr>
      <w:bookmarkStart w:id="72" w:name="_Toc163465777"/>
      <w:bookmarkStart w:id="73" w:name="_Toc2414"/>
      <w:r>
        <w:rPr>
          <w:rFonts w:hint="eastAsia"/>
        </w:rPr>
        <w:t>四</w:t>
      </w:r>
      <w:r>
        <w:t>、</w:t>
      </w:r>
      <w:r>
        <w:rPr>
          <w:rFonts w:hint="eastAsia"/>
        </w:rPr>
        <w:t>温河流域土地综合整治与水生态系统保护修复重点区域</w:t>
      </w:r>
      <w:bookmarkEnd w:id="72"/>
      <w:bookmarkEnd w:id="73"/>
    </w:p>
    <w:p w14:paraId="79E6A7F6">
      <w:pPr>
        <w:ind w:firstLine="560"/>
      </w:pPr>
      <w:r>
        <w:rPr>
          <w:rFonts w:hint="eastAsia"/>
        </w:rPr>
        <w:t>（一）温河流域矿山生态修复重点区</w:t>
      </w:r>
    </w:p>
    <w:p w14:paraId="2FFEEF59">
      <w:pPr>
        <w:ind w:firstLine="560"/>
      </w:pPr>
      <w:r>
        <w:rPr>
          <w:rFonts w:hint="eastAsia"/>
        </w:rPr>
        <w:t>（二）温河流域水生态系统修复重点区</w:t>
      </w:r>
    </w:p>
    <w:p w14:paraId="20B7244E">
      <w:pPr>
        <w:ind w:firstLine="560"/>
      </w:pPr>
      <w:r>
        <w:rPr>
          <w:rFonts w:hint="eastAsia"/>
        </w:rPr>
        <w:t>（三）温河流域林草质量提升与水土流失治理重点区</w:t>
      </w:r>
    </w:p>
    <w:p w14:paraId="68BDF4BC">
      <w:pPr>
        <w:ind w:firstLine="560"/>
      </w:pPr>
      <w:r>
        <w:rPr>
          <w:rFonts w:hint="eastAsia"/>
        </w:rPr>
        <w:t>（四）温河流域乡村人居环境改善与土地综合整治重点区</w:t>
      </w:r>
    </w:p>
    <w:p w14:paraId="3626C925">
      <w:pPr>
        <w:ind w:firstLine="560"/>
      </w:pPr>
      <w:r>
        <w:rPr>
          <w:rFonts w:hint="eastAsia"/>
        </w:rPr>
        <w:t>（五）温河流域城镇生态品质提升与环境综合治理重点区</w:t>
      </w:r>
    </w:p>
    <w:p w14:paraId="0568730E">
      <w:pPr>
        <w:pStyle w:val="4"/>
        <w:ind w:firstLine="0" w:firstLineChars="0"/>
        <w:jc w:val="left"/>
        <w:rPr>
          <w:u w:val="double" w:color="0000FF"/>
        </w:rPr>
      </w:pPr>
      <w:bookmarkStart w:id="74" w:name="_Toc12449"/>
      <w:bookmarkStart w:id="75" w:name="_Toc20601"/>
      <w:bookmarkStart w:id="76" w:name="_Toc4253"/>
      <w:bookmarkStart w:id="77" w:name="_Toc539"/>
      <w:r>
        <w:rPr>
          <w:rFonts w:hint="eastAsia"/>
          <w:u w:val="double" w:color="0000FF"/>
        </w:rPr>
        <w:t>第四章  规划实施重点安排</w:t>
      </w:r>
      <w:bookmarkEnd w:id="74"/>
      <w:bookmarkEnd w:id="75"/>
      <w:bookmarkEnd w:id="76"/>
      <w:bookmarkEnd w:id="77"/>
      <w:r>
        <w:rPr>
          <w:rFonts w:hint="eastAsia"/>
          <w:u w:val="double" w:color="0000FF"/>
        </w:rPr>
        <w:t xml:space="preserve">                      </w:t>
      </w:r>
    </w:p>
    <w:p w14:paraId="28903547">
      <w:pPr>
        <w:pStyle w:val="5"/>
        <w:ind w:firstLine="0" w:firstLineChars="0"/>
        <w:jc w:val="left"/>
      </w:pPr>
      <w:bookmarkStart w:id="78" w:name="_Toc21059"/>
      <w:bookmarkStart w:id="79" w:name="_Toc14861"/>
      <w:bookmarkStart w:id="80" w:name="_Toc17205"/>
      <w:bookmarkStart w:id="81" w:name="_Toc21725"/>
      <w:r>
        <w:rPr>
          <w:rFonts w:hint="eastAsia"/>
        </w:rPr>
        <w:t>第一节  生态修复对策</w:t>
      </w:r>
      <w:bookmarkEnd w:id="78"/>
      <w:bookmarkEnd w:id="79"/>
      <w:bookmarkEnd w:id="80"/>
      <w:bookmarkEnd w:id="81"/>
    </w:p>
    <w:p w14:paraId="61FCD5C1">
      <w:pPr>
        <w:pStyle w:val="6"/>
        <w:numPr>
          <w:ilvl w:val="0"/>
          <w:numId w:val="2"/>
        </w:numPr>
        <w:spacing w:before="156" w:after="156"/>
      </w:pPr>
      <w:bookmarkStart w:id="82" w:name="_Toc163465780"/>
      <w:bookmarkStart w:id="83" w:name="_Toc18064"/>
      <w:r>
        <w:rPr>
          <w:rFonts w:hint="eastAsia" w:cs="Times New Roman"/>
        </w:rPr>
        <w:t>一</w:t>
      </w:r>
      <w:r>
        <w:rPr>
          <w:rFonts w:cs="Times New Roman"/>
        </w:rPr>
        <w:t>、</w:t>
      </w:r>
      <w:r>
        <w:rPr>
          <w:rFonts w:hint="eastAsia" w:cs="Times New Roman"/>
        </w:rPr>
        <w:t>矿山</w:t>
      </w:r>
      <w:r>
        <w:rPr>
          <w:rFonts w:cs="Times New Roman"/>
        </w:rPr>
        <w:t>生态修复</w:t>
      </w:r>
      <w:bookmarkEnd w:id="82"/>
      <w:bookmarkEnd w:id="83"/>
    </w:p>
    <w:p w14:paraId="69B12FFE">
      <w:pPr>
        <w:ind w:firstLine="560"/>
      </w:pPr>
      <w:r>
        <w:rPr>
          <w:rFonts w:hint="eastAsia"/>
        </w:rPr>
        <w:t>（一）因地制宜、分类施策，聚焦历史遗留矿山治理；</w:t>
      </w:r>
    </w:p>
    <w:p w14:paraId="7D1FCA74">
      <w:pPr>
        <w:ind w:firstLine="560"/>
      </w:pPr>
      <w:r>
        <w:rPr>
          <w:rFonts w:hint="eastAsia"/>
        </w:rPr>
        <w:t>（二）灭火抑尘、回填利用，创新固废综合治理模式；</w:t>
      </w:r>
    </w:p>
    <w:p w14:paraId="51A9929B">
      <w:pPr>
        <w:ind w:firstLine="560"/>
      </w:pPr>
      <w:r>
        <w:rPr>
          <w:rFonts w:hint="eastAsia"/>
        </w:rPr>
        <w:t>（三）填充复垦、强化监测，推进采煤沉陷区系统治理。</w:t>
      </w:r>
    </w:p>
    <w:p w14:paraId="5982E194">
      <w:pPr>
        <w:pStyle w:val="6"/>
        <w:numPr>
          <w:ilvl w:val="0"/>
          <w:numId w:val="2"/>
        </w:numPr>
        <w:spacing w:before="156" w:after="156"/>
        <w:rPr>
          <w:rFonts w:cs="Times New Roman"/>
        </w:rPr>
      </w:pPr>
      <w:bookmarkStart w:id="84" w:name="_Toc16734"/>
      <w:bookmarkStart w:id="85" w:name="_Toc163465781"/>
      <w:r>
        <w:rPr>
          <w:rFonts w:hint="eastAsia" w:cs="Times New Roman"/>
        </w:rPr>
        <w:t>二</w:t>
      </w:r>
      <w:r>
        <w:rPr>
          <w:rFonts w:cs="Times New Roman"/>
        </w:rPr>
        <w:t>、</w:t>
      </w:r>
      <w:r>
        <w:rPr>
          <w:rFonts w:hint="eastAsia" w:cs="Times New Roman"/>
        </w:rPr>
        <w:t>水生态系统修复</w:t>
      </w:r>
      <w:bookmarkEnd w:id="84"/>
      <w:bookmarkEnd w:id="85"/>
    </w:p>
    <w:p w14:paraId="3C28FB0A">
      <w:pPr>
        <w:ind w:firstLine="560"/>
      </w:pPr>
      <w:r>
        <w:rPr>
          <w:rFonts w:hint="eastAsia"/>
        </w:rPr>
        <w:t>（一）整治河道环境，建设生态护岸；</w:t>
      </w:r>
    </w:p>
    <w:p w14:paraId="6D9119D0">
      <w:pPr>
        <w:ind w:firstLine="560"/>
      </w:pPr>
      <w:r>
        <w:rPr>
          <w:rFonts w:hint="eastAsia"/>
        </w:rPr>
        <w:t>（二）恢复湿地功能，净化水质环境；</w:t>
      </w:r>
    </w:p>
    <w:p w14:paraId="398EACE1">
      <w:pPr>
        <w:ind w:firstLine="560"/>
      </w:pPr>
      <w:r>
        <w:rPr>
          <w:rFonts w:hint="eastAsia"/>
        </w:rPr>
        <w:t>（三）保护地下水源，维持采补平衡；</w:t>
      </w:r>
    </w:p>
    <w:p w14:paraId="640E2D97">
      <w:pPr>
        <w:pStyle w:val="6"/>
        <w:numPr>
          <w:ilvl w:val="0"/>
          <w:numId w:val="2"/>
        </w:numPr>
        <w:spacing w:before="156" w:after="156"/>
        <w:rPr>
          <w:rFonts w:cs="Times New Roman"/>
        </w:rPr>
      </w:pPr>
      <w:bookmarkStart w:id="86" w:name="_Toc163465782"/>
      <w:bookmarkStart w:id="87" w:name="_Toc15304"/>
      <w:r>
        <w:rPr>
          <w:rFonts w:hint="eastAsia" w:cs="Times New Roman"/>
        </w:rPr>
        <w:t>三</w:t>
      </w:r>
      <w:r>
        <w:rPr>
          <w:rFonts w:cs="Times New Roman"/>
        </w:rPr>
        <w:t>、</w:t>
      </w:r>
      <w:r>
        <w:rPr>
          <w:rFonts w:hint="eastAsia" w:cs="Times New Roman"/>
        </w:rPr>
        <w:t>林草质量提升</w:t>
      </w:r>
      <w:bookmarkEnd w:id="86"/>
      <w:bookmarkEnd w:id="87"/>
    </w:p>
    <w:p w14:paraId="0E14E483">
      <w:pPr>
        <w:ind w:firstLine="560"/>
      </w:pPr>
      <w:bookmarkStart w:id="88" w:name="_Toc126935980"/>
      <w:r>
        <w:rPr>
          <w:rFonts w:hint="eastAsia"/>
        </w:rPr>
        <w:t>（一）优化林分结构，提升森林质量；</w:t>
      </w:r>
    </w:p>
    <w:p w14:paraId="037A183C">
      <w:pPr>
        <w:ind w:firstLine="560"/>
      </w:pPr>
      <w:r>
        <w:rPr>
          <w:rFonts w:hint="eastAsia"/>
        </w:rPr>
        <w:t>（二）分类施策，推进退化林草修复；</w:t>
      </w:r>
    </w:p>
    <w:p w14:paraId="527482F8">
      <w:pPr>
        <w:ind w:firstLine="560"/>
      </w:pPr>
      <w:r>
        <w:rPr>
          <w:rFonts w:hint="eastAsia"/>
        </w:rPr>
        <w:t>（三）发展林下经济，促进生态产业融合；</w:t>
      </w:r>
    </w:p>
    <w:p w14:paraId="2044A9A9">
      <w:pPr>
        <w:ind w:firstLine="560"/>
      </w:pPr>
      <w:r>
        <w:rPr>
          <w:rFonts w:hint="eastAsia"/>
        </w:rPr>
        <w:t>（四）强化灾害防控，保障林草安全；</w:t>
      </w:r>
    </w:p>
    <w:p w14:paraId="2716831F">
      <w:pPr>
        <w:ind w:firstLine="560"/>
      </w:pPr>
      <w:r>
        <w:rPr>
          <w:rFonts w:hint="eastAsia"/>
        </w:rPr>
        <w:t>（五）依托森林公园，推动生态旅游发展。</w:t>
      </w:r>
    </w:p>
    <w:p w14:paraId="5DF16E4A">
      <w:pPr>
        <w:pStyle w:val="6"/>
        <w:numPr>
          <w:ilvl w:val="0"/>
          <w:numId w:val="2"/>
        </w:numPr>
        <w:spacing w:before="156" w:after="156"/>
      </w:pPr>
      <w:bookmarkStart w:id="89" w:name="_Toc30267"/>
      <w:r>
        <w:rPr>
          <w:rFonts w:hint="eastAsia"/>
        </w:rPr>
        <w:t>四</w:t>
      </w:r>
      <w:r>
        <w:t>、</w:t>
      </w:r>
      <w:r>
        <w:rPr>
          <w:rFonts w:hint="eastAsia"/>
        </w:rPr>
        <w:t>农业生态提升与综合整治</w:t>
      </w:r>
      <w:bookmarkEnd w:id="89"/>
    </w:p>
    <w:p w14:paraId="285BEBE5">
      <w:pPr>
        <w:ind w:firstLine="560"/>
      </w:pPr>
      <w:r>
        <w:rPr>
          <w:rFonts w:hint="eastAsia"/>
        </w:rPr>
        <w:t>（一）整治零散耕地，完善农业基础设施；</w:t>
      </w:r>
    </w:p>
    <w:p w14:paraId="3CF8C236">
      <w:pPr>
        <w:ind w:firstLine="560"/>
      </w:pPr>
      <w:r>
        <w:rPr>
          <w:rFonts w:hint="eastAsia"/>
        </w:rPr>
        <w:t>（二）改良土壤质量，建设高标准农田；</w:t>
      </w:r>
    </w:p>
    <w:p w14:paraId="60A816E7">
      <w:pPr>
        <w:ind w:firstLine="560"/>
      </w:pPr>
      <w:r>
        <w:rPr>
          <w:rFonts w:hint="eastAsia"/>
        </w:rPr>
        <w:t>（三）整治乡村生态环境，提升区域生态功能；</w:t>
      </w:r>
    </w:p>
    <w:p w14:paraId="6DAC89B5">
      <w:pPr>
        <w:ind w:firstLine="560"/>
      </w:pPr>
      <w:r>
        <w:rPr>
          <w:rFonts w:hint="eastAsia"/>
        </w:rPr>
        <w:t>（四）盘活闲置土地，提高土地利用效益；</w:t>
      </w:r>
    </w:p>
    <w:p w14:paraId="44453D30">
      <w:pPr>
        <w:ind w:firstLine="560"/>
      </w:pPr>
      <w:r>
        <w:rPr>
          <w:rFonts w:hint="eastAsia"/>
        </w:rPr>
        <w:t>（五）改善人居环境，建设宜居乡村；</w:t>
      </w:r>
    </w:p>
    <w:p w14:paraId="6D60B339">
      <w:pPr>
        <w:ind w:firstLine="560"/>
      </w:pPr>
      <w:r>
        <w:rPr>
          <w:rFonts w:hint="eastAsia"/>
        </w:rPr>
        <w:t>（六）发展生态农业，拓宽增收渠道。</w:t>
      </w:r>
    </w:p>
    <w:p w14:paraId="06175A70">
      <w:pPr>
        <w:pStyle w:val="6"/>
        <w:numPr>
          <w:ilvl w:val="0"/>
          <w:numId w:val="2"/>
        </w:numPr>
        <w:spacing w:before="156" w:after="156"/>
      </w:pPr>
      <w:bookmarkStart w:id="90" w:name="_Toc19261"/>
      <w:r>
        <w:rPr>
          <w:rFonts w:hint="eastAsia"/>
        </w:rPr>
        <w:t>五</w:t>
      </w:r>
      <w:r>
        <w:t>、</w:t>
      </w:r>
      <w:r>
        <w:rPr>
          <w:rFonts w:hint="eastAsia"/>
        </w:rPr>
        <w:t>城镇空间生态修复</w:t>
      </w:r>
      <w:bookmarkEnd w:id="90"/>
    </w:p>
    <w:p w14:paraId="1072EEF3">
      <w:pPr>
        <w:ind w:firstLine="560"/>
      </w:pPr>
      <w:r>
        <w:rPr>
          <w:rFonts w:hint="eastAsia"/>
        </w:rPr>
        <w:t>（一）治理城镇河道，改善水环境面貌；</w:t>
      </w:r>
    </w:p>
    <w:p w14:paraId="48C413AD">
      <w:pPr>
        <w:ind w:firstLine="560"/>
      </w:pPr>
      <w:r>
        <w:rPr>
          <w:rFonts w:hint="eastAsia"/>
        </w:rPr>
        <w:t>（二）增加城镇绿地，改善人居环境；</w:t>
      </w:r>
    </w:p>
    <w:p w14:paraId="0DBA3A72">
      <w:pPr>
        <w:ind w:firstLine="560"/>
      </w:pPr>
      <w:r>
        <w:rPr>
          <w:rFonts w:hint="eastAsia"/>
        </w:rPr>
        <w:t>（三）补齐设施短板，提升城镇运行保障能力；</w:t>
      </w:r>
    </w:p>
    <w:p w14:paraId="75C5A76A">
      <w:pPr>
        <w:ind w:firstLine="560"/>
      </w:pPr>
      <w:r>
        <w:rPr>
          <w:rFonts w:hint="eastAsia"/>
        </w:rPr>
        <w:t>（四）保护文化遗产，彰显城镇特色。</w:t>
      </w:r>
    </w:p>
    <w:p w14:paraId="5CACE582">
      <w:pPr>
        <w:pStyle w:val="6"/>
        <w:numPr>
          <w:ilvl w:val="0"/>
          <w:numId w:val="2"/>
        </w:numPr>
        <w:spacing w:before="156" w:after="156"/>
      </w:pPr>
      <w:bookmarkStart w:id="91" w:name="_Toc31446"/>
      <w:r>
        <w:rPr>
          <w:rFonts w:hint="eastAsia"/>
        </w:rPr>
        <w:t>六</w:t>
      </w:r>
      <w:r>
        <w:t>、生物多样性保护</w:t>
      </w:r>
      <w:bookmarkEnd w:id="91"/>
    </w:p>
    <w:p w14:paraId="0E11673A">
      <w:pPr>
        <w:ind w:firstLine="560"/>
      </w:pPr>
      <w:r>
        <w:rPr>
          <w:rFonts w:hint="eastAsia"/>
        </w:rPr>
        <w:t>（一）保护文化遗产，彰显城镇特色；</w:t>
      </w:r>
    </w:p>
    <w:p w14:paraId="46AD3C07">
      <w:pPr>
        <w:ind w:firstLine="560"/>
      </w:pPr>
      <w:r>
        <w:rPr>
          <w:rFonts w:hint="eastAsia"/>
        </w:rPr>
        <w:t>（二）连通生态廊道，改善生境条件；</w:t>
      </w:r>
    </w:p>
    <w:p w14:paraId="23434B1D">
      <w:pPr>
        <w:ind w:firstLine="560"/>
      </w:pPr>
      <w:r>
        <w:rPr>
          <w:rFonts w:hint="eastAsia"/>
        </w:rPr>
        <w:t>（三）防治外来入侵物种，保护本土生态；</w:t>
      </w:r>
    </w:p>
    <w:p w14:paraId="4947C372">
      <w:pPr>
        <w:ind w:firstLine="560"/>
      </w:pPr>
      <w:r>
        <w:rPr>
          <w:rFonts w:hint="eastAsia"/>
        </w:rPr>
        <w:t>（四）引导社区参与，推动保护与发展协调。</w:t>
      </w:r>
    </w:p>
    <w:bookmarkEnd w:id="88"/>
    <w:p w14:paraId="0B25CA2B">
      <w:pPr>
        <w:pStyle w:val="5"/>
        <w:ind w:firstLine="0" w:firstLineChars="0"/>
        <w:jc w:val="left"/>
      </w:pPr>
      <w:bookmarkStart w:id="92" w:name="_Toc28975"/>
      <w:bookmarkStart w:id="93" w:name="_Toc23384"/>
      <w:bookmarkStart w:id="94" w:name="_Toc372"/>
      <w:bookmarkStart w:id="95" w:name="_Toc27935"/>
      <w:r>
        <w:rPr>
          <w:rFonts w:hint="eastAsia"/>
        </w:rPr>
        <w:t>第二节 重点工程</w:t>
      </w:r>
      <w:bookmarkEnd w:id="92"/>
      <w:bookmarkEnd w:id="93"/>
      <w:bookmarkEnd w:id="94"/>
      <w:bookmarkEnd w:id="95"/>
    </w:p>
    <w:p w14:paraId="37E3D794">
      <w:pPr>
        <w:pStyle w:val="6"/>
        <w:numPr>
          <w:ilvl w:val="0"/>
          <w:numId w:val="3"/>
        </w:numPr>
        <w:spacing w:before="156" w:after="156"/>
        <w:rPr>
          <w:rFonts w:cs="Times New Roman"/>
          <w:lang w:val="zh-TW"/>
        </w:rPr>
      </w:pPr>
      <w:bookmarkStart w:id="96" w:name="_Toc163465787"/>
      <w:bookmarkStart w:id="97" w:name="_Toc11319"/>
      <w:r>
        <w:rPr>
          <w:rFonts w:hint="eastAsia" w:cs="Times New Roman"/>
          <w:lang w:val="zh-TW"/>
        </w:rPr>
        <w:t>一、诸龙山水源涵养与水土保持生态修复重点工程</w:t>
      </w:r>
      <w:bookmarkEnd w:id="96"/>
      <w:bookmarkEnd w:id="97"/>
    </w:p>
    <w:p w14:paraId="40FD7332">
      <w:pPr>
        <w:ind w:firstLine="560"/>
      </w:pPr>
      <w:bookmarkStart w:id="98" w:name="_Toc8584"/>
      <w:bookmarkStart w:id="99" w:name="_Toc163465788"/>
      <w:r>
        <w:rPr>
          <w:rFonts w:hint="eastAsia"/>
        </w:rPr>
        <w:t>该重点工程包括历史遗留废弃矿山生态治理工程、采煤沉陷区治理工程、固废综合治理工程、重要交通沿线采矿损毁土地治理工程、河道综合治理工程、石窖小流域综合治理工程、南娄项目区生态清洁小流域综合治理提质增效工程、人工造林增绿工程、</w:t>
      </w:r>
      <w:r>
        <w:t>封山育林保护修复工程</w:t>
      </w:r>
      <w:r>
        <w:rPr>
          <w:rFonts w:hint="eastAsia"/>
        </w:rPr>
        <w:t>、退化林修复提质工程、森林防火通道建设工程、村庄绿化工程、土地开发及整治工程、高标准农田建设工程共14项。</w:t>
      </w:r>
    </w:p>
    <w:p w14:paraId="2A92CC70">
      <w:pPr>
        <w:pStyle w:val="6"/>
        <w:numPr>
          <w:ilvl w:val="0"/>
          <w:numId w:val="3"/>
        </w:numPr>
        <w:spacing w:before="156" w:after="156"/>
        <w:rPr>
          <w:rFonts w:cs="Times New Roman"/>
          <w:lang w:val="zh-TW"/>
        </w:rPr>
      </w:pPr>
      <w:r>
        <w:rPr>
          <w:rFonts w:hint="eastAsia" w:cs="Times New Roman"/>
          <w:lang w:val="zh-TW"/>
        </w:rPr>
        <w:t>二、尖山水源涵养与水土保持生态修复重点工程</w:t>
      </w:r>
      <w:bookmarkEnd w:id="98"/>
      <w:bookmarkEnd w:id="99"/>
    </w:p>
    <w:p w14:paraId="7955C74F">
      <w:pPr>
        <w:ind w:firstLine="560"/>
      </w:pPr>
      <w:bookmarkStart w:id="100" w:name="_Toc3195"/>
      <w:bookmarkStart w:id="101" w:name="_Toc163465791"/>
      <w:r>
        <w:rPr>
          <w:rFonts w:hint="eastAsia"/>
        </w:rPr>
        <w:t>该重点工程包括历史遗留废弃矿山生态治理工程、重要交通沿线采矿损毁土地治理工程、禅房生态清洁小流域综合治理工程、柏泉项目区生态清洁小流域综合治理提质增效工程、仙人项目区生态清洁小流域综合治理提质增效工程、北下庄项目区生态清洁小流域综合治理提质增效工程、人工造林增绿工程、</w:t>
      </w:r>
      <w:r>
        <w:t>封山育林保护修复工程</w:t>
      </w:r>
      <w:r>
        <w:rPr>
          <w:rFonts w:hint="eastAsia"/>
        </w:rPr>
        <w:t>、退化林修复提质工程、人工种草及草地质量提升工程、森林防火通道建设工程、村庄绿化工程、土地开发及整治工程、高标准农田建设工程共14项。</w:t>
      </w:r>
    </w:p>
    <w:p w14:paraId="7BC60843">
      <w:pPr>
        <w:pStyle w:val="6"/>
        <w:numPr>
          <w:ilvl w:val="0"/>
          <w:numId w:val="3"/>
        </w:numPr>
        <w:spacing w:before="156" w:after="156"/>
        <w:rPr>
          <w:rFonts w:cs="Times New Roman"/>
          <w:lang w:val="zh-TW"/>
        </w:rPr>
      </w:pPr>
      <w:r>
        <w:rPr>
          <w:rFonts w:hint="eastAsia" w:cs="Times New Roman"/>
        </w:rPr>
        <w:t>三</w:t>
      </w:r>
      <w:r>
        <w:rPr>
          <w:rFonts w:hint="eastAsia" w:cs="Times New Roman"/>
          <w:lang w:val="zh-TW"/>
        </w:rPr>
        <w:t>、滹沱河流域水生态系统保护修复重点工程</w:t>
      </w:r>
      <w:bookmarkEnd w:id="100"/>
      <w:bookmarkEnd w:id="101"/>
    </w:p>
    <w:p w14:paraId="0B1C00DF">
      <w:pPr>
        <w:ind w:firstLine="560"/>
        <w:rPr>
          <w:rFonts w:cs="Times New Roman"/>
          <w:sz w:val="24"/>
        </w:rPr>
      </w:pPr>
      <w:bookmarkStart w:id="102" w:name="_Toc737"/>
      <w:bookmarkStart w:id="103" w:name="_Toc163465792"/>
      <w:r>
        <w:rPr>
          <w:rFonts w:hint="eastAsia"/>
        </w:rPr>
        <w:t>该重点工程包括历史遗留废弃矿山生态治理工程、滹沱河干流（夫城口-活川口）堤防建设工程、鹤山沟生态清洁小流域综合治理工程、龙华口水源保护型生态清洁小流域综合治理工程、中社项目区生态清洁小流域综合治理提质增效工程、人工造林增绿工程、封山育林保护修复工程、人工种草及草地质量提升工程、村庄绿化工程共9项。</w:t>
      </w:r>
    </w:p>
    <w:p w14:paraId="41E84D74">
      <w:pPr>
        <w:pStyle w:val="6"/>
        <w:numPr>
          <w:ilvl w:val="0"/>
          <w:numId w:val="3"/>
        </w:numPr>
        <w:spacing w:before="156" w:after="156"/>
        <w:rPr>
          <w:rFonts w:cs="Times New Roman"/>
          <w:lang w:val="zh-TW"/>
        </w:rPr>
      </w:pPr>
      <w:r>
        <w:rPr>
          <w:rFonts w:hint="eastAsia" w:cs="Times New Roman"/>
        </w:rPr>
        <w:t>四</w:t>
      </w:r>
      <w:r>
        <w:rPr>
          <w:rFonts w:hint="eastAsia" w:cs="Times New Roman"/>
          <w:lang w:val="zh-TW"/>
        </w:rPr>
        <w:t>、</w:t>
      </w:r>
      <w:r>
        <w:rPr>
          <w:rFonts w:hint="eastAsia" w:cs="Times New Roman"/>
        </w:rPr>
        <w:t>温河</w:t>
      </w:r>
      <w:r>
        <w:rPr>
          <w:rFonts w:hint="eastAsia" w:cs="Times New Roman"/>
          <w:lang w:val="zh-TW"/>
        </w:rPr>
        <w:t>流域土地综合整治与水生态系统保护修复重点工程</w:t>
      </w:r>
      <w:bookmarkEnd w:id="102"/>
      <w:bookmarkEnd w:id="103"/>
      <w:r>
        <w:rPr>
          <w:rFonts w:hint="eastAsia" w:cs="Times New Roman"/>
          <w:lang w:val="zh-TW"/>
        </w:rPr>
        <w:t xml:space="preserve"> </w:t>
      </w:r>
    </w:p>
    <w:p w14:paraId="0556068C">
      <w:pPr>
        <w:ind w:firstLine="560"/>
      </w:pPr>
      <w:bookmarkStart w:id="104" w:name="_Toc163465793"/>
      <w:bookmarkStart w:id="105" w:name="_Toc29214"/>
      <w:r>
        <w:rPr>
          <w:rFonts w:hint="eastAsia"/>
        </w:rPr>
        <w:t>该重点工程包括历史遗留废弃矿山生态治理工程、采煤沉陷区治理工程、固废综合治理工程、南娄镇东西垴地质灾害</w:t>
      </w:r>
      <w:r>
        <w:t>综合治理工程</w:t>
      </w:r>
      <w:r>
        <w:rPr>
          <w:rFonts w:hint="eastAsia"/>
        </w:rPr>
        <w:t>、南娄镇上曹村地质环境</w:t>
      </w:r>
      <w:r>
        <w:t>综合治理工程</w:t>
      </w:r>
      <w:r>
        <w:rPr>
          <w:rFonts w:hint="eastAsia"/>
        </w:rPr>
        <w:t>、牛村镇温池村矿山地质环境治理恢复工程、重要交通沿线采矿损毁土地治理工程、香河山洪沟治理工程、</w:t>
      </w:r>
      <w:r>
        <w:t>水系连通及农村水系综合整治工程</w:t>
      </w:r>
      <w:r>
        <w:rPr>
          <w:rFonts w:hint="eastAsia"/>
        </w:rPr>
        <w:t>、</w:t>
      </w:r>
      <w:r>
        <w:t>废弃水井封堵和修复水质保护工程</w:t>
      </w:r>
      <w:r>
        <w:rPr>
          <w:rFonts w:hint="eastAsia"/>
        </w:rPr>
        <w:t>、牛村生态清洁小流域综合治理工程（水土保持部分）、路家村项目区生态清洁小流域综合治理提质增效工程、土地开发及整治工程、高标准农田建设工程、</w:t>
      </w:r>
      <w:r>
        <w:t>农村低效建设用地整治工程</w:t>
      </w:r>
      <w:r>
        <w:rPr>
          <w:rFonts w:hint="eastAsia"/>
        </w:rPr>
        <w:t>、</w:t>
      </w:r>
      <w:r>
        <w:t>采煤沉陷区旧房拆除复垦工程</w:t>
      </w:r>
      <w:r>
        <w:rPr>
          <w:rFonts w:hint="eastAsia"/>
        </w:rPr>
        <w:t>、村庄绿化工程、</w:t>
      </w:r>
      <w:r>
        <w:t>村庄人居环境整治工程</w:t>
      </w:r>
      <w:r>
        <w:rPr>
          <w:rFonts w:hint="eastAsia"/>
        </w:rPr>
        <w:t>、绿地网络和生态公园建设</w:t>
      </w:r>
      <w:r>
        <w:t>工程</w:t>
      </w:r>
      <w:r>
        <w:rPr>
          <w:rFonts w:hint="eastAsia"/>
        </w:rPr>
        <w:t>、</w:t>
      </w:r>
      <w:r>
        <w:t>盂县污水处理厂二期扩建及提标改造工程</w:t>
      </w:r>
      <w:r>
        <w:rPr>
          <w:rFonts w:hint="eastAsia"/>
        </w:rPr>
        <w:t>20项。</w:t>
      </w:r>
    </w:p>
    <w:p w14:paraId="40BA0A60">
      <w:pPr>
        <w:pStyle w:val="6"/>
        <w:numPr>
          <w:ilvl w:val="0"/>
          <w:numId w:val="3"/>
        </w:numPr>
        <w:spacing w:before="156" w:after="156"/>
        <w:rPr>
          <w:rFonts w:cs="Times New Roman"/>
          <w:lang w:val="zh-TW"/>
        </w:rPr>
      </w:pPr>
      <w:r>
        <w:rPr>
          <w:rFonts w:hint="eastAsia" w:cs="Times New Roman"/>
        </w:rPr>
        <w:t>五</w:t>
      </w:r>
      <w:r>
        <w:rPr>
          <w:rFonts w:hint="eastAsia" w:cs="Times New Roman"/>
          <w:lang w:val="zh-TW"/>
        </w:rPr>
        <w:t>、生态网络构建与生物多样性保护重点工程</w:t>
      </w:r>
      <w:bookmarkEnd w:id="104"/>
      <w:bookmarkEnd w:id="105"/>
    </w:p>
    <w:p w14:paraId="63BD543A">
      <w:pPr>
        <w:pStyle w:val="2"/>
        <w:ind w:firstLine="560"/>
        <w:rPr>
          <w:lang w:val="zh-TW"/>
        </w:rPr>
      </w:pPr>
      <w:r>
        <w:rPr>
          <w:lang w:val="zh-TW"/>
        </w:rPr>
        <w:t>本重点工程涉及</w:t>
      </w:r>
      <w:r>
        <w:rPr>
          <w:rFonts w:hint="eastAsia"/>
        </w:rPr>
        <w:t>盂县</w:t>
      </w:r>
      <w:r>
        <w:rPr>
          <w:rFonts w:hint="eastAsia"/>
          <w:lang w:val="zh-TW"/>
        </w:rPr>
        <w:t>全域，包括</w:t>
      </w:r>
      <w:r>
        <w:rPr>
          <w:rFonts w:hint="eastAsia"/>
        </w:rPr>
        <w:t>动植物监测站建设工程</w:t>
      </w:r>
      <w:r>
        <w:rPr>
          <w:rFonts w:hint="eastAsia"/>
          <w:lang w:val="zh-TW"/>
        </w:rPr>
        <w:t>、</w:t>
      </w:r>
      <w:r>
        <w:rPr>
          <w:rFonts w:hint="eastAsia"/>
        </w:rPr>
        <w:t>主要山脉生物隔离带建设工程</w:t>
      </w:r>
      <w:r>
        <w:rPr>
          <w:rFonts w:hint="eastAsia"/>
          <w:lang w:val="zh-TW"/>
        </w:rPr>
        <w:t>、</w:t>
      </w:r>
      <w:r>
        <w:rPr>
          <w:rFonts w:hint="eastAsia"/>
        </w:rPr>
        <w:t>主要河流生态廊道建设工程</w:t>
      </w:r>
      <w:r>
        <w:rPr>
          <w:rFonts w:hint="eastAsia"/>
          <w:lang w:val="zh-TW"/>
        </w:rPr>
        <w:t>、</w:t>
      </w:r>
      <w:r>
        <w:rPr>
          <w:rFonts w:hint="eastAsia"/>
        </w:rPr>
        <w:t>主要河流</w:t>
      </w:r>
      <w:r>
        <w:t>物种栖息地改善</w:t>
      </w:r>
      <w:r>
        <w:rPr>
          <w:rFonts w:hint="eastAsia"/>
        </w:rPr>
        <w:t>工程、主要道路沿线生态廊道建设工程等共5项</w:t>
      </w:r>
      <w:r>
        <w:rPr>
          <w:rFonts w:hint="eastAsia"/>
          <w:lang w:val="zh-TW"/>
        </w:rPr>
        <w:t>。</w:t>
      </w:r>
    </w:p>
    <w:p w14:paraId="5DB0F61C">
      <w:pPr>
        <w:pStyle w:val="4"/>
        <w:ind w:firstLine="0" w:firstLineChars="0"/>
        <w:jc w:val="left"/>
        <w:rPr>
          <w:u w:val="double" w:color="0000FF"/>
        </w:rPr>
      </w:pPr>
      <w:bookmarkStart w:id="106" w:name="_Toc26251"/>
      <w:bookmarkStart w:id="107" w:name="_Toc14618"/>
      <w:bookmarkStart w:id="108" w:name="_Toc27693"/>
      <w:bookmarkStart w:id="109" w:name="_Toc11797"/>
      <w:r>
        <w:rPr>
          <w:rFonts w:hint="eastAsia"/>
          <w:u w:val="double" w:color="0000FF"/>
        </w:rPr>
        <w:t>第五章 效益分析</w:t>
      </w:r>
      <w:bookmarkEnd w:id="106"/>
      <w:bookmarkEnd w:id="107"/>
      <w:bookmarkEnd w:id="108"/>
      <w:bookmarkEnd w:id="109"/>
      <w:r>
        <w:rPr>
          <w:rFonts w:hint="eastAsia"/>
          <w:u w:val="double" w:color="0000FF"/>
        </w:rPr>
        <w:t xml:space="preserve">                               </w:t>
      </w:r>
    </w:p>
    <w:p w14:paraId="5DE63C40">
      <w:pPr>
        <w:pStyle w:val="6"/>
        <w:numPr>
          <w:ilvl w:val="0"/>
          <w:numId w:val="4"/>
        </w:numPr>
        <w:spacing w:before="156" w:after="156"/>
      </w:pPr>
      <w:bookmarkStart w:id="110" w:name="_Toc22082"/>
      <w:r>
        <w:rPr>
          <w:rFonts w:hint="eastAsia"/>
        </w:rPr>
        <w:t>一、生态效益</w:t>
      </w:r>
      <w:bookmarkEnd w:id="110"/>
    </w:p>
    <w:p w14:paraId="41AD656C">
      <w:pPr>
        <w:ind w:firstLine="560"/>
      </w:pPr>
      <w:r>
        <w:rPr>
          <w:rFonts w:hint="eastAsia"/>
        </w:rPr>
        <w:t>（一）改善生物栖息环境；</w:t>
      </w:r>
    </w:p>
    <w:p w14:paraId="5D28FC5B">
      <w:pPr>
        <w:ind w:firstLine="560"/>
      </w:pPr>
      <w:r>
        <w:rPr>
          <w:rFonts w:hint="eastAsia"/>
        </w:rPr>
        <w:t>（二）涵养水源保持水土；</w:t>
      </w:r>
    </w:p>
    <w:p w14:paraId="4E10587D">
      <w:pPr>
        <w:ind w:firstLine="560"/>
      </w:pPr>
      <w:r>
        <w:rPr>
          <w:rFonts w:hint="eastAsia"/>
        </w:rPr>
        <w:t>（三）增强固碳释氧能力；</w:t>
      </w:r>
    </w:p>
    <w:p w14:paraId="196A3105">
      <w:pPr>
        <w:ind w:firstLine="560"/>
      </w:pPr>
      <w:r>
        <w:rPr>
          <w:rFonts w:hint="eastAsia"/>
        </w:rPr>
        <w:t>（四）净化环境改善水质；</w:t>
      </w:r>
    </w:p>
    <w:p w14:paraId="6587B239">
      <w:pPr>
        <w:ind w:firstLine="560"/>
      </w:pPr>
      <w:r>
        <w:rPr>
          <w:rFonts w:hint="eastAsia"/>
        </w:rPr>
        <w:t>（五）优化生态服务功能；</w:t>
      </w:r>
    </w:p>
    <w:p w14:paraId="3DB6D2AE">
      <w:pPr>
        <w:ind w:firstLine="560"/>
      </w:pPr>
      <w:r>
        <w:rPr>
          <w:rFonts w:hint="eastAsia"/>
        </w:rPr>
        <w:t>（六）增强生态系统稳定性。</w:t>
      </w:r>
    </w:p>
    <w:p w14:paraId="4097755E">
      <w:pPr>
        <w:pStyle w:val="6"/>
        <w:numPr>
          <w:ilvl w:val="0"/>
          <w:numId w:val="4"/>
        </w:numPr>
        <w:spacing w:before="156" w:after="156"/>
      </w:pPr>
      <w:bookmarkStart w:id="111" w:name="_Toc32541"/>
      <w:r>
        <w:rPr>
          <w:rFonts w:hint="eastAsia"/>
        </w:rPr>
        <w:t>二、社会效益</w:t>
      </w:r>
      <w:bookmarkEnd w:id="111"/>
    </w:p>
    <w:p w14:paraId="5F81B3C6">
      <w:pPr>
        <w:ind w:firstLine="560"/>
      </w:pPr>
      <w:r>
        <w:rPr>
          <w:rFonts w:hint="eastAsia"/>
        </w:rPr>
        <w:t>（一）改善城乡人居环境；</w:t>
      </w:r>
    </w:p>
    <w:p w14:paraId="49BCFCE9">
      <w:pPr>
        <w:ind w:firstLine="560"/>
      </w:pPr>
      <w:r>
        <w:rPr>
          <w:rFonts w:hint="eastAsia"/>
        </w:rPr>
        <w:t>（二）增强防灾减灾能力；</w:t>
      </w:r>
    </w:p>
    <w:p w14:paraId="35B260A9">
      <w:pPr>
        <w:ind w:firstLine="560"/>
      </w:pPr>
      <w:r>
        <w:rPr>
          <w:rFonts w:hint="eastAsia"/>
        </w:rPr>
        <w:t>（三）推动城乡均衡发展；</w:t>
      </w:r>
    </w:p>
    <w:p w14:paraId="03512C33">
      <w:pPr>
        <w:ind w:firstLine="560"/>
      </w:pPr>
      <w:r>
        <w:rPr>
          <w:rFonts w:hint="eastAsia"/>
        </w:rPr>
        <w:t>（四）促进群众参与共建；</w:t>
      </w:r>
    </w:p>
    <w:p w14:paraId="20349D7D">
      <w:pPr>
        <w:ind w:firstLine="560"/>
      </w:pPr>
      <w:r>
        <w:rPr>
          <w:rFonts w:hint="eastAsia"/>
        </w:rPr>
        <w:t>（五）保护传承乡土文化；</w:t>
      </w:r>
    </w:p>
    <w:p w14:paraId="4C7C6D2A">
      <w:pPr>
        <w:ind w:firstLine="560"/>
      </w:pPr>
      <w:r>
        <w:rPr>
          <w:rFonts w:hint="eastAsia"/>
        </w:rPr>
        <w:t>（六）增进群众身心健康。</w:t>
      </w:r>
    </w:p>
    <w:p w14:paraId="2C44210B">
      <w:pPr>
        <w:pStyle w:val="6"/>
        <w:numPr>
          <w:ilvl w:val="0"/>
          <w:numId w:val="4"/>
        </w:numPr>
        <w:spacing w:before="156" w:after="156"/>
      </w:pPr>
      <w:bookmarkStart w:id="112" w:name="_Toc1811"/>
      <w:r>
        <w:rPr>
          <w:rFonts w:hint="eastAsia"/>
        </w:rPr>
        <w:t>三、经济效益</w:t>
      </w:r>
      <w:bookmarkEnd w:id="112"/>
    </w:p>
    <w:p w14:paraId="55A31520">
      <w:pPr>
        <w:ind w:firstLine="560"/>
      </w:pPr>
      <w:r>
        <w:rPr>
          <w:rFonts w:hint="eastAsia"/>
        </w:rPr>
        <w:t>（一）促进农业提质增效；</w:t>
      </w:r>
    </w:p>
    <w:p w14:paraId="1ECE59AB">
      <w:pPr>
        <w:ind w:firstLine="560"/>
      </w:pPr>
      <w:r>
        <w:rPr>
          <w:rFonts w:hint="eastAsia"/>
        </w:rPr>
        <w:t>（二）带动生态旅游发展；</w:t>
      </w:r>
    </w:p>
    <w:p w14:paraId="5BCD61FF">
      <w:pPr>
        <w:ind w:firstLine="560"/>
      </w:pPr>
      <w:r>
        <w:rPr>
          <w:rFonts w:hint="eastAsia"/>
        </w:rPr>
        <w:t>（三）降低灾害经济损失；</w:t>
      </w:r>
    </w:p>
    <w:p w14:paraId="40F8105D">
      <w:pPr>
        <w:ind w:firstLine="560"/>
      </w:pPr>
      <w:r>
        <w:rPr>
          <w:rFonts w:hint="eastAsia"/>
        </w:rPr>
        <w:t>（四）增加群众就业机会；</w:t>
      </w:r>
    </w:p>
    <w:p w14:paraId="5CE27EA3">
      <w:pPr>
        <w:ind w:firstLine="560"/>
      </w:pPr>
      <w:r>
        <w:rPr>
          <w:rFonts w:hint="eastAsia"/>
        </w:rPr>
        <w:t>（五）提升土地资源价值；</w:t>
      </w:r>
    </w:p>
    <w:p w14:paraId="42BF623E">
      <w:pPr>
        <w:ind w:firstLine="560"/>
      </w:pPr>
      <w:r>
        <w:rPr>
          <w:rFonts w:hint="eastAsia"/>
        </w:rPr>
        <w:t>（六）优化资源利用效率。</w:t>
      </w:r>
    </w:p>
    <w:p w14:paraId="2F906B92">
      <w:pPr>
        <w:pStyle w:val="4"/>
        <w:ind w:firstLine="0" w:firstLineChars="0"/>
        <w:jc w:val="left"/>
        <w:rPr>
          <w:u w:val="double" w:color="0000FF"/>
        </w:rPr>
      </w:pPr>
      <w:bookmarkStart w:id="113" w:name="_Toc6962"/>
      <w:bookmarkStart w:id="114" w:name="_Toc24124"/>
      <w:bookmarkStart w:id="115" w:name="_Toc21147"/>
      <w:bookmarkStart w:id="116" w:name="_Toc32354"/>
      <w:r>
        <w:rPr>
          <w:rFonts w:hint="eastAsia"/>
          <w:u w:val="double" w:color="0000FF"/>
        </w:rPr>
        <w:t>第六章 保障机制</w:t>
      </w:r>
      <w:bookmarkEnd w:id="113"/>
      <w:bookmarkEnd w:id="114"/>
      <w:bookmarkEnd w:id="115"/>
      <w:bookmarkEnd w:id="116"/>
      <w:r>
        <w:rPr>
          <w:rFonts w:hint="eastAsia"/>
          <w:u w:val="double" w:color="0000FF"/>
        </w:rPr>
        <w:t xml:space="preserve">                               </w:t>
      </w:r>
    </w:p>
    <w:p w14:paraId="36E1F2C1">
      <w:pPr>
        <w:pStyle w:val="6"/>
        <w:numPr>
          <w:ilvl w:val="0"/>
          <w:numId w:val="4"/>
        </w:numPr>
        <w:spacing w:before="156" w:after="156"/>
      </w:pPr>
      <w:bookmarkStart w:id="117" w:name="_Toc10501"/>
      <w:bookmarkStart w:id="118" w:name="_Toc195"/>
      <w:bookmarkStart w:id="119" w:name="_Toc12489"/>
      <w:bookmarkStart w:id="120" w:name="_Toc9338"/>
      <w:r>
        <w:rPr>
          <w:rFonts w:hint="eastAsia"/>
        </w:rPr>
        <w:t>一、加强组织领导</w:t>
      </w:r>
      <w:bookmarkEnd w:id="117"/>
      <w:bookmarkEnd w:id="118"/>
      <w:bookmarkEnd w:id="119"/>
      <w:bookmarkEnd w:id="120"/>
    </w:p>
    <w:p w14:paraId="498B6B4B">
      <w:pPr>
        <w:ind w:firstLine="562"/>
      </w:pPr>
      <w:r>
        <w:rPr>
          <w:b/>
          <w:bCs/>
        </w:rPr>
        <w:t>统筹决策体系构建</w:t>
      </w:r>
      <w:r>
        <w:rPr>
          <w:rFonts w:hint="eastAsia"/>
          <w:b/>
          <w:bCs/>
        </w:rPr>
        <w:t>：</w:t>
      </w:r>
      <w:r>
        <w:rPr>
          <w:rFonts w:hint="eastAsia"/>
        </w:rPr>
        <w:t>构建跨层级、跨部门统筹决策体系，以自然资源部门为主体，融合多领域管理职能。设立县级生态修复工作领导小组，统筹规划编制、资金配置与项目实施。建立科学化决策论证机制，将生态评估与修复优先序纳入法定决策流程。</w:t>
      </w:r>
    </w:p>
    <w:p w14:paraId="1D47F2F8">
      <w:pPr>
        <w:ind w:firstLine="562"/>
      </w:pPr>
      <w:r>
        <w:rPr>
          <w:b/>
          <w:bCs/>
        </w:rPr>
        <w:t>责任传导链条压实</w:t>
      </w:r>
      <w:r>
        <w:rPr>
          <w:rFonts w:hint="eastAsia"/>
          <w:b/>
          <w:bCs/>
        </w:rPr>
        <w:t>：</w:t>
      </w:r>
      <w:r>
        <w:t>构建</w:t>
      </w:r>
      <w:r>
        <w:rPr>
          <w:rFonts w:hint="eastAsia" w:ascii="仿宋" w:hAnsi="仿宋" w:cs="仿宋"/>
        </w:rPr>
        <w:t>“县级主导、部门协同、乡镇落实”</w:t>
      </w:r>
      <w:r>
        <w:t>三级责任链条，编制责任清单，将总体目标转化为量化考核任务。纵向签订目标责任书，横向完善联席会议制度，通过严格考核与问责，倒逼各级责任主体行动自觉。</w:t>
      </w:r>
    </w:p>
    <w:p w14:paraId="0E818E1A">
      <w:pPr>
        <w:ind w:firstLine="562"/>
      </w:pPr>
      <w:r>
        <w:rPr>
          <w:b/>
          <w:bCs/>
        </w:rPr>
        <w:t>跨域协作平台搭建</w:t>
      </w:r>
      <w:r>
        <w:rPr>
          <w:rFonts w:hint="eastAsia"/>
          <w:b/>
          <w:bCs/>
        </w:rPr>
        <w:t>：</w:t>
      </w:r>
      <w:r>
        <w:t>跨域协作平台搭建。以自然地理单元为基础建立协同工作平台，统一规划目标与治理标准。强化信息互通与数据共享，构建联合执法长效机制，探索设立跨区域共治资金池，发挥规模效应，构筑区域生态安全共同体。</w:t>
      </w:r>
    </w:p>
    <w:p w14:paraId="3D793E59">
      <w:pPr>
        <w:pStyle w:val="6"/>
        <w:numPr>
          <w:ilvl w:val="0"/>
          <w:numId w:val="4"/>
        </w:numPr>
        <w:spacing w:before="156" w:after="156"/>
      </w:pPr>
      <w:bookmarkStart w:id="121" w:name="_Toc16506"/>
      <w:bookmarkStart w:id="122" w:name="_Toc24129"/>
      <w:bookmarkStart w:id="123" w:name="_Toc23016"/>
      <w:bookmarkStart w:id="124" w:name="_Toc2640"/>
      <w:r>
        <w:rPr>
          <w:rFonts w:hint="eastAsia"/>
        </w:rPr>
        <w:t>二、落实规划传导</w:t>
      </w:r>
      <w:bookmarkEnd w:id="121"/>
      <w:bookmarkEnd w:id="122"/>
      <w:bookmarkEnd w:id="123"/>
      <w:bookmarkEnd w:id="124"/>
    </w:p>
    <w:p w14:paraId="4913A822">
      <w:pPr>
        <w:ind w:firstLine="562"/>
      </w:pPr>
      <w:r>
        <w:rPr>
          <w:b/>
          <w:bCs/>
        </w:rPr>
        <w:t>规划体系深度衔接</w:t>
      </w:r>
      <w:r>
        <w:rPr>
          <w:rFonts w:hint="eastAsia"/>
          <w:b/>
          <w:bCs/>
        </w:rPr>
        <w:t>：</w:t>
      </w:r>
      <w:r>
        <w:t>推动生态修复专项规划融入国土空间规划体系，构</w:t>
      </w:r>
      <w:r>
        <w:rPr>
          <w:rFonts w:hint="eastAsia" w:ascii="仿宋" w:hAnsi="仿宋" w:cs="仿宋"/>
        </w:rPr>
        <w:t>建“目标—指标—空间—时序”</w:t>
      </w:r>
      <w:r>
        <w:t>四维传导机制。明确重点区域，实施分区分类管控，制定分阶段计划。建立动态调整机制，依据监测评估结果进行适应性优化。</w:t>
      </w:r>
    </w:p>
    <w:p w14:paraId="031FE07C">
      <w:pPr>
        <w:ind w:firstLine="562"/>
      </w:pPr>
      <w:r>
        <w:rPr>
          <w:b/>
          <w:bCs/>
        </w:rPr>
        <w:t>实施路径系统设计</w:t>
      </w:r>
      <w:r>
        <w:rPr>
          <w:rFonts w:hint="eastAsia"/>
          <w:b/>
          <w:bCs/>
        </w:rPr>
        <w:t>：</w:t>
      </w:r>
      <w:r>
        <w:rPr>
          <w:rFonts w:hint="eastAsia"/>
        </w:rPr>
        <w:t>构建“项目化—工程化—清单化”实施路径，将规划目标转化为具体项目。推行总承包管理模式，整合关联性子项目。同步制定负面清单与正面激励清单，引导社会资本参与，提升规划执行力。</w:t>
      </w:r>
    </w:p>
    <w:p w14:paraId="3C86BA9C">
      <w:pPr>
        <w:ind w:firstLine="562"/>
      </w:pPr>
      <w:r>
        <w:rPr>
          <w:b/>
          <w:bCs/>
        </w:rPr>
        <w:t>动态反馈闭环建立</w:t>
      </w:r>
      <w:r>
        <w:rPr>
          <w:rFonts w:hint="eastAsia"/>
          <w:b/>
          <w:bCs/>
        </w:rPr>
        <w:t>：</w:t>
      </w:r>
      <w:r>
        <w:rPr>
          <w:rFonts w:hint="eastAsia"/>
        </w:rPr>
        <w:t>构建“编制—实施—监测—评估—反馈”全周期管理闭环。依托信息平台与遥感等技术实时跟踪，建立评估模型诊断偏差。建立弹性调整机制及时纠偏，推动规划管理向全过程动态治理转型。</w:t>
      </w:r>
    </w:p>
    <w:p w14:paraId="16BC2874">
      <w:pPr>
        <w:pStyle w:val="6"/>
        <w:numPr>
          <w:ilvl w:val="0"/>
          <w:numId w:val="4"/>
        </w:numPr>
        <w:spacing w:before="156" w:after="156"/>
      </w:pPr>
      <w:bookmarkStart w:id="125" w:name="_Toc29664"/>
      <w:bookmarkStart w:id="126" w:name="_Toc25379"/>
      <w:bookmarkStart w:id="127" w:name="_Toc21833"/>
      <w:bookmarkStart w:id="128" w:name="_Toc4817"/>
      <w:r>
        <w:rPr>
          <w:rFonts w:hint="eastAsia"/>
        </w:rPr>
        <w:t>三、创新政策体系</w:t>
      </w:r>
      <w:bookmarkEnd w:id="125"/>
      <w:bookmarkEnd w:id="126"/>
      <w:bookmarkEnd w:id="127"/>
      <w:bookmarkEnd w:id="128"/>
    </w:p>
    <w:p w14:paraId="1EBF97FF">
      <w:pPr>
        <w:ind w:firstLine="562"/>
      </w:pPr>
      <w:r>
        <w:rPr>
          <w:b/>
          <w:bCs/>
        </w:rPr>
        <w:t>政策融合创新突破</w:t>
      </w:r>
      <w:r>
        <w:rPr>
          <w:rFonts w:hint="eastAsia"/>
          <w:b/>
          <w:bCs/>
        </w:rPr>
        <w:t>：</w:t>
      </w:r>
      <w:r>
        <w:t>构</w:t>
      </w:r>
      <w:r>
        <w:rPr>
          <w:rFonts w:hint="eastAsia" w:ascii="仿宋" w:hAnsi="仿宋" w:cs="仿宋"/>
        </w:rPr>
        <w:t>建“正向激励+反向约束”政</w:t>
      </w:r>
      <w:r>
        <w:t>策组合，运用税收减免等经济手段吸引社会资本，健全生态红线监管与黑名单制度，强化司法衔接。探索生态产品价值实现机制，将碳汇等指标纳入交易体系，注入可持续内生动力。</w:t>
      </w:r>
    </w:p>
    <w:p w14:paraId="6CFA0BE3">
      <w:pPr>
        <w:ind w:firstLine="562"/>
      </w:pPr>
      <w:r>
        <w:rPr>
          <w:b/>
          <w:bCs/>
        </w:rPr>
        <w:t>市场化机制深度激活</w:t>
      </w:r>
      <w:r>
        <w:rPr>
          <w:rFonts w:hint="eastAsia"/>
          <w:b/>
          <w:bCs/>
        </w:rPr>
        <w:t>：</w:t>
      </w:r>
      <w:r>
        <w:rPr>
          <w:rFonts w:hint="eastAsia"/>
        </w:rPr>
        <w:t>推广政府和社会资本合作模式，通过特许经营等制度设计吸引企业参与。发展绿色金融，创新债券、信贷等产品，拓宽融资渠道。推动生态修复从政府单边投入向多元主体共创格局转变。</w:t>
      </w:r>
    </w:p>
    <w:p w14:paraId="7F9AFA48">
      <w:pPr>
        <w:ind w:firstLine="562"/>
      </w:pPr>
      <w:r>
        <w:rPr>
          <w:b/>
          <w:bCs/>
        </w:rPr>
        <w:t>风险防控体系完善</w:t>
      </w:r>
      <w:r>
        <w:rPr>
          <w:rFonts w:hint="eastAsia"/>
          <w:b/>
          <w:bCs/>
        </w:rPr>
        <w:t>：</w:t>
      </w:r>
      <w:r>
        <w:rPr>
          <w:rFonts w:hint="eastAsia"/>
        </w:rPr>
        <w:t>构建“事前—事中—事后”全过程风险防控机制。严格实施前期风险评估，科学评定等级；制定分级应急预案；探索修复效果保险与风险补偿机制。科学平衡效益与风险，防范次生生态问题。</w:t>
      </w:r>
    </w:p>
    <w:p w14:paraId="26A17593">
      <w:pPr>
        <w:pStyle w:val="6"/>
        <w:numPr>
          <w:ilvl w:val="0"/>
          <w:numId w:val="4"/>
        </w:numPr>
        <w:spacing w:before="156" w:after="156"/>
      </w:pPr>
      <w:bookmarkStart w:id="129" w:name="_Toc22322"/>
      <w:bookmarkStart w:id="130" w:name="_Toc22454"/>
      <w:bookmarkStart w:id="131" w:name="_Toc25753"/>
      <w:bookmarkStart w:id="132" w:name="_Toc6077"/>
      <w:r>
        <w:rPr>
          <w:rFonts w:hint="eastAsia"/>
        </w:rPr>
        <w:t>四、强化技术支撑</w:t>
      </w:r>
      <w:bookmarkEnd w:id="129"/>
      <w:bookmarkEnd w:id="130"/>
      <w:bookmarkEnd w:id="131"/>
      <w:bookmarkEnd w:id="132"/>
    </w:p>
    <w:p w14:paraId="4E2CD639">
      <w:pPr>
        <w:ind w:firstLine="562"/>
      </w:pPr>
      <w:r>
        <w:rPr>
          <w:b/>
          <w:bCs/>
        </w:rPr>
        <w:t>技术研发体系构建</w:t>
      </w:r>
      <w:r>
        <w:rPr>
          <w:rFonts w:hint="eastAsia"/>
          <w:b/>
          <w:bCs/>
        </w:rPr>
        <w:t>：</w:t>
      </w:r>
      <w:r>
        <w:rPr>
          <w:rFonts w:hint="eastAsia"/>
        </w:rPr>
        <w:t>构建“基础研究—应用开发—成果转化”全链条创新体系。突破退化诊断、乡土物种、生物改良等关键技术。依托科研院所与企业建设产学研平台，布局技术示范基地，加大成熟技术推广力度。</w:t>
      </w:r>
    </w:p>
    <w:p w14:paraId="1253F7D0">
      <w:pPr>
        <w:ind w:firstLine="562"/>
      </w:pPr>
      <w:r>
        <w:rPr>
          <w:b/>
          <w:bCs/>
        </w:rPr>
        <w:t>标准规范体系健全</w:t>
      </w:r>
      <w:r>
        <w:rPr>
          <w:rFonts w:hint="eastAsia"/>
          <w:b/>
          <w:bCs/>
        </w:rPr>
        <w:t>：</w:t>
      </w:r>
      <w:r>
        <w:rPr>
          <w:rFonts w:hint="eastAsia"/>
        </w:rPr>
        <w:t>制定覆盖勘测、施工、验收、管护全生命周期的技术标准。建立材料使用与安全规范，严控外来物种引入等关键环节。编制监测技术规程，统一采集方法与评价标准，维护行业秩序与工程质量。</w:t>
      </w:r>
    </w:p>
    <w:p w14:paraId="5175EE3D">
      <w:pPr>
        <w:ind w:firstLine="562"/>
      </w:pPr>
      <w:r>
        <w:rPr>
          <w:b/>
          <w:bCs/>
        </w:rPr>
        <w:t>智慧管理平台建设</w:t>
      </w:r>
      <w:r>
        <w:rPr>
          <w:rFonts w:hint="eastAsia"/>
          <w:b/>
          <w:bCs/>
        </w:rPr>
        <w:t>：</w:t>
      </w:r>
      <w:r>
        <w:t>依托信息平台构建县级智慧管理系统，实现全要素动态可视化追溯。探索建设数字孪生系统，前瞻性仿真预测生态响应。通过智慧化手段，提升规划决策科学性与治理效果可预见性。</w:t>
      </w:r>
    </w:p>
    <w:p w14:paraId="01AEB4A3">
      <w:pPr>
        <w:pStyle w:val="6"/>
        <w:numPr>
          <w:ilvl w:val="0"/>
          <w:numId w:val="4"/>
        </w:numPr>
        <w:spacing w:before="156" w:after="156"/>
      </w:pPr>
      <w:bookmarkStart w:id="133" w:name="_Toc22152"/>
      <w:bookmarkStart w:id="134" w:name="_Toc3215"/>
      <w:bookmarkStart w:id="135" w:name="_Toc14166"/>
      <w:bookmarkStart w:id="136" w:name="_Toc472"/>
      <w:r>
        <w:rPr>
          <w:rFonts w:hint="eastAsia"/>
        </w:rPr>
        <w:t>五、严格评估监管</w:t>
      </w:r>
      <w:bookmarkEnd w:id="133"/>
      <w:bookmarkEnd w:id="134"/>
      <w:bookmarkEnd w:id="135"/>
      <w:bookmarkEnd w:id="136"/>
    </w:p>
    <w:p w14:paraId="7676A8D1">
      <w:pPr>
        <w:ind w:firstLine="562"/>
      </w:pPr>
      <w:r>
        <w:rPr>
          <w:b/>
          <w:bCs/>
        </w:rPr>
        <w:t>全过程监测网络覆盖</w:t>
      </w:r>
      <w:r>
        <w:rPr>
          <w:rFonts w:hint="eastAsia"/>
          <w:b/>
          <w:bCs/>
        </w:rPr>
        <w:t>：</w:t>
      </w:r>
      <w:r>
        <w:t>建立天地空一体化监测体系，实现实时动态感知。融合卫星遥感、无人机与地面传感器，覆盖修复前、施工期、成效评估全阶段，形成连续数据链条，支撑精准评估与科学决策。</w:t>
      </w:r>
    </w:p>
    <w:p w14:paraId="0009FDBE">
      <w:pPr>
        <w:ind w:firstLine="562"/>
      </w:pPr>
      <w:r>
        <w:rPr>
          <w:b/>
          <w:bCs/>
        </w:rPr>
        <w:t>多维评估体系创新</w:t>
      </w:r>
      <w:r>
        <w:rPr>
          <w:rFonts w:hint="eastAsia"/>
          <w:b/>
          <w:bCs/>
        </w:rPr>
        <w:t>：</w:t>
      </w:r>
      <w:r>
        <w:t>构</w:t>
      </w:r>
      <w:r>
        <w:rPr>
          <w:rFonts w:hint="eastAsia" w:ascii="仿宋" w:hAnsi="仿宋" w:cs="仿宋"/>
        </w:rPr>
        <w:t>建“生态—经济—社会”综</w:t>
      </w:r>
      <w:r>
        <w:t>合效益评估模型，突破单一指标局限。生态维度评估生物多样性等，经济维度核算成本收益，社会维度测量满意度与健康风险。引入第三方评估，确保客观公信。</w:t>
      </w:r>
    </w:p>
    <w:p w14:paraId="6244BC05">
      <w:pPr>
        <w:ind w:firstLine="562"/>
        <w:rPr>
          <w:rFonts w:ascii="仿宋" w:hAnsi="仿宋" w:cs="仿宋"/>
        </w:rPr>
      </w:pPr>
      <w:r>
        <w:rPr>
          <w:b/>
          <w:bCs/>
        </w:rPr>
        <w:t>法治化监管机制强化</w:t>
      </w:r>
      <w:r>
        <w:rPr>
          <w:rFonts w:hint="eastAsia"/>
          <w:b/>
          <w:bCs/>
        </w:rPr>
        <w:t>：</w:t>
      </w:r>
      <w:r>
        <w:t>健全法规体系，明确权责边界。强化执法队伍建设，建立跨部门联合执法机制，打击违法行为。推行工程终身责任制与信用惩戒制度，形</w:t>
      </w:r>
      <w:r>
        <w:rPr>
          <w:rFonts w:hint="eastAsia" w:ascii="仿宋" w:hAnsi="仿宋" w:cs="仿宋"/>
        </w:rPr>
        <w:t>成“不敢破坏、不能破坏”的</w:t>
      </w:r>
      <w:r>
        <w:t>制度威慑。</w:t>
      </w:r>
    </w:p>
    <w:p w14:paraId="79A82447">
      <w:pPr>
        <w:pStyle w:val="6"/>
        <w:numPr>
          <w:ilvl w:val="0"/>
          <w:numId w:val="4"/>
        </w:numPr>
        <w:spacing w:before="156" w:after="156"/>
      </w:pPr>
      <w:bookmarkStart w:id="137" w:name="_Toc25460"/>
      <w:bookmarkStart w:id="138" w:name="_Toc1768"/>
      <w:bookmarkStart w:id="139" w:name="_Toc7414"/>
      <w:bookmarkStart w:id="140" w:name="_Toc23520"/>
      <w:r>
        <w:rPr>
          <w:rFonts w:hint="eastAsia"/>
        </w:rPr>
        <w:t>六、鼓励公众参与</w:t>
      </w:r>
      <w:bookmarkEnd w:id="137"/>
      <w:bookmarkEnd w:id="138"/>
      <w:bookmarkEnd w:id="139"/>
      <w:bookmarkEnd w:id="140"/>
    </w:p>
    <w:p w14:paraId="76262E33">
      <w:pPr>
        <w:ind w:firstLine="562"/>
      </w:pPr>
      <w:r>
        <w:rPr>
          <w:b/>
          <w:bCs/>
        </w:rPr>
        <w:t>多元共治平台搭建</w:t>
      </w:r>
      <w:r>
        <w:rPr>
          <w:rFonts w:hint="eastAsia"/>
          <w:b/>
          <w:bCs/>
        </w:rPr>
        <w:t>：</w:t>
      </w:r>
      <w:r>
        <w:rPr>
          <w:rFonts w:hint="eastAsia"/>
        </w:rPr>
        <w:t>构建政府、企业、公众、社会组织共同参与的治理架构。设立社区议事会，培育环保社会组织，搭建企业责任联盟。整合分散社会力量，形成全社会共建共治共享的生态治理合力。</w:t>
      </w:r>
    </w:p>
    <w:p w14:paraId="3A2F8661">
      <w:pPr>
        <w:ind w:firstLine="562"/>
      </w:pPr>
      <w:r>
        <w:rPr>
          <w:b/>
          <w:bCs/>
        </w:rPr>
        <w:t>信息透明机制完善</w:t>
      </w:r>
      <w:r>
        <w:rPr>
          <w:rFonts w:hint="eastAsia"/>
          <w:b/>
          <w:bCs/>
        </w:rPr>
        <w:t>：</w:t>
      </w:r>
      <w:r>
        <w:rPr>
          <w:rFonts w:hint="eastAsia"/>
        </w:rPr>
        <w:t>建立生态修复信息公示平台，实时发布进展与数据。推行公众听证制度，运用AR/VR技术构建可视化界面。充分保障公众知情权，增强社会认同，促进阳光治理。</w:t>
      </w:r>
    </w:p>
    <w:p w14:paraId="572D63F9">
      <w:pPr>
        <w:ind w:firstLine="562"/>
        <w:rPr>
          <w:rFonts w:ascii="仿宋" w:hAnsi="仿宋" w:cs="仿宋"/>
          <w:color w:val="0000FF"/>
          <w:sz w:val="30"/>
          <w:szCs w:val="30"/>
        </w:rPr>
      </w:pPr>
      <w:r>
        <w:rPr>
          <w:b/>
          <w:bCs/>
        </w:rPr>
        <w:t>生态文化培育深化</w:t>
      </w:r>
      <w:r>
        <w:rPr>
          <w:rFonts w:hint="eastAsia"/>
          <w:b/>
          <w:bCs/>
        </w:rPr>
        <w:t>：</w:t>
      </w:r>
      <w:r>
        <w:rPr>
          <w:rFonts w:hint="eastAsia"/>
        </w:rPr>
        <w:t>将修复知识纳入教育体系，建设教育基地。开展志愿者活动，利用新媒体传播生态伦理。实现从“要我环保”到“我要环保”的价值转变，为生态保护修复提供持久精神动力。</w:t>
      </w:r>
    </w:p>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altName w:val="微软雅黑"/>
    <w:panose1 w:val="02010609060101010101"/>
    <w:charset w:val="86"/>
    <w:family w:val="modern"/>
    <w:pitch w:val="default"/>
    <w:sig w:usb0="00000000" w:usb1="00000000" w:usb2="00000016" w:usb3="00000000" w:csb0="00040001" w:csb1="00000000"/>
  </w:font>
  <w:font w:name="仿宋_GB2312">
    <w:altName w:val="微软雅黑"/>
    <w:panose1 w:val="02010609030101010101"/>
    <w:charset w:val="86"/>
    <w:family w:val="modern"/>
    <w:pitch w:val="default"/>
    <w:sig w:usb0="00000000" w:usb1="00000000" w:usb2="00000010" w:usb3="00000000" w:csb0="00040000" w:csb1="00000000"/>
  </w:font>
  <w:font w:name="方正小标宋简体">
    <w:altName w:val="宋体"/>
    <w:panose1 w:val="02010601030101010101"/>
    <w:charset w:val="86"/>
    <w:family w:val="auto"/>
    <w:pitch w:val="default"/>
    <w:sig w:usb0="00000000" w:usb1="00000000" w:usb2="0000001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楷体">
    <w:altName w:val="宋体"/>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CABA55EB">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F6486">
    <w:pPr>
      <w:pStyle w:val="10"/>
      <w:ind w:firstLine="360"/>
    </w:pPr>
    <w:r>
      <w:pict>
        <v:shape id="_x0000_s1026" o:spid="_x0000_s1026" o:spt="202" type="#_x0000_t202" style="position:absolute;left:0pt;margin-top:0pt;height:144pt;width:45.5pt;mso-position-horizontal:center;mso-position-horizontal-relative:margin;z-index:251659264;mso-width-relative:page;mso-height-relative:page;" filled="f" stroked="f" coordsize="21600,21600" o:gfxdata="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YmhJLSAAAABAEAAA8AAAAAAAAAAQAgAAAAIgAAAGRycy9kb3ducmV2LnhtbFBL&#10;AQIUABQAAAAIAIdO4kAHzLSkNQIAAGIEAAAOAAAAAAAAAAEAIAAAACEBAABkcnMvZTJvRG9jLnht&#10;bFBLBQYAAAAABgAGAFkBAADIBQAAAAA=&#10;">
          <v:path/>
          <v:fill on="f" focussize="0,0"/>
          <v:stroke on="f" weight="0.5pt" joinstyle="miter"/>
          <v:imagedata o:title=""/>
          <o:lock v:ext="edit"/>
          <v:textbox inset="0mm,0mm,0mm,0mm" style="mso-fit-shape-to-text:t;">
            <w:txbxContent>
              <w:p w14:paraId="4DF83F43">
                <w:pPr>
                  <w:pStyle w:val="10"/>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991C6">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D84D0E"/>
    <w:multiLevelType w:val="singleLevel"/>
    <w:tmpl w:val="A3D84D0E"/>
    <w:lvl w:ilvl="0" w:tentative="0">
      <w:start w:val="1"/>
      <w:numFmt w:val="bullet"/>
      <w:lvlText w:val=""/>
      <w:lvlJc w:val="left"/>
      <w:pPr>
        <w:ind w:left="420" w:hanging="420"/>
      </w:pPr>
      <w:rPr>
        <w:rFonts w:hint="default" w:ascii="Wingdings" w:hAnsi="Wingdings"/>
      </w:rPr>
    </w:lvl>
  </w:abstractNum>
  <w:abstractNum w:abstractNumId="1">
    <w:nsid w:val="CC4CD7FF"/>
    <w:multiLevelType w:val="singleLevel"/>
    <w:tmpl w:val="CC4CD7FF"/>
    <w:lvl w:ilvl="0" w:tentative="0">
      <w:start w:val="1"/>
      <w:numFmt w:val="bullet"/>
      <w:lvlText w:val=""/>
      <w:lvlJc w:val="left"/>
      <w:pPr>
        <w:ind w:left="420" w:hanging="420"/>
      </w:pPr>
      <w:rPr>
        <w:rFonts w:hint="default" w:ascii="Wingdings" w:hAnsi="Wingdings"/>
      </w:rPr>
    </w:lvl>
  </w:abstractNum>
  <w:abstractNum w:abstractNumId="2">
    <w:nsid w:val="0A6FAF4A"/>
    <w:multiLevelType w:val="singleLevel"/>
    <w:tmpl w:val="0A6FAF4A"/>
    <w:lvl w:ilvl="0" w:tentative="0">
      <w:start w:val="1"/>
      <w:numFmt w:val="bullet"/>
      <w:lvlText w:val=""/>
      <w:lvlJc w:val="left"/>
      <w:pPr>
        <w:ind w:left="420" w:hanging="420"/>
      </w:pPr>
      <w:rPr>
        <w:rFonts w:hint="default" w:ascii="Wingdings" w:hAnsi="Wingdings"/>
      </w:rPr>
    </w:lvl>
  </w:abstractNum>
  <w:abstractNum w:abstractNumId="3">
    <w:nsid w:val="6836A19E"/>
    <w:multiLevelType w:val="singleLevel"/>
    <w:tmpl w:val="6836A19E"/>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CF606F"/>
    <w:rsid w:val="00072C34"/>
    <w:rsid w:val="000E5D71"/>
    <w:rsid w:val="00692FA7"/>
    <w:rsid w:val="00A81D22"/>
    <w:rsid w:val="00CF606F"/>
    <w:rsid w:val="00E60E29"/>
    <w:rsid w:val="00EB7E60"/>
    <w:rsid w:val="013730A5"/>
    <w:rsid w:val="01432F4A"/>
    <w:rsid w:val="01EC3E90"/>
    <w:rsid w:val="02076F1C"/>
    <w:rsid w:val="02111B48"/>
    <w:rsid w:val="02477E78"/>
    <w:rsid w:val="02535CBD"/>
    <w:rsid w:val="02781BC8"/>
    <w:rsid w:val="02897931"/>
    <w:rsid w:val="02A949DB"/>
    <w:rsid w:val="02B96468"/>
    <w:rsid w:val="02F604C7"/>
    <w:rsid w:val="031C69F7"/>
    <w:rsid w:val="03224B4E"/>
    <w:rsid w:val="0352344D"/>
    <w:rsid w:val="038A570F"/>
    <w:rsid w:val="03C03F7C"/>
    <w:rsid w:val="04131BA8"/>
    <w:rsid w:val="04161698"/>
    <w:rsid w:val="04243DB5"/>
    <w:rsid w:val="04694560"/>
    <w:rsid w:val="046C750A"/>
    <w:rsid w:val="04904FA7"/>
    <w:rsid w:val="049727D9"/>
    <w:rsid w:val="049820AD"/>
    <w:rsid w:val="04A15406"/>
    <w:rsid w:val="057C552B"/>
    <w:rsid w:val="05E25CD6"/>
    <w:rsid w:val="05E732EC"/>
    <w:rsid w:val="05EA2DDC"/>
    <w:rsid w:val="05F72E03"/>
    <w:rsid w:val="060A2B37"/>
    <w:rsid w:val="061E4834"/>
    <w:rsid w:val="06661F0A"/>
    <w:rsid w:val="06A905A2"/>
    <w:rsid w:val="06B01930"/>
    <w:rsid w:val="06EA15EB"/>
    <w:rsid w:val="07322345"/>
    <w:rsid w:val="07AF1BE8"/>
    <w:rsid w:val="07D47FF4"/>
    <w:rsid w:val="07D7113E"/>
    <w:rsid w:val="07F951F5"/>
    <w:rsid w:val="0817778D"/>
    <w:rsid w:val="0858402D"/>
    <w:rsid w:val="086F4FB9"/>
    <w:rsid w:val="08D51B22"/>
    <w:rsid w:val="090B5543"/>
    <w:rsid w:val="09606F40"/>
    <w:rsid w:val="09A92667"/>
    <w:rsid w:val="09ED69F7"/>
    <w:rsid w:val="0AB15C77"/>
    <w:rsid w:val="0AF838A6"/>
    <w:rsid w:val="0B2823DD"/>
    <w:rsid w:val="0B772E91"/>
    <w:rsid w:val="0B957346"/>
    <w:rsid w:val="0BA15CEB"/>
    <w:rsid w:val="0BB84DE3"/>
    <w:rsid w:val="0BDC31C7"/>
    <w:rsid w:val="0BEB340A"/>
    <w:rsid w:val="0BF161FF"/>
    <w:rsid w:val="0C615199"/>
    <w:rsid w:val="0C7156BE"/>
    <w:rsid w:val="0CA84E57"/>
    <w:rsid w:val="0CC96704"/>
    <w:rsid w:val="0CFB58CF"/>
    <w:rsid w:val="0D38442D"/>
    <w:rsid w:val="0D5A3269"/>
    <w:rsid w:val="0DAB10A3"/>
    <w:rsid w:val="0DEB14A0"/>
    <w:rsid w:val="0E8813E4"/>
    <w:rsid w:val="0E8D07A9"/>
    <w:rsid w:val="0ED32660"/>
    <w:rsid w:val="0EF34AB0"/>
    <w:rsid w:val="0F3479B4"/>
    <w:rsid w:val="0F59068B"/>
    <w:rsid w:val="0FCB77DB"/>
    <w:rsid w:val="0FCC70AF"/>
    <w:rsid w:val="0FD348E1"/>
    <w:rsid w:val="1010343F"/>
    <w:rsid w:val="103E61FE"/>
    <w:rsid w:val="104B26C9"/>
    <w:rsid w:val="109C7173"/>
    <w:rsid w:val="10B97633"/>
    <w:rsid w:val="10E30B54"/>
    <w:rsid w:val="11205904"/>
    <w:rsid w:val="11276C93"/>
    <w:rsid w:val="118F65E6"/>
    <w:rsid w:val="11904838"/>
    <w:rsid w:val="11D72467"/>
    <w:rsid w:val="11E64458"/>
    <w:rsid w:val="11EB7CC0"/>
    <w:rsid w:val="11F03528"/>
    <w:rsid w:val="12080872"/>
    <w:rsid w:val="122D17C7"/>
    <w:rsid w:val="12435D4E"/>
    <w:rsid w:val="129E4D32"/>
    <w:rsid w:val="12FB03D7"/>
    <w:rsid w:val="132876BD"/>
    <w:rsid w:val="13547AE7"/>
    <w:rsid w:val="13AE71F7"/>
    <w:rsid w:val="13B16CE7"/>
    <w:rsid w:val="13B32A60"/>
    <w:rsid w:val="13BB478F"/>
    <w:rsid w:val="13E250F3"/>
    <w:rsid w:val="13F310AE"/>
    <w:rsid w:val="14151024"/>
    <w:rsid w:val="14320D50"/>
    <w:rsid w:val="14327E28"/>
    <w:rsid w:val="14E135FC"/>
    <w:rsid w:val="15127C5A"/>
    <w:rsid w:val="15837522"/>
    <w:rsid w:val="161B669A"/>
    <w:rsid w:val="16314110"/>
    <w:rsid w:val="165E3157"/>
    <w:rsid w:val="1662251B"/>
    <w:rsid w:val="16881F81"/>
    <w:rsid w:val="169F376F"/>
    <w:rsid w:val="16B8213B"/>
    <w:rsid w:val="16B84B85"/>
    <w:rsid w:val="1701702A"/>
    <w:rsid w:val="174568E3"/>
    <w:rsid w:val="1745764E"/>
    <w:rsid w:val="178A7F7B"/>
    <w:rsid w:val="179400D7"/>
    <w:rsid w:val="17A56B63"/>
    <w:rsid w:val="17A65C14"/>
    <w:rsid w:val="17AC1CA0"/>
    <w:rsid w:val="17B648CC"/>
    <w:rsid w:val="17CF1E32"/>
    <w:rsid w:val="18347B73"/>
    <w:rsid w:val="184E71FB"/>
    <w:rsid w:val="186802BC"/>
    <w:rsid w:val="188449CB"/>
    <w:rsid w:val="18FA2EDF"/>
    <w:rsid w:val="190F0738"/>
    <w:rsid w:val="19526877"/>
    <w:rsid w:val="198C7FDB"/>
    <w:rsid w:val="19970FB9"/>
    <w:rsid w:val="19C71013"/>
    <w:rsid w:val="19D61256"/>
    <w:rsid w:val="19DB686C"/>
    <w:rsid w:val="1A005590"/>
    <w:rsid w:val="1A185B51"/>
    <w:rsid w:val="1A1C2EA3"/>
    <w:rsid w:val="1A253F8B"/>
    <w:rsid w:val="1AB23A71"/>
    <w:rsid w:val="1AC437A4"/>
    <w:rsid w:val="1AE14356"/>
    <w:rsid w:val="1B1E1106"/>
    <w:rsid w:val="1B1F4E7E"/>
    <w:rsid w:val="1B50328A"/>
    <w:rsid w:val="1B6F2486"/>
    <w:rsid w:val="1B721452"/>
    <w:rsid w:val="1BA3785E"/>
    <w:rsid w:val="1BCA303C"/>
    <w:rsid w:val="1BE7599C"/>
    <w:rsid w:val="1BF41E67"/>
    <w:rsid w:val="1C003285"/>
    <w:rsid w:val="1C8C20A0"/>
    <w:rsid w:val="1ED56B66"/>
    <w:rsid w:val="1F091A51"/>
    <w:rsid w:val="1F7A08D5"/>
    <w:rsid w:val="1F947BE9"/>
    <w:rsid w:val="1FDA1374"/>
    <w:rsid w:val="1FF40688"/>
    <w:rsid w:val="20592BE1"/>
    <w:rsid w:val="206C6470"/>
    <w:rsid w:val="20745325"/>
    <w:rsid w:val="208A1C47"/>
    <w:rsid w:val="20AC4ABE"/>
    <w:rsid w:val="20DF4E94"/>
    <w:rsid w:val="20E57FD0"/>
    <w:rsid w:val="20E9477C"/>
    <w:rsid w:val="20EA3839"/>
    <w:rsid w:val="21983295"/>
    <w:rsid w:val="21A47E8B"/>
    <w:rsid w:val="21A954A2"/>
    <w:rsid w:val="21B07E72"/>
    <w:rsid w:val="21CB71C6"/>
    <w:rsid w:val="22D327D6"/>
    <w:rsid w:val="22E26EBD"/>
    <w:rsid w:val="22ED1495"/>
    <w:rsid w:val="22FE5379"/>
    <w:rsid w:val="23061E44"/>
    <w:rsid w:val="23451BBF"/>
    <w:rsid w:val="237A5348"/>
    <w:rsid w:val="23BC770E"/>
    <w:rsid w:val="23ED3D6C"/>
    <w:rsid w:val="240E783E"/>
    <w:rsid w:val="2480698E"/>
    <w:rsid w:val="249647E8"/>
    <w:rsid w:val="24EF7670"/>
    <w:rsid w:val="25137802"/>
    <w:rsid w:val="251E1D03"/>
    <w:rsid w:val="25237319"/>
    <w:rsid w:val="254C2D14"/>
    <w:rsid w:val="259D531E"/>
    <w:rsid w:val="25B14925"/>
    <w:rsid w:val="25F0369F"/>
    <w:rsid w:val="26667E05"/>
    <w:rsid w:val="268112E8"/>
    <w:rsid w:val="26D66D39"/>
    <w:rsid w:val="26E256DE"/>
    <w:rsid w:val="27985D9D"/>
    <w:rsid w:val="27E56B08"/>
    <w:rsid w:val="27E6663B"/>
    <w:rsid w:val="285F4B0C"/>
    <w:rsid w:val="287F6F5C"/>
    <w:rsid w:val="28A6273B"/>
    <w:rsid w:val="28C52BC1"/>
    <w:rsid w:val="29023E15"/>
    <w:rsid w:val="291807B8"/>
    <w:rsid w:val="29345F99"/>
    <w:rsid w:val="29362EF4"/>
    <w:rsid w:val="297168A5"/>
    <w:rsid w:val="29DD03DE"/>
    <w:rsid w:val="29E928DF"/>
    <w:rsid w:val="2A0239A1"/>
    <w:rsid w:val="2A375D41"/>
    <w:rsid w:val="2A383867"/>
    <w:rsid w:val="2A5A37DD"/>
    <w:rsid w:val="2AA36F32"/>
    <w:rsid w:val="2AA42CAA"/>
    <w:rsid w:val="2ADE440E"/>
    <w:rsid w:val="2B277B63"/>
    <w:rsid w:val="2B2838DB"/>
    <w:rsid w:val="2B41674B"/>
    <w:rsid w:val="2B4C75CA"/>
    <w:rsid w:val="2B69017C"/>
    <w:rsid w:val="2B841AD6"/>
    <w:rsid w:val="2B8F5708"/>
    <w:rsid w:val="2B90590B"/>
    <w:rsid w:val="2B9C2496"/>
    <w:rsid w:val="2C025EDA"/>
    <w:rsid w:val="2C245E51"/>
    <w:rsid w:val="2C332538"/>
    <w:rsid w:val="2C35005E"/>
    <w:rsid w:val="2C42277B"/>
    <w:rsid w:val="2C4C53A8"/>
    <w:rsid w:val="2CC46C34"/>
    <w:rsid w:val="2CE12D6F"/>
    <w:rsid w:val="2DC53663"/>
    <w:rsid w:val="2E1168A9"/>
    <w:rsid w:val="2E4B3B69"/>
    <w:rsid w:val="2E8B0409"/>
    <w:rsid w:val="2E904587"/>
    <w:rsid w:val="2ED7364E"/>
    <w:rsid w:val="2F923A19"/>
    <w:rsid w:val="2FE6247A"/>
    <w:rsid w:val="301B756B"/>
    <w:rsid w:val="304E2E40"/>
    <w:rsid w:val="30786680"/>
    <w:rsid w:val="30B005FB"/>
    <w:rsid w:val="30E958BB"/>
    <w:rsid w:val="310A2AA9"/>
    <w:rsid w:val="31660CB9"/>
    <w:rsid w:val="31753AD6"/>
    <w:rsid w:val="318D4498"/>
    <w:rsid w:val="31AF08B2"/>
    <w:rsid w:val="31C679AA"/>
    <w:rsid w:val="31EF6F01"/>
    <w:rsid w:val="322D17D7"/>
    <w:rsid w:val="32470AEB"/>
    <w:rsid w:val="324758D8"/>
    <w:rsid w:val="328E65E8"/>
    <w:rsid w:val="32981347"/>
    <w:rsid w:val="32AE2918"/>
    <w:rsid w:val="32C43EEA"/>
    <w:rsid w:val="334D2131"/>
    <w:rsid w:val="335A2AA0"/>
    <w:rsid w:val="3381627F"/>
    <w:rsid w:val="33BF2903"/>
    <w:rsid w:val="33E27428"/>
    <w:rsid w:val="34CE2546"/>
    <w:rsid w:val="354D6418"/>
    <w:rsid w:val="35B46497"/>
    <w:rsid w:val="36401AD9"/>
    <w:rsid w:val="36DE12F2"/>
    <w:rsid w:val="36FB1405"/>
    <w:rsid w:val="37976071"/>
    <w:rsid w:val="37B07132"/>
    <w:rsid w:val="37C624B2"/>
    <w:rsid w:val="37FD1C3D"/>
    <w:rsid w:val="380F5C07"/>
    <w:rsid w:val="38353194"/>
    <w:rsid w:val="38431D54"/>
    <w:rsid w:val="38B8629F"/>
    <w:rsid w:val="38BB5EDA"/>
    <w:rsid w:val="38D34E86"/>
    <w:rsid w:val="391F00CC"/>
    <w:rsid w:val="39BA7DF4"/>
    <w:rsid w:val="39BE5B37"/>
    <w:rsid w:val="39C73C6D"/>
    <w:rsid w:val="3A1C460B"/>
    <w:rsid w:val="3A211C22"/>
    <w:rsid w:val="3A2B6F44"/>
    <w:rsid w:val="3A5F274A"/>
    <w:rsid w:val="3A667F7C"/>
    <w:rsid w:val="3A7B57D6"/>
    <w:rsid w:val="3AB24DAC"/>
    <w:rsid w:val="3ACA215E"/>
    <w:rsid w:val="3B2F65C0"/>
    <w:rsid w:val="3B40257B"/>
    <w:rsid w:val="3B4200A1"/>
    <w:rsid w:val="3B4E2EEA"/>
    <w:rsid w:val="3B5B5607"/>
    <w:rsid w:val="3B6B3A9C"/>
    <w:rsid w:val="3B7010B2"/>
    <w:rsid w:val="3B9308FD"/>
    <w:rsid w:val="3BE23632"/>
    <w:rsid w:val="3C1A101E"/>
    <w:rsid w:val="3C3D1A66"/>
    <w:rsid w:val="3C5A41F6"/>
    <w:rsid w:val="3CA134EE"/>
    <w:rsid w:val="3CAA23A2"/>
    <w:rsid w:val="3CF8135F"/>
    <w:rsid w:val="3D3F6F8E"/>
    <w:rsid w:val="3D712EC0"/>
    <w:rsid w:val="3D74475E"/>
    <w:rsid w:val="3D793B23"/>
    <w:rsid w:val="3D7B5AED"/>
    <w:rsid w:val="3D91108F"/>
    <w:rsid w:val="3D956BAE"/>
    <w:rsid w:val="3DBB413B"/>
    <w:rsid w:val="3E0C2BE9"/>
    <w:rsid w:val="3E522CF1"/>
    <w:rsid w:val="3E544357"/>
    <w:rsid w:val="3E554590"/>
    <w:rsid w:val="3E924F82"/>
    <w:rsid w:val="3ECA0ADA"/>
    <w:rsid w:val="3F3D74FE"/>
    <w:rsid w:val="3FA255B3"/>
    <w:rsid w:val="3FC7643C"/>
    <w:rsid w:val="3FDC023B"/>
    <w:rsid w:val="4037219F"/>
    <w:rsid w:val="404C551E"/>
    <w:rsid w:val="4055311A"/>
    <w:rsid w:val="406960D0"/>
    <w:rsid w:val="408D6263"/>
    <w:rsid w:val="40C357E1"/>
    <w:rsid w:val="412F731A"/>
    <w:rsid w:val="4171348E"/>
    <w:rsid w:val="41765884"/>
    <w:rsid w:val="418331C2"/>
    <w:rsid w:val="418E2292"/>
    <w:rsid w:val="41D61543"/>
    <w:rsid w:val="422357F5"/>
    <w:rsid w:val="428433B8"/>
    <w:rsid w:val="42843B66"/>
    <w:rsid w:val="429F5DD9"/>
    <w:rsid w:val="42CB4E20"/>
    <w:rsid w:val="42DA1507"/>
    <w:rsid w:val="42DF3E0D"/>
    <w:rsid w:val="42FC76D0"/>
    <w:rsid w:val="43C95804"/>
    <w:rsid w:val="44004F9E"/>
    <w:rsid w:val="44141173"/>
    <w:rsid w:val="442E1B0B"/>
    <w:rsid w:val="44316F05"/>
    <w:rsid w:val="44337121"/>
    <w:rsid w:val="44613C8E"/>
    <w:rsid w:val="4492209A"/>
    <w:rsid w:val="44A7307D"/>
    <w:rsid w:val="44B33DBE"/>
    <w:rsid w:val="452627E2"/>
    <w:rsid w:val="452C6256"/>
    <w:rsid w:val="45390767"/>
    <w:rsid w:val="453E18DA"/>
    <w:rsid w:val="454749C9"/>
    <w:rsid w:val="4568104C"/>
    <w:rsid w:val="460743C1"/>
    <w:rsid w:val="4613682D"/>
    <w:rsid w:val="464F5D68"/>
    <w:rsid w:val="46772928"/>
    <w:rsid w:val="477F4B6D"/>
    <w:rsid w:val="47C54534"/>
    <w:rsid w:val="48013092"/>
    <w:rsid w:val="485340E7"/>
    <w:rsid w:val="48587156"/>
    <w:rsid w:val="48BB76E5"/>
    <w:rsid w:val="48D12A65"/>
    <w:rsid w:val="48F14EB5"/>
    <w:rsid w:val="48FF6343"/>
    <w:rsid w:val="49954C4F"/>
    <w:rsid w:val="49C8030C"/>
    <w:rsid w:val="49EA2030"/>
    <w:rsid w:val="49FF08A3"/>
    <w:rsid w:val="4A3D2AA8"/>
    <w:rsid w:val="4A746661"/>
    <w:rsid w:val="4AEB42B2"/>
    <w:rsid w:val="4B0E61F2"/>
    <w:rsid w:val="4B294DDA"/>
    <w:rsid w:val="4B9A7A86"/>
    <w:rsid w:val="4D07328C"/>
    <w:rsid w:val="4D146BAD"/>
    <w:rsid w:val="4D203FBB"/>
    <w:rsid w:val="4D2C0A6B"/>
    <w:rsid w:val="4D667C44"/>
    <w:rsid w:val="4D902EEE"/>
    <w:rsid w:val="4D994499"/>
    <w:rsid w:val="4DD0778F"/>
    <w:rsid w:val="4E094082"/>
    <w:rsid w:val="4E54216E"/>
    <w:rsid w:val="4E6D523C"/>
    <w:rsid w:val="4F691C49"/>
    <w:rsid w:val="4F6C1739"/>
    <w:rsid w:val="4FA21BC9"/>
    <w:rsid w:val="4FD712A8"/>
    <w:rsid w:val="4FEE03A0"/>
    <w:rsid w:val="4FF57980"/>
    <w:rsid w:val="4FFF6109"/>
    <w:rsid w:val="50041972"/>
    <w:rsid w:val="50BC1A37"/>
    <w:rsid w:val="517E06C7"/>
    <w:rsid w:val="51A056CA"/>
    <w:rsid w:val="51A74CAA"/>
    <w:rsid w:val="51D3784E"/>
    <w:rsid w:val="51E41A5B"/>
    <w:rsid w:val="52102850"/>
    <w:rsid w:val="52416EAD"/>
    <w:rsid w:val="525B7A2A"/>
    <w:rsid w:val="52A42F98"/>
    <w:rsid w:val="52C8137C"/>
    <w:rsid w:val="52F201A7"/>
    <w:rsid w:val="52F71B7D"/>
    <w:rsid w:val="534E1882"/>
    <w:rsid w:val="53682217"/>
    <w:rsid w:val="53B80357"/>
    <w:rsid w:val="53C41B44"/>
    <w:rsid w:val="53E159C4"/>
    <w:rsid w:val="541160BA"/>
    <w:rsid w:val="54385D15"/>
    <w:rsid w:val="54B95421"/>
    <w:rsid w:val="5540169E"/>
    <w:rsid w:val="55534250"/>
    <w:rsid w:val="557F21C6"/>
    <w:rsid w:val="55DD25F3"/>
    <w:rsid w:val="55EC35D4"/>
    <w:rsid w:val="55F45FE4"/>
    <w:rsid w:val="568E0AAA"/>
    <w:rsid w:val="56D35ECC"/>
    <w:rsid w:val="56D55E16"/>
    <w:rsid w:val="56DA5AE3"/>
    <w:rsid w:val="57135849"/>
    <w:rsid w:val="573962A8"/>
    <w:rsid w:val="577D0987"/>
    <w:rsid w:val="57B10631"/>
    <w:rsid w:val="583354EA"/>
    <w:rsid w:val="58B202A6"/>
    <w:rsid w:val="58F702C5"/>
    <w:rsid w:val="58FC095C"/>
    <w:rsid w:val="59254E33"/>
    <w:rsid w:val="59576FB6"/>
    <w:rsid w:val="597A4A53"/>
    <w:rsid w:val="599B5C14"/>
    <w:rsid w:val="59B91A1F"/>
    <w:rsid w:val="59E06FAB"/>
    <w:rsid w:val="5A6C6A91"/>
    <w:rsid w:val="5A867B53"/>
    <w:rsid w:val="5A981634"/>
    <w:rsid w:val="5ACD5782"/>
    <w:rsid w:val="5AD84127"/>
    <w:rsid w:val="5B1C2265"/>
    <w:rsid w:val="5B2331BC"/>
    <w:rsid w:val="5B4D68C3"/>
    <w:rsid w:val="5BE56AFB"/>
    <w:rsid w:val="5BEA2363"/>
    <w:rsid w:val="5BF44F90"/>
    <w:rsid w:val="5C0F5926"/>
    <w:rsid w:val="5C2C64D8"/>
    <w:rsid w:val="5C321615"/>
    <w:rsid w:val="5C3B671B"/>
    <w:rsid w:val="5C855BE8"/>
    <w:rsid w:val="5C8907E8"/>
    <w:rsid w:val="5CBF10FA"/>
    <w:rsid w:val="5CDA5F34"/>
    <w:rsid w:val="5CDC7EFE"/>
    <w:rsid w:val="5CE84AF5"/>
    <w:rsid w:val="5D131446"/>
    <w:rsid w:val="5D6879E4"/>
    <w:rsid w:val="5D6C2D7D"/>
    <w:rsid w:val="5D720862"/>
    <w:rsid w:val="5D845EA0"/>
    <w:rsid w:val="5E190CDE"/>
    <w:rsid w:val="5E2C0A11"/>
    <w:rsid w:val="5E3D70F6"/>
    <w:rsid w:val="5E5C65B5"/>
    <w:rsid w:val="5E604B5F"/>
    <w:rsid w:val="5E8A398A"/>
    <w:rsid w:val="5E9B5B97"/>
    <w:rsid w:val="5EBF7AC7"/>
    <w:rsid w:val="5EDF331B"/>
    <w:rsid w:val="5F0C25F1"/>
    <w:rsid w:val="5F335DCF"/>
    <w:rsid w:val="5F3C4C84"/>
    <w:rsid w:val="5FAA6092"/>
    <w:rsid w:val="6043215F"/>
    <w:rsid w:val="60793CB6"/>
    <w:rsid w:val="607D37A6"/>
    <w:rsid w:val="60AF6BB0"/>
    <w:rsid w:val="61363955"/>
    <w:rsid w:val="615E5901"/>
    <w:rsid w:val="619F189F"/>
    <w:rsid w:val="61A20156"/>
    <w:rsid w:val="61DC44FC"/>
    <w:rsid w:val="62B31701"/>
    <w:rsid w:val="638B442C"/>
    <w:rsid w:val="63AB52F6"/>
    <w:rsid w:val="63E458EA"/>
    <w:rsid w:val="64446389"/>
    <w:rsid w:val="644C3BBB"/>
    <w:rsid w:val="64572560"/>
    <w:rsid w:val="648473DF"/>
    <w:rsid w:val="64B11C70"/>
    <w:rsid w:val="64B32DDC"/>
    <w:rsid w:val="64FD4EB5"/>
    <w:rsid w:val="65376562"/>
    <w:rsid w:val="653A073C"/>
    <w:rsid w:val="654F3237"/>
    <w:rsid w:val="655F347A"/>
    <w:rsid w:val="65CB6D62"/>
    <w:rsid w:val="65CC2D39"/>
    <w:rsid w:val="65E41BD1"/>
    <w:rsid w:val="660E7291"/>
    <w:rsid w:val="66295D64"/>
    <w:rsid w:val="66563AE5"/>
    <w:rsid w:val="66A15D14"/>
    <w:rsid w:val="66B21CD0"/>
    <w:rsid w:val="6727621A"/>
    <w:rsid w:val="67310E46"/>
    <w:rsid w:val="676A4358"/>
    <w:rsid w:val="677362EF"/>
    <w:rsid w:val="67786A75"/>
    <w:rsid w:val="67A17628"/>
    <w:rsid w:val="67A21D44"/>
    <w:rsid w:val="67E73BFB"/>
    <w:rsid w:val="680F32E2"/>
    <w:rsid w:val="685B4504"/>
    <w:rsid w:val="68875CE1"/>
    <w:rsid w:val="690E48E2"/>
    <w:rsid w:val="691976A7"/>
    <w:rsid w:val="6941748E"/>
    <w:rsid w:val="694E2184"/>
    <w:rsid w:val="696A4AE4"/>
    <w:rsid w:val="69794D27"/>
    <w:rsid w:val="69B31FE7"/>
    <w:rsid w:val="6A040F65"/>
    <w:rsid w:val="6A870698"/>
    <w:rsid w:val="6AC00E5F"/>
    <w:rsid w:val="6AF40B09"/>
    <w:rsid w:val="6AF64881"/>
    <w:rsid w:val="6B3453A9"/>
    <w:rsid w:val="6B413622"/>
    <w:rsid w:val="6C0905E4"/>
    <w:rsid w:val="6C1B20C5"/>
    <w:rsid w:val="6C5A2BED"/>
    <w:rsid w:val="6C5D623A"/>
    <w:rsid w:val="6C983716"/>
    <w:rsid w:val="6CB06CB1"/>
    <w:rsid w:val="6CDE381E"/>
    <w:rsid w:val="6D1234C8"/>
    <w:rsid w:val="6D196605"/>
    <w:rsid w:val="6D9143ED"/>
    <w:rsid w:val="6D9739CD"/>
    <w:rsid w:val="6DAC56CB"/>
    <w:rsid w:val="6DD95D94"/>
    <w:rsid w:val="6E3B07FD"/>
    <w:rsid w:val="6E5F087A"/>
    <w:rsid w:val="6E647D53"/>
    <w:rsid w:val="6EA2087C"/>
    <w:rsid w:val="6EB04D47"/>
    <w:rsid w:val="6ED07197"/>
    <w:rsid w:val="6EF5623D"/>
    <w:rsid w:val="6EFC4430"/>
    <w:rsid w:val="6F305E87"/>
    <w:rsid w:val="6F513ACF"/>
    <w:rsid w:val="6F6124E5"/>
    <w:rsid w:val="6F881053"/>
    <w:rsid w:val="6F883397"/>
    <w:rsid w:val="6FA348AB"/>
    <w:rsid w:val="6FB40867"/>
    <w:rsid w:val="6FDD600F"/>
    <w:rsid w:val="701337DF"/>
    <w:rsid w:val="7016507D"/>
    <w:rsid w:val="70C20D61"/>
    <w:rsid w:val="70DF5DB7"/>
    <w:rsid w:val="71347EB1"/>
    <w:rsid w:val="71883D59"/>
    <w:rsid w:val="71E35433"/>
    <w:rsid w:val="71FB277D"/>
    <w:rsid w:val="720158B9"/>
    <w:rsid w:val="720553A9"/>
    <w:rsid w:val="726E73F3"/>
    <w:rsid w:val="72A76461"/>
    <w:rsid w:val="72D1172F"/>
    <w:rsid w:val="72D60AF4"/>
    <w:rsid w:val="73520AC2"/>
    <w:rsid w:val="73DD4830"/>
    <w:rsid w:val="744D3038"/>
    <w:rsid w:val="74AC5FB0"/>
    <w:rsid w:val="74C74B98"/>
    <w:rsid w:val="74CC0400"/>
    <w:rsid w:val="75096F5F"/>
    <w:rsid w:val="755F1275"/>
    <w:rsid w:val="75752846"/>
    <w:rsid w:val="75BE5F9B"/>
    <w:rsid w:val="761756AB"/>
    <w:rsid w:val="76B75F55"/>
    <w:rsid w:val="76C21ABB"/>
    <w:rsid w:val="775D17E4"/>
    <w:rsid w:val="77640DC4"/>
    <w:rsid w:val="77935205"/>
    <w:rsid w:val="77A17922"/>
    <w:rsid w:val="78340796"/>
    <w:rsid w:val="78370287"/>
    <w:rsid w:val="78372035"/>
    <w:rsid w:val="7857483A"/>
    <w:rsid w:val="786532CE"/>
    <w:rsid w:val="786D3CA8"/>
    <w:rsid w:val="78BE2756"/>
    <w:rsid w:val="78E26444"/>
    <w:rsid w:val="78F7745E"/>
    <w:rsid w:val="79052133"/>
    <w:rsid w:val="798017B9"/>
    <w:rsid w:val="7A8A28F0"/>
    <w:rsid w:val="7A8B0627"/>
    <w:rsid w:val="7A903C7E"/>
    <w:rsid w:val="7AE069B4"/>
    <w:rsid w:val="7AFE6E3A"/>
    <w:rsid w:val="7B136D89"/>
    <w:rsid w:val="7B7573D9"/>
    <w:rsid w:val="7BA6177A"/>
    <w:rsid w:val="7BC938EC"/>
    <w:rsid w:val="7BD007D6"/>
    <w:rsid w:val="7C2428D0"/>
    <w:rsid w:val="7C324FED"/>
    <w:rsid w:val="7C725D31"/>
    <w:rsid w:val="7C745605"/>
    <w:rsid w:val="7C8F243F"/>
    <w:rsid w:val="7CA5416C"/>
    <w:rsid w:val="7CA67789"/>
    <w:rsid w:val="7CF46746"/>
    <w:rsid w:val="7D250FF6"/>
    <w:rsid w:val="7D36433B"/>
    <w:rsid w:val="7D860115"/>
    <w:rsid w:val="7DD1490F"/>
    <w:rsid w:val="7E576F8D"/>
    <w:rsid w:val="7E866F01"/>
    <w:rsid w:val="7E8D29AE"/>
    <w:rsid w:val="7E977CD1"/>
    <w:rsid w:val="7EA1645A"/>
    <w:rsid w:val="7EFC4B10"/>
    <w:rsid w:val="7F277992"/>
    <w:rsid w:val="7F694F0D"/>
    <w:rsid w:val="7F8C0EB8"/>
    <w:rsid w:val="7FE52BBA"/>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600" w:firstLineChars="200"/>
      <w:jc w:val="both"/>
    </w:pPr>
    <w:rPr>
      <w:rFonts w:ascii="Times New Roman" w:hAnsi="Times New Roman" w:eastAsia="仿宋" w:cstheme="minorBidi"/>
      <w:kern w:val="2"/>
      <w:sz w:val="28"/>
      <w:szCs w:val="24"/>
      <w:lang w:val="en-US" w:eastAsia="zh-CN" w:bidi="ar-SA"/>
    </w:rPr>
  </w:style>
  <w:style w:type="paragraph" w:styleId="4">
    <w:name w:val="heading 1"/>
    <w:basedOn w:val="1"/>
    <w:next w:val="1"/>
    <w:qFormat/>
    <w:uiPriority w:val="0"/>
    <w:pPr>
      <w:keepNext/>
      <w:keepLines/>
      <w:jc w:val="center"/>
      <w:outlineLvl w:val="0"/>
    </w:pPr>
    <w:rPr>
      <w:rFonts w:eastAsia="黑体" w:asciiTheme="minorHAnsi" w:hAnsiTheme="minorHAnsi"/>
      <w:kern w:val="44"/>
      <w:sz w:val="36"/>
    </w:rPr>
  </w:style>
  <w:style w:type="paragraph" w:styleId="5">
    <w:name w:val="heading 2"/>
    <w:basedOn w:val="1"/>
    <w:next w:val="1"/>
    <w:unhideWhenUsed/>
    <w:qFormat/>
    <w:uiPriority w:val="0"/>
    <w:pPr>
      <w:keepNext/>
      <w:keepLines/>
      <w:jc w:val="center"/>
      <w:outlineLvl w:val="1"/>
    </w:pPr>
    <w:rPr>
      <w:rFonts w:ascii="Arial" w:hAnsi="Arial" w:eastAsia="黑体"/>
      <w:sz w:val="32"/>
    </w:rPr>
  </w:style>
  <w:style w:type="paragraph" w:styleId="6">
    <w:name w:val="heading 3"/>
    <w:basedOn w:val="1"/>
    <w:next w:val="1"/>
    <w:unhideWhenUsed/>
    <w:qFormat/>
    <w:uiPriority w:val="0"/>
    <w:pPr>
      <w:keepNext/>
      <w:keepLines/>
      <w:spacing w:beforeLines="50" w:afterLines="50"/>
      <w:ind w:firstLine="0" w:firstLineChars="0"/>
      <w:outlineLvl w:val="2"/>
    </w:pPr>
    <w:rPr>
      <w:rFonts w:asciiTheme="minorHAnsi" w:hAnsiTheme="minorHAnsi"/>
      <w:b/>
      <w:sz w:val="30"/>
    </w:rPr>
  </w:style>
  <w:style w:type="paragraph" w:styleId="7">
    <w:name w:val="heading 4"/>
    <w:basedOn w:val="1"/>
    <w:next w:val="1"/>
    <w:link w:val="23"/>
    <w:unhideWhenUsed/>
    <w:qFormat/>
    <w:uiPriority w:val="0"/>
    <w:pPr>
      <w:keepNext/>
      <w:keepLines/>
      <w:ind w:left="-160" w:leftChars="-50" w:firstLine="0" w:firstLineChars="0"/>
      <w:outlineLvl w:val="3"/>
    </w:pPr>
    <w:rPr>
      <w:rFonts w:ascii="Arial" w:hAnsi="Arial"/>
      <w:b/>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200" w:firstLineChars="200"/>
    </w:pPr>
    <w:rPr>
      <w:sz w:val="28"/>
      <w:szCs w:val="32"/>
    </w:rPr>
  </w:style>
  <w:style w:type="paragraph" w:styleId="3">
    <w:name w:val="Body Text"/>
    <w:basedOn w:val="1"/>
    <w:qFormat/>
    <w:uiPriority w:val="99"/>
    <w:pPr>
      <w:spacing w:line="240" w:lineRule="auto"/>
      <w:ind w:firstLine="0" w:firstLineChars="0"/>
    </w:pPr>
    <w:rPr>
      <w:sz w:val="24"/>
      <w:szCs w:val="28"/>
    </w:rPr>
  </w:style>
  <w:style w:type="paragraph" w:styleId="8">
    <w:name w:val="Body Text Indent"/>
    <w:basedOn w:val="1"/>
    <w:qFormat/>
    <w:uiPriority w:val="0"/>
    <w:pPr>
      <w:keepNext/>
      <w:ind w:firstLine="622" w:firstLineChars="222"/>
    </w:pPr>
    <w:rPr>
      <w:rFonts w:ascii="仿宋_GB2312" w:eastAsia="仿宋_GB2312"/>
      <w:color w:val="0000FF"/>
      <w:szCs w:val="28"/>
    </w:rPr>
  </w:style>
  <w:style w:type="paragraph" w:styleId="9">
    <w:name w:val="toc 3"/>
    <w:basedOn w:val="1"/>
    <w:next w:val="1"/>
    <w:qFormat/>
    <w:uiPriority w:val="0"/>
    <w:pPr>
      <w:ind w:left="840" w:leftChars="400"/>
    </w:pPr>
  </w:style>
  <w:style w:type="paragraph" w:styleId="10">
    <w:name w:val="footer"/>
    <w:basedOn w:val="1"/>
    <w:unhideWhenUsed/>
    <w:qFormat/>
    <w:uiPriority w:val="99"/>
    <w:pPr>
      <w:tabs>
        <w:tab w:val="center" w:pos="4153"/>
        <w:tab w:val="right" w:pos="8306"/>
      </w:tabs>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Title"/>
    <w:basedOn w:val="1"/>
    <w:qFormat/>
    <w:uiPriority w:val="0"/>
    <w:pPr>
      <w:spacing w:line="560" w:lineRule="exact"/>
      <w:ind w:firstLine="0" w:firstLineChars="0"/>
      <w:jc w:val="center"/>
      <w:outlineLvl w:val="0"/>
    </w:pPr>
    <w:rPr>
      <w:rFonts w:ascii="方正小标宋简体" w:hAnsi="方正小标宋简体" w:eastAsia="方正小标宋简体"/>
      <w:sz w:val="4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customStyle="1" w:styleId="20">
    <w:name w:val="正文文本 + 间距 0 pt1"/>
    <w:basedOn w:val="21"/>
    <w:autoRedefine/>
    <w:qFormat/>
    <w:uiPriority w:val="0"/>
    <w:rPr>
      <w:color w:val="000000"/>
      <w:spacing w:val="0"/>
      <w:w w:val="100"/>
      <w:position w:val="0"/>
      <w:sz w:val="24"/>
      <w:szCs w:val="24"/>
      <w:lang w:val="en-US"/>
    </w:rPr>
  </w:style>
  <w:style w:type="character" w:customStyle="1" w:styleId="21">
    <w:name w:val="正文文本_"/>
    <w:basedOn w:val="18"/>
    <w:link w:val="22"/>
    <w:autoRedefine/>
    <w:qFormat/>
    <w:uiPriority w:val="0"/>
    <w:rPr>
      <w:rFonts w:ascii="Arial Unicode MS" w:hAnsi="Arial Unicode MS" w:eastAsia="Arial Unicode MS" w:cs="Arial Unicode MS"/>
      <w:spacing w:val="19"/>
      <w:u w:val="none"/>
    </w:rPr>
  </w:style>
  <w:style w:type="paragraph" w:customStyle="1" w:styleId="22">
    <w:name w:val="正文文本1"/>
    <w:basedOn w:val="1"/>
    <w:link w:val="21"/>
    <w:autoRedefine/>
    <w:qFormat/>
    <w:uiPriority w:val="0"/>
    <w:pPr>
      <w:shd w:val="clear" w:color="auto" w:fill="FFFFFF"/>
      <w:spacing w:before="360" w:line="0" w:lineRule="atLeast"/>
      <w:jc w:val="center"/>
    </w:pPr>
    <w:rPr>
      <w:rFonts w:ascii="Arial Unicode MS" w:hAnsi="Arial Unicode MS" w:eastAsia="Arial Unicode MS" w:cs="Arial Unicode MS"/>
      <w:spacing w:val="19"/>
    </w:rPr>
  </w:style>
  <w:style w:type="character" w:customStyle="1" w:styleId="23">
    <w:name w:val="标题 4 Char"/>
    <w:link w:val="7"/>
    <w:qFormat/>
    <w:uiPriority w:val="0"/>
    <w:rPr>
      <w:rFonts w:ascii="Arial" w:hAnsi="Arial"/>
      <w:b/>
    </w:rPr>
  </w:style>
  <w:style w:type="character" w:customStyle="1" w:styleId="24">
    <w:name w:val="正文文本 (2)"/>
    <w:basedOn w:val="18"/>
    <w:qFormat/>
    <w:uiPriority w:val="0"/>
    <w:rPr>
      <w:rFonts w:ascii="宋体" w:hAnsi="宋体" w:eastAsia="宋体" w:cs="宋体"/>
      <w:b/>
      <w:bCs/>
      <w:color w:val="000000"/>
      <w:spacing w:val="0"/>
      <w:w w:val="100"/>
      <w:position w:val="0"/>
      <w:sz w:val="30"/>
      <w:szCs w:val="30"/>
      <w:lang w:val="zh-TW"/>
    </w:rPr>
  </w:style>
  <w:style w:type="character" w:customStyle="1" w:styleId="25">
    <w:name w:val="font21"/>
    <w:basedOn w:val="18"/>
    <w:qFormat/>
    <w:uiPriority w:val="0"/>
    <w:rPr>
      <w:rFonts w:hint="default" w:ascii="Times New Roman" w:hAnsi="Times New Roman" w:cs="Times New Roman"/>
      <w:b/>
      <w:bCs/>
      <w:color w:val="000000"/>
      <w:sz w:val="24"/>
      <w:szCs w:val="24"/>
      <w:u w:val="none"/>
    </w:rPr>
  </w:style>
  <w:style w:type="character" w:customStyle="1" w:styleId="26">
    <w:name w:val="font11"/>
    <w:basedOn w:val="18"/>
    <w:qFormat/>
    <w:uiPriority w:val="0"/>
    <w:rPr>
      <w:rFonts w:hint="eastAsia" w:ascii="仿宋" w:hAnsi="仿宋" w:eastAsia="仿宋" w:cs="仿宋"/>
      <w:b/>
      <w:bCs/>
      <w:color w:val="000000"/>
      <w:sz w:val="24"/>
      <w:szCs w:val="24"/>
      <w:u w:val="none"/>
    </w:rPr>
  </w:style>
  <w:style w:type="character" w:customStyle="1" w:styleId="27">
    <w:name w:val="font81"/>
    <w:basedOn w:val="18"/>
    <w:qFormat/>
    <w:uiPriority w:val="0"/>
    <w:rPr>
      <w:rFonts w:hint="default" w:ascii="Times New Roman" w:hAnsi="Times New Roman" w:cs="Times New Roman"/>
      <w:color w:val="000000"/>
      <w:sz w:val="28"/>
      <w:szCs w:val="28"/>
      <w:u w:val="none"/>
    </w:rPr>
  </w:style>
  <w:style w:type="character" w:customStyle="1" w:styleId="28">
    <w:name w:val="font91"/>
    <w:basedOn w:val="18"/>
    <w:qFormat/>
    <w:uiPriority w:val="0"/>
    <w:rPr>
      <w:rFonts w:hint="default" w:ascii="Times New Roman" w:hAnsi="Times New Roman" w:cs="Times New Roman"/>
      <w:color w:val="000000"/>
      <w:sz w:val="28"/>
      <w:szCs w:val="28"/>
      <w:u w:val="none"/>
      <w:vertAlign w:val="superscript"/>
    </w:rPr>
  </w:style>
  <w:style w:type="character" w:customStyle="1" w:styleId="29">
    <w:name w:val="font51"/>
    <w:basedOn w:val="18"/>
    <w:qFormat/>
    <w:uiPriority w:val="0"/>
    <w:rPr>
      <w:rFonts w:hint="default" w:ascii="Times New Roman" w:hAnsi="Times New Roman" w:cs="Times New Roman"/>
      <w:color w:val="000000"/>
      <w:sz w:val="20"/>
      <w:szCs w:val="20"/>
      <w:u w:val="none"/>
    </w:rPr>
  </w:style>
  <w:style w:type="character" w:customStyle="1" w:styleId="30">
    <w:name w:val="font61"/>
    <w:basedOn w:val="1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9955</Words>
  <Characters>10291</Characters>
  <Lines>6</Lines>
  <Paragraphs>21</Paragraphs>
  <TotalTime>14</TotalTime>
  <ScaleCrop>false</ScaleCrop>
  <LinksUpToDate>false</LinksUpToDate>
  <CharactersWithSpaces>10524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2025-04-04T01:37:00Z</dcterms:created>
  <dc:creator>54272</dc:creator>
  <cp:lastModifiedBy>淡定</cp:lastModifiedBy>
  <cp:lastPrinted>2026-08-17T02:30:00Z</cp:lastPrinted>
  <dcterms:modified xsi:type="dcterms:W3CDTF">2026-08-21T01:44:27Z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eyJoZGlkIjoiOTJkYTY3Y2FiMzRjZWY5MzA3M2FlZWM5ZWNjNWVjM2UiLCJ1c2VySWQiOiIzNDI3NTg4OTEifQ==</vt:lpwstr>
  </property>
  <property fmtid="{D5CDD505-2E9C-101B-9397-08002B2CF9AE}" pid="4" name="ICV">
    <vt:lpwstr>857D6C894B864C6094060E16BA89874C_12</vt:lpwstr>
  </property>
</Properties>
</file>